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4615200" cy="2483516"/>
            <wp:docPr id="1" name="Picture 1"/>
            <wp:cNvGraphicFramePr>
              <a:graphicFrameLocks noChangeAspect="1"/>
            </wp:cNvGraphicFramePr>
            <a:graphic>
              <a:graphicData uri="http://schemas.openxmlformats.org/drawingml/2006/picture">
                <pic:pic>
                  <pic:nvPicPr>
                    <pic:cNvPr id="0" name="hero-banner.png"/>
                    <pic:cNvPicPr/>
                  </pic:nvPicPr>
                  <pic:blipFill>
                    <a:blip r:embed="rId9"/>
                    <a:stretch>
                      <a:fillRect/>
                    </a:stretch>
                  </pic:blipFill>
                  <pic:spPr>
                    <a:xfrm>
                      <a:off x="0" y="0"/>
                      <a:ext cx="4615200" cy="2483516"/>
                    </a:xfrm>
                    <a:prstGeom prst="rect"/>
                  </pic:spPr>
                </pic:pic>
              </a:graphicData>
            </a:graphic>
          </wp:inline>
        </w:drawing>
      </w:r>
    </w:p>
    <w:p>
      <w:pPr>
        <w:pStyle w:val="Heading1"/>
      </w:pPr>
      <w:r>
        <w:t>KPMG Regulatory Transformation Fortnightly Brief — 29 May – 11 June 2026</w:t>
      </w:r>
    </w:p>
    <w:p>
      <w:pPr>
        <w:pStyle w:val="body_letter"/>
      </w:pPr>
      <w:r>
        <w:rPr>
          <w:rFonts w:ascii="Arial" w:hAnsi="Arial"/>
          <w:i/>
          <w:color w:val="666666"/>
          <w:sz w:val="19"/>
        </w:rPr>
        <w:t>Regulatory Transformation Community of Practice — Fortnightly Brief</w:t>
      </w:r>
    </w:p>
    <w:p>
      <w:pPr>
        <w:pStyle w:val="body_letter"/>
      </w:pPr>
      <w:r>
        <w:rPr>
          <w:rFonts w:ascii="Arial" w:hAnsi="Arial"/>
          <w:color w:val="666666"/>
          <w:sz w:val="19"/>
        </w:rPr>
        <w:t>11 June 2026</w:t>
      </w:r>
    </w:p>
    <w:p>
      <w:pPr>
        <w:pStyle w:val="subheading_letter"/>
      </w:pPr>
      <w:r>
        <w:rPr>
          <w:rFonts w:ascii="Arial" w:hAnsi="Arial"/>
          <w:b/>
          <w:color w:val="76D2FF"/>
          <w:sz w:val="21"/>
        </w:rPr>
        <w:t>Key messages from Adam</w:t>
      </w:r>
    </w:p>
    <w:p>
      <w:pPr>
        <w:pStyle w:val="body_letter"/>
      </w:pPr>
      <w:r>
        <w:rPr>
          <w:rFonts w:ascii="Arial" w:hAnsi="Arial"/>
          <w:b w:val="0"/>
          <w:color w:val="000000"/>
          <w:sz w:val="19"/>
        </w:rPr>
        <w:t>This fortnight, the Australian regulatory landscape is defined by fiscal consolidation reshaping regulator resourcing, ASIC sharpening public accountability and enforcement against private companies on financial reporting, and APRA issuing a direct warning on rapid AI uptake — signalling that boards and regulated entities face heightened scrutiny across burden reduction and AI governance simultaneously. The most consequential opportunity for our advisory practice sits at the intersection of APRA's AI warning and ASIC's accountability posture: regulators are moving from guidance to enforcement, and our clients need defensible AI governance frameworks and reporting uplift before supervisory engagement rather than in response to it. Convene a cross-practice session in the next fortnight to align our financial services and technology risk teams on a unified client proposition targeting AI governance readiness and ASIC reporting compliance, and bring that to market through targeted partner briefings before the end of June.</w:t>
      </w:r>
    </w:p>
    <w:p>
      <w:pPr>
        <w:pStyle w:val="subheading_letter"/>
      </w:pPr>
      <w:r>
        <w:rPr>
          <w:rFonts w:ascii="Arial" w:hAnsi="Arial"/>
          <w:b/>
          <w:color w:val="76D2FF"/>
          <w:sz w:val="21"/>
        </w:rPr>
        <w:t>Regulators in the news (this fortnight)</w:t>
      </w:r>
    </w:p>
    <w:p>
      <w:pPr>
        <w:pStyle w:val="body_letter"/>
      </w:pPr>
      <w:r>
        <w:rPr>
          <w:rFonts w:ascii="Arial" w:hAnsi="Arial"/>
          <w:i/>
          <w:color w:val="666666"/>
          <w:sz w:val="19"/>
        </w:rPr>
        <w:t>No regulator-in-news signal this fortnight — see Themes below.</w:t>
      </w:r>
    </w:p>
    <w:p>
      <w:pPr>
        <w:pStyle w:val="subheading_letter"/>
      </w:pPr>
      <w:r>
        <w:rPr>
          <w:rFonts w:ascii="Arial" w:hAnsi="Arial"/>
          <w:b/>
          <w:color w:val="76D2FF"/>
          <w:sz w:val="21"/>
        </w:rPr>
        <w:t>Our clients in the news</w:t>
      </w:r>
    </w:p>
    <w:p>
      <w:pPr>
        <w:pStyle w:val="body_letter"/>
      </w:pPr>
      <w:r>
        <w:rPr>
          <w:rFonts w:ascii="Arial" w:hAnsi="Arial"/>
          <w:i/>
          <w:color w:val="666666"/>
          <w:sz w:val="19"/>
        </w:rPr>
        <w:t>No client-in-news signal this fortnight across any jurisdiction.</w:t>
      </w:r>
    </w:p>
    <w:p>
      <w:pPr>
        <w:pStyle w:val="subheading_letter"/>
      </w:pPr>
      <w:r>
        <w:rPr>
          <w:rFonts w:ascii="Arial" w:hAnsi="Arial"/>
          <w:b/>
          <w:color w:val="76D2FF"/>
          <w:sz w:val="21"/>
        </w:rPr>
        <w:t>Regulatory Transformation: navigating emerging risks, driving AI adoption and reducing regulatory burden</w:t>
      </w:r>
    </w:p>
    <w:p>
      <w:pPr>
        <w:pStyle w:val="body_letter"/>
      </w:pPr>
      <w:r>
        <w:rPr>
          <w:rFonts w:ascii="Arial" w:hAnsi="Arial"/>
          <w:b w:val="0"/>
          <w:color w:val="000000"/>
          <w:sz w:val="19"/>
        </w:rPr>
        <w:t>Regulators are facing a shifting operating environment as technology, markets, environmental pressures and societal expectations evolve faster than traditional regulatory frameworks. Fragmented data and limited intelligence continue to make risk prioritisation difficult.</w:t>
      </w:r>
    </w:p>
    <w:p>
      <w:pPr>
        <w:pStyle w:val="body_letter"/>
      </w:pPr>
      <w:r>
        <w:rPr>
          <w:rFonts w:ascii="Arial" w:hAnsi="Arial"/>
          <w:b w:val="0"/>
          <w:color w:val="000000"/>
          <w:sz w:val="19"/>
        </w:rPr>
        <w:t>There is a growing opportunity to use advanced analytics to better target regulatory effort. Many regulators are still working to integrate data across systems, uplift analytical capability and embed insights into everyday decision-making.</w:t>
      </w:r>
    </w:p>
    <w:p>
      <w:pPr>
        <w:pStyle w:val="body_letter"/>
      </w:pPr>
      <w:r>
        <w:rPr>
          <w:rFonts w:ascii="Arial" w:hAnsi="Arial"/>
          <w:b w:val="0"/>
          <w:color w:val="000000"/>
          <w:sz w:val="19"/>
        </w:rPr>
        <w:t>AI adoption is also becoming a core regulatory transformation issue. Regulators are seeking to balance opportunities for automation and improved risk identification with the need to manage governance, transparency, bias, legal risk, privacy and public confidence.</w:t>
      </w:r>
    </w:p>
    <w:p>
      <w:pPr>
        <w:pStyle w:val="body_letter"/>
      </w:pPr>
      <w:r>
        <w:rPr>
          <w:rFonts w:ascii="Arial" w:hAnsi="Arial"/>
          <w:b w:val="0"/>
          <w:color w:val="000000"/>
          <w:sz w:val="19"/>
        </w:rPr>
        <w:t>At the same time, governments are under pressure to reduce red tape, make faster decisions and manage fiscal constraints. This is driving interest in regulatory consolidation, shared-service models and more consistent approaches to regulatory delivery, while maintaining fairness and strong outcomes.</w:t>
      </w:r>
    </w:p>
    <w:p>
      <w:pPr>
        <w:pStyle w:val="body_letter"/>
      </w:pPr>
      <w:r>
        <w:rPr>
          <w:rFonts w:ascii="Arial" w:hAnsi="Arial"/>
          <w:b/>
          <w:color w:val="000000"/>
          <w:sz w:val="19"/>
        </w:rPr>
        <w:t>Emerging risks</w:t>
      </w:r>
    </w:p>
    <w:p>
      <w:pPr>
        <w:pStyle w:val="body_letter"/>
      </w:pPr>
      <w:r>
        <w:rPr>
          <w:rFonts w:ascii="Arial" w:hAnsi="Arial"/>
          <w:i/>
          <w:color w:val="666666"/>
          <w:sz w:val="19"/>
        </w:rPr>
        <w:t>No emerging risks signal this fortnight.</w:t>
      </w:r>
    </w:p>
    <w:p>
      <w:pPr>
        <w:pStyle w:val="body_letter"/>
      </w:pPr>
      <w:r>
        <w:rPr>
          <w:rFonts w:ascii="Arial" w:hAnsi="Arial"/>
          <w:b/>
          <w:color w:val="000000"/>
          <w:sz w:val="19"/>
        </w:rPr>
        <w:t>AI adoption</w:t>
      </w:r>
    </w:p>
    <w:p>
      <w:pPr>
        <w:pStyle w:val="body_letter"/>
      </w:pPr>
      <w:r>
        <w:rPr>
          <w:rFonts w:ascii="Arial" w:hAnsi="Arial"/>
          <w:i/>
          <w:color w:val="666666"/>
          <w:sz w:val="19"/>
        </w:rPr>
        <w:t>No ai adoption signal this fortnight.</w:t>
      </w:r>
    </w:p>
    <w:p>
      <w:pPr>
        <w:pStyle w:val="body_letter"/>
      </w:pPr>
      <w:r>
        <w:rPr>
          <w:rFonts w:ascii="Arial" w:hAnsi="Arial"/>
          <w:b/>
          <w:color w:val="000000"/>
          <w:sz w:val="19"/>
        </w:rPr>
        <w:t>Regulatory burden</w:t>
      </w:r>
    </w:p>
    <w:p>
      <w:pPr>
        <w:pStyle w:val="body_letter"/>
      </w:pPr>
      <w:r>
        <w:rPr>
          <w:rFonts w:ascii="Arial" w:hAnsi="Arial"/>
          <w:i/>
          <w:color w:val="666666"/>
          <w:sz w:val="19"/>
        </w:rPr>
        <w:t>No regulatory burden signal this fortnight.</w:t>
      </w:r>
    </w:p>
    <w:p>
      <w:pPr>
        <w:pStyle w:val="subheading_letter"/>
      </w:pPr>
      <w:r>
        <w:rPr>
          <w:rFonts w:ascii="Arial" w:hAnsi="Arial"/>
          <w:b/>
          <w:color w:val="76D2FF"/>
          <w:sz w:val="21"/>
        </w:rPr>
        <w:t>Training, conferences, webinars &amp; in-person sessions</w:t>
      </w:r>
    </w:p>
    <w:p>
      <w:pPr>
        <w:pStyle w:val="ListBullet"/>
      </w:pPr>
      <w:r>
        <w:rPr>
          <w:rFonts w:ascii="Arial" w:hAnsi="Arial"/>
          <w:b/>
          <w:color w:val="000000"/>
          <w:sz w:val="19"/>
        </w:rPr>
        <w:t>APRA Financial Risk &amp; Resilience Practitioners Roundtable — Q3</w:t>
      </w:r>
      <w:r>
        <w:rPr>
          <w:rFonts w:ascii="Arial" w:hAnsi="Arial"/>
          <w:color w:val="000000"/>
          <w:sz w:val="19"/>
        </w:rPr>
        <w:t xml:space="preserve"> — </w:t>
      </w:r>
      <w:r>
        <w:rPr>
          <w:rFonts w:ascii="Arial" w:hAnsi="Arial"/>
          <w:color w:val="000000"/>
          <w:sz w:val="19"/>
        </w:rPr>
        <w:t>12 Jun 2026 — APRA · Online</w:t>
      </w:r>
    </w:p>
    <w:p>
      <w:pPr>
        <w:pStyle w:val="ListBullet"/>
      </w:pPr>
      <w:r>
        <w:rPr>
          <w:rFonts w:ascii="Arial" w:hAnsi="Arial"/>
          <w:b/>
          <w:color w:val="000000"/>
          <w:sz w:val="19"/>
        </w:rPr>
        <w:t>2026 AFR Insurance Summit</w:t>
      </w:r>
      <w:r>
        <w:rPr>
          <w:rFonts w:ascii="Arial" w:hAnsi="Arial"/>
          <w:color w:val="000000"/>
          <w:sz w:val="19"/>
        </w:rPr>
        <w:t xml:space="preserve"> — </w:t>
      </w:r>
      <w:r>
        <w:rPr>
          <w:rFonts w:ascii="Arial" w:hAnsi="Arial"/>
          <w:color w:val="000000"/>
          <w:sz w:val="19"/>
        </w:rPr>
        <w:t>16 Jun 2026 — APRA · Online</w:t>
      </w:r>
      <w:r>
        <w:rPr>
          <w:rFonts w:ascii="Arial" w:hAnsi="Arial"/>
          <w:color w:val="000000"/>
          <w:sz w:val="19"/>
        </w:rPr>
        <w:t xml:space="preserve"> (</w:t>
      </w:r>
      <w:hyperlink r:id="rId10">
        <w:r>
          <w:rPr>
            <w:rFonts w:ascii="Arial" w:hAnsi="Arial" w:cs="Arial"/>
            <w:color w:val="0000FF"/>
            <w:sz w:val="19"/>
            <w:szCs w:val="19"/>
            <w:u w:val="single"/>
          </w:rPr>
          <w:t xml:space="preserve">Register</w:t>
        </w:r>
      </w:hyperlink>
      <w:r>
        <w:rPr>
          <w:rFonts w:ascii="Arial" w:hAnsi="Arial"/>
          <w:color w:val="000000"/>
          <w:sz w:val="19"/>
        </w:rPr>
        <w:t>)</w:t>
      </w:r>
    </w:p>
    <w:p>
      <w:pPr>
        <w:pStyle w:val="ListBullet"/>
      </w:pPr>
      <w:r>
        <w:rPr>
          <w:rFonts w:ascii="Arial" w:hAnsi="Arial"/>
          <w:b/>
          <w:color w:val="000000"/>
          <w:sz w:val="19"/>
        </w:rPr>
        <w:t>ABA Banking Conference</w:t>
      </w:r>
      <w:r>
        <w:rPr>
          <w:rFonts w:ascii="Arial" w:hAnsi="Arial"/>
          <w:color w:val="000000"/>
          <w:sz w:val="19"/>
        </w:rPr>
        <w:t xml:space="preserve"> — </w:t>
      </w:r>
      <w:r>
        <w:rPr>
          <w:rFonts w:ascii="Arial" w:hAnsi="Arial"/>
          <w:color w:val="000000"/>
          <w:sz w:val="19"/>
        </w:rPr>
        <w:t>17 Jun 2026 — APRA · Online</w:t>
      </w:r>
      <w:r>
        <w:rPr>
          <w:rFonts w:ascii="Arial" w:hAnsi="Arial"/>
          <w:color w:val="000000"/>
          <w:sz w:val="19"/>
        </w:rPr>
        <w:t xml:space="preserve"> (</w:t>
      </w:r>
      <w:hyperlink r:id="rId11">
        <w:r>
          <w:rPr>
            <w:rFonts w:ascii="Arial" w:hAnsi="Arial" w:cs="Arial"/>
            <w:color w:val="0000FF"/>
            <w:sz w:val="19"/>
            <w:szCs w:val="19"/>
            <w:u w:val="single"/>
          </w:rPr>
          <w:t xml:space="preserve">Register</w:t>
        </w:r>
      </w:hyperlink>
      <w:r>
        <w:rPr>
          <w:rFonts w:ascii="Arial" w:hAnsi="Arial"/>
          <w:color w:val="000000"/>
          <w:sz w:val="19"/>
        </w:rPr>
        <w:t>)</w:t>
      </w:r>
    </w:p>
    <w:p>
      <w:pPr>
        <w:pStyle w:val="ListBullet"/>
      </w:pPr>
      <w:r>
        <w:rPr>
          <w:rFonts w:ascii="Arial" w:hAnsi="Arial"/>
          <w:b/>
          <w:color w:val="000000"/>
          <w:sz w:val="19"/>
        </w:rPr>
        <w:t>AFIA Risk Summit</w:t>
      </w:r>
      <w:r>
        <w:rPr>
          <w:rFonts w:ascii="Arial" w:hAnsi="Arial"/>
          <w:color w:val="000000"/>
          <w:sz w:val="19"/>
        </w:rPr>
        <w:t xml:space="preserve"> — </w:t>
      </w:r>
      <w:r>
        <w:rPr>
          <w:rFonts w:ascii="Arial" w:hAnsi="Arial"/>
          <w:color w:val="000000"/>
          <w:sz w:val="19"/>
        </w:rPr>
        <w:t>24 Jun 2026 — APRA · Online</w:t>
      </w:r>
      <w:r>
        <w:rPr>
          <w:rFonts w:ascii="Arial" w:hAnsi="Arial"/>
          <w:color w:val="000000"/>
          <w:sz w:val="19"/>
        </w:rPr>
        <w:t xml:space="preserve"> (</w:t>
      </w:r>
      <w:hyperlink r:id="rId12">
        <w:r>
          <w:rPr>
            <w:rFonts w:ascii="Arial" w:hAnsi="Arial" w:cs="Arial"/>
            <w:color w:val="0000FF"/>
            <w:sz w:val="19"/>
            <w:szCs w:val="19"/>
            <w:u w:val="single"/>
          </w:rPr>
          <w:t xml:space="preserve">Register</w:t>
        </w:r>
      </w:hyperlink>
      <w:r>
        <w:rPr>
          <w:rFonts w:ascii="Arial" w:hAnsi="Arial"/>
          <w:color w:val="000000"/>
          <w:sz w:val="19"/>
        </w:rPr>
        <w:t>)</w:t>
      </w:r>
    </w:p>
    <w:p>
      <w:pPr>
        <w:pStyle w:val="ListBullet"/>
      </w:pPr>
      <w:r>
        <w:rPr>
          <w:rFonts w:ascii="Arial" w:hAnsi="Arial"/>
          <w:b/>
          <w:color w:val="000000"/>
          <w:sz w:val="19"/>
        </w:rPr>
        <w:t>ACCC Compliance &amp; Enforcement Forum</w:t>
      </w:r>
      <w:r>
        <w:rPr>
          <w:rFonts w:ascii="Arial" w:hAnsi="Arial"/>
          <w:color w:val="000000"/>
          <w:sz w:val="19"/>
        </w:rPr>
        <w:t xml:space="preserve"> — </w:t>
      </w:r>
      <w:r>
        <w:rPr>
          <w:rFonts w:ascii="Arial" w:hAnsi="Arial"/>
          <w:color w:val="000000"/>
          <w:sz w:val="19"/>
        </w:rPr>
        <w:t>26 Jun 2026 — ACCC · Melbourne</w:t>
      </w:r>
    </w:p>
    <w:p>
      <w:pPr>
        <w:pStyle w:val="ListBullet"/>
      </w:pPr>
      <w:r>
        <w:rPr>
          <w:rFonts w:ascii="Arial" w:hAnsi="Arial"/>
          <w:b/>
          <w:color w:val="000000"/>
          <w:sz w:val="19"/>
        </w:rPr>
        <w:t>ASIC Enforcement Update Webinar — Q3 2026</w:t>
      </w:r>
      <w:r>
        <w:rPr>
          <w:rFonts w:ascii="Arial" w:hAnsi="Arial"/>
          <w:color w:val="000000"/>
          <w:sz w:val="19"/>
        </w:rPr>
        <w:t xml:space="preserve"> — </w:t>
      </w:r>
      <w:r>
        <w:rPr>
          <w:rFonts w:ascii="Arial" w:hAnsi="Arial"/>
          <w:color w:val="000000"/>
          <w:sz w:val="19"/>
        </w:rPr>
        <w:t>09 Jul 2026 — ASIC · Online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17"/>
        <w:gridCol w:w="7937"/>
      </w:tblGrid>
      <w:tr>
        <w:tc>
          <w:tcPr>
            <w:tcW w:type="dxa" w:w="1417"/>
          </w:tcPr>
          <w:p>
            <w:pPr>
              <w:spacing w:after="0"/>
            </w:pPr>
            <w:r>
              <w:drawing>
                <wp:inline xmlns:a="http://schemas.openxmlformats.org/drawingml/2006/main" xmlns:pic="http://schemas.openxmlformats.org/drawingml/2006/picture">
                  <wp:extent cx="619200" cy="760494"/>
                  <wp:docPr id="2" name="Picture 2"/>
                  <wp:cNvGraphicFramePr>
                    <a:graphicFrameLocks noChangeAspect="1"/>
                  </wp:cNvGraphicFramePr>
                  <a:graphic>
                    <a:graphicData uri="http://schemas.openxmlformats.org/drawingml/2006/picture">
                      <pic:pic>
                        <pic:nvPicPr>
                          <pic:cNvPr id="0" name="signature-adam.png"/>
                          <pic:cNvPicPr/>
                        </pic:nvPicPr>
                        <pic:blipFill>
                          <a:blip r:embed="rId13"/>
                          <a:stretch>
                            <a:fillRect/>
                          </a:stretch>
                        </pic:blipFill>
                        <pic:spPr>
                          <a:xfrm>
                            <a:off x="0" y="0"/>
                            <a:ext cx="619200" cy="760494"/>
                          </a:xfrm>
                          <a:prstGeom prst="rect"/>
                        </pic:spPr>
                      </pic:pic>
                    </a:graphicData>
                  </a:graphic>
                </wp:inline>
              </w:drawing>
            </w:r>
          </w:p>
        </w:tc>
        <w:tc>
          <w:tcPr>
            <w:tcW w:type="dxa" w:w="7937"/>
          </w:tcPr>
          <w:p>
            <w:pPr>
              <w:spacing w:after="0" w:line="240" w:lineRule="auto"/>
            </w:pPr>
            <w:r>
              <w:rPr>
                <w:rFonts w:ascii="Arial" w:hAnsi="Arial"/>
                <w:b/>
                <w:color w:val="000000"/>
                <w:sz w:val="20"/>
              </w:rPr>
              <w:t>Adam Mason-Jefferies</w:t>
            </w:r>
          </w:p>
          <w:p>
            <w:pPr>
              <w:spacing w:after="0" w:line="240" w:lineRule="auto"/>
            </w:pPr>
            <w:r>
              <w:rPr>
                <w:rFonts w:ascii="Arial" w:hAnsi="Arial"/>
                <w:i/>
                <w:color w:val="666666"/>
                <w:sz w:val="18"/>
              </w:rPr>
              <w:t>Director</w:t>
            </w:r>
          </w:p>
          <w:p>
            <w:pPr>
              <w:spacing w:after="0" w:line="240" w:lineRule="auto"/>
            </w:pPr>
            <w:r>
              <w:rPr>
                <w:rFonts w:ascii="Arial" w:hAnsi="Arial"/>
                <w:color w:val="666666"/>
                <w:sz w:val="18"/>
              </w:rPr>
              <w:t>Regulatory Transformation Community of Practice</w:t>
            </w:r>
          </w:p>
        </w:tc>
      </w:tr>
    </w:tbl>
    <w:p>
      <w:pPr>
        <w:spacing w:after="0" w:line="240" w:lineRule="auto"/>
      </w:pPr>
      <w:r>
        <w:rPr>
          <w:rFonts w:ascii="Arial" w:hAnsi="Arial"/>
          <w:b/>
          <w:color w:val="666666"/>
          <w:sz w:val="16"/>
        </w:rPr>
        <w:t>For internal use only.</w:t>
      </w:r>
    </w:p>
    <w:p>
      <w:pPr>
        <w:spacing w:after="0" w:line="240" w:lineRule="auto"/>
      </w:pPr>
      <w:r>
        <w:rPr>
          <w:rFonts w:ascii="Arial" w:hAnsi="Arial"/>
          <w:color w:val="666666"/>
          <w:sz w:val="16"/>
        </w:rPr>
        <w:t>© 2026 KPMG, an Australian partnership and a member firm of the KPMG global organisation of independent member firms affiliated with KPMG International Limited, a private English company limited by guarantee. All rights reserved.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338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338D"/>
      <w:sz w:val="32"/>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338D"/>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Arial" w:hAnsi="Arial"/>
      <w:b/>
      <w:bCs/>
      <w:i/>
      <w:iCs/>
      <w:color w:val="00338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_letter">
    <w:name w:val="body_letter"/>
    <w:basedOn w:val="Normal"/>
    <w:pPr>
      <w:spacing w:line="240" w:lineRule="auto" w:before="0" w:after="120"/>
      <w:ind w:firstLine="0"/>
    </w:pPr>
    <w:rPr>
      <w:rFonts w:ascii="Arial" w:hAnsi="Arial"/>
      <w:b w:val="0"/>
      <w:i w:val="0"/>
      <w:color w:val="000000"/>
      <w:sz w:val="19"/>
    </w:rPr>
  </w:style>
  <w:style w:type="paragraph" w:customStyle="1" w:styleId="subheading_letter">
    <w:name w:val="subheading_letter"/>
    <w:basedOn w:val="Normal"/>
    <w:pPr>
      <w:spacing w:before="160" w:after="80" w:line="240" w:lineRule="auto"/>
    </w:pPr>
    <w:rPr>
      <w:rFonts w:ascii="Arial" w:hAnsi="Arial"/>
      <w:b/>
      <w:i w:val="0"/>
      <w:color w:val="76D2F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apra.gov.au/events/2026-afr-insurance-summit" TargetMode="External"/><Relationship Id="rId11" Type="http://schemas.openxmlformats.org/officeDocument/2006/relationships/hyperlink" Target="https://www.apra.gov.au/events/aba-banking-conference" TargetMode="External"/><Relationship Id="rId12" Type="http://schemas.openxmlformats.org/officeDocument/2006/relationships/hyperlink" Target="https://www.apra.gov.au/events/afia-risk-summit-1" TargetMode="Externa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