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- 18-31 August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31 August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transport safety regulators dominate Australia's regulatory landscape, with AMSA advancing cargo securing inspection campaigns, an updated GMDSS Handbook and an expanded medical provider network, CASA consulting on new operational classifications, a WA Rail Safety Bill attracting broad industry and community backing, and NSW Government analysis confirming that targeted enforcement outperforms mandatory insurance schemes on a cost-benefit basis. The standout opportunity for us is the emerging regulatory preference for enforcement prioritisation and risk-based compliance targeting over new legislative mandates, a shift that positions our regulatory intelligence, analytics and transformation capabilities directly where regulators are choosing to invest under fiscal pressure. Convene a cross-sector transport and safety briefing for partners and directors within the next fortnight to map live regulatory reform pipelines across maritime, aviation and rail, and identify which clients face the earliest compliance exposure from AMSA's inspection campaign and CASA's classification review.</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warned home insurers that cash settlement practices must not short-change homeowners, flagging enforcement focus on reducing consumer harm in property insurance claims.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commenced issuing compulsory section 167 notices to businesses not enrolled under AML/CTF obligations, escalating enforcement pressure on Tranche 2 entities ahead of the compliance deadline.</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published its 2026-30 Corporate Plan, signalling its strategic priorities and regulatory focus areas for the higher education sector over the next four years.</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Public Service Commission</w:t>
      </w:r>
      <w:r>
        <w:rPr>
          <w:rFonts w:ascii="Arial" w:hAnsi="Arial"/>
          <w:color w:val="000000"/>
          <w:sz w:val="19"/>
        </w:rPr>
        <w:t xml:space="preserve"> - </w:t>
      </w:r>
      <w:r>
        <w:rPr>
          <w:rFonts w:ascii="Arial" w:hAnsi="Arial"/>
          <w:color w:val="000000"/>
          <w:sz w:val="19"/>
        </w:rPr>
        <w:t>APSC published its Corporate Plan 2026-27, setting out workforce capability and integrity priorities for the Australian Public Service in the coming year.</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Finance</w:t>
      </w:r>
      <w:r>
        <w:rPr>
          <w:rFonts w:ascii="Arial" w:hAnsi="Arial"/>
          <w:color w:val="000000"/>
          <w:sz w:val="19"/>
        </w:rPr>
        <w:t xml:space="preserve"> - </w:t>
      </w:r>
      <w:r>
        <w:rPr>
          <w:rFonts w:ascii="Arial" w:hAnsi="Arial"/>
          <w:color w:val="000000"/>
          <w:sz w:val="19"/>
        </w:rPr>
        <w:t>The Department of Finance convened the Australian Government Data Forum to address barriers to data sharing and integration across the public sector, signalling a renewed policy push on cross-agency…</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Financial Security Authority</w:t>
      </w:r>
      <w:r>
        <w:rPr>
          <w:rFonts w:ascii="Arial" w:hAnsi="Arial"/>
          <w:color w:val="000000"/>
          <w:sz w:val="19"/>
        </w:rPr>
        <w:t xml:space="preserve"> - </w:t>
      </w:r>
      <w:r>
        <w:rPr>
          <w:rFonts w:ascii="Arial" w:hAnsi="Arial"/>
          <w:color w:val="000000"/>
          <w:sz w:val="19"/>
        </w:rPr>
        <w:t>AFSA released its August 2026 Personal Insolvency Register newsletter, providing updated guidance and enforcement insights for practitioners operating in the personal insolvency space.</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pursued right to repair enforcement action in the automotive sector, drawing support from the Motor Trades Association of Australia and intensifying scrutiny on manufacturers restricting repair…</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eSafety Commissioner warned that AI-enabled smart glasses pose compounding online safety harms, flagging the need for proactive regulatory and industry responses to emerging surveillance risks.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found a NSW Health worker corrupt and heard evidence from the former NSW Building Commissioner detailing a year of alleged shakedowns, underscoring active integrity enforcement across…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Health, Disability and Ageing</w:t>
      </w:r>
      <w:r>
        <w:rPr>
          <w:rFonts w:ascii="Arial" w:hAnsi="Arial"/>
          <w:color w:val="000000"/>
          <w:sz w:val="19"/>
        </w:rPr>
        <w:t xml:space="preserve"> - </w:t>
      </w:r>
      <w:r>
        <w:rPr>
          <w:rFonts w:ascii="Arial" w:hAnsi="Arial"/>
          <w:color w:val="000000"/>
          <w:sz w:val="19"/>
        </w:rPr>
        <w:t>The Department of Health, Disability and Ageing opened public consultation on proposed changes to NDIS access criteria, inviting stakeholder input on reforms that could affect eligibility for…</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Border Force</w:t>
      </w:r>
      <w:r>
        <w:rPr>
          <w:rFonts w:ascii="Arial" w:hAnsi="Arial"/>
          <w:color w:val="000000"/>
          <w:sz w:val="19"/>
        </w:rPr>
        <w:t xml:space="preserve"> - </w:t>
      </w:r>
      <w:r>
        <w:rPr>
          <w:rFonts w:ascii="Arial" w:hAnsi="Arial"/>
          <w:color w:val="000000"/>
          <w:sz w:val="19"/>
        </w:rPr>
        <w:t>Australian Border Force seized millions of dollars in illicit cigarettes and restrained criminal assets as part of a coordinated enforcement action targeting a transnational illicit tobacco network.</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Communications and Media Authority</w:t>
      </w:r>
      <w:r>
        <w:rPr>
          <w:rFonts w:ascii="Arial" w:hAnsi="Arial"/>
          <w:color w:val="000000"/>
          <w:sz w:val="19"/>
        </w:rPr>
        <w:t xml:space="preserve"> - </w:t>
      </w:r>
      <w:r>
        <w:rPr>
          <w:rFonts w:ascii="Arial" w:hAnsi="Arial"/>
          <w:color w:val="000000"/>
          <w:sz w:val="19"/>
        </w:rPr>
        <w:t>ACMA published new research segmenting Australian news consumers by habits and trust levels, informing the regulator's ongoing work on media diversity and misinformation policy.</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Annual Delivery Plan 2026-27 Published</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SenSen Wins EPA Acoustic Camera Contract</w:t>
      </w:r>
    </w:p>
    <w:p>
      <w:pPr>
        <w:pStyle w:val="ListBullet"/>
      </w:pPr>
      <w:r>
        <w:rPr>
          <w:rFonts w:ascii="Arial" w:hAnsi="Arial"/>
          <w:b/>
          <w:color w:val="000000"/>
          <w:sz w:val="19"/>
        </w:rPr>
        <w:t>Victorian WorkCover Authority (WorkSafe Victoria)</w:t>
      </w:r>
      <w:r>
        <w:rPr>
          <w:rFonts w:ascii="Arial" w:hAnsi="Arial"/>
          <w:color w:val="000000"/>
          <w:sz w:val="19"/>
        </w:rPr>
        <w:t xml:space="preserve"> - </w:t>
      </w:r>
      <w:r>
        <w:rPr>
          <w:rFonts w:ascii="Arial" w:hAnsi="Arial"/>
          <w:color w:val="000000"/>
          <w:sz w:val="19"/>
        </w:rPr>
        <w:t>WorkSafe Reviews CFA Fleet Safety</w:t>
      </w:r>
    </w:p>
    <w:p>
      <w:pPr>
        <w:pStyle w:val="body_letter"/>
      </w:pPr>
      <w:r>
        <w:rPr>
          <w:rFonts w:ascii="Arial" w:hAnsi="Arial"/>
          <w:b/>
          <w:color w:val="000000"/>
          <w:sz w:val="19"/>
        </w:rPr>
        <w:t>Commonwealth</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Signals Recalibrated Enforcement Posture</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Publishes New Strategic Plan</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 Axes 26-Year Contract</w:t>
      </w:r>
    </w:p>
    <w:p>
      <w:pPr>
        <w:pStyle w:val="body_letter"/>
      </w:pPr>
      <w:r>
        <w:rPr>
          <w:rFonts w:ascii="Arial" w:hAnsi="Arial"/>
          <w:b/>
          <w:color w:val="000000"/>
          <w:sz w:val="19"/>
        </w:rPr>
        <w:t>New South Wales</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finds NSW Health worker corrupt</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Building Commissioner Details Shakedown Claims</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Perrottet Texts Aired at ICAC Hearings</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AMSA Annual Regulatory Program 2026-27</w:t>
      </w:r>
      <w:r>
        <w:rPr>
          <w:rFonts w:ascii="Arial" w:hAnsi="Arial"/>
          <w:color w:val="000000"/>
          <w:sz w:val="19"/>
        </w:rPr>
        <w:t xml:space="preserve"> - </w:t>
      </w:r>
      <w:r>
        <w:rPr>
          <w:rFonts w:ascii="Arial" w:hAnsi="Arial"/>
          <w:color w:val="000000"/>
          <w:sz w:val="19"/>
        </w:rPr>
        <w:t>AMSA has published its Annual Regulatory Program for 2026-27, identifying maritime risk priorities and setting out the compliance and enforcement activities the authority will pursue across the…</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Almost 60 vessels a year grounded or sunk on Great Barrier Reef</w:t>
      </w:r>
      <w:r>
        <w:rPr>
          <w:rFonts w:ascii="Arial" w:hAnsi="Arial"/>
          <w:color w:val="000000"/>
          <w:sz w:val="19"/>
        </w:rPr>
        <w:t xml:space="preserve"> - </w:t>
      </w:r>
      <w:r>
        <w:rPr>
          <w:rFonts w:ascii="Arial" w:hAnsi="Arial"/>
          <w:color w:val="000000"/>
          <w:sz w:val="19"/>
        </w:rPr>
        <w:t>The Reef Authority has revealed that almost 60 vessels a year are grounded or sunk on the Great Barrier Reef, underscoring persistent navigation and environmental risk in one of Australia's most…</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Fatal Mine Incident Triggers Safety Probe in New South Wales</w:t>
      </w:r>
      <w:r>
        <w:rPr>
          <w:rFonts w:ascii="Arial" w:hAnsi="Arial"/>
          <w:color w:val="000000"/>
          <w:sz w:val="19"/>
        </w:rPr>
        <w:t xml:space="preserve"> - </w:t>
      </w:r>
      <w:r>
        <w:rPr>
          <w:rFonts w:ascii="Arial" w:hAnsi="Arial"/>
          <w:color w:val="000000"/>
          <w:sz w:val="19"/>
        </w:rPr>
        <w:t>The NSW resources regulator has initiated a formal safety investigation following a fatal mine incident, raising the risk profile of extractive industry operations and signalling heightened…</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NHVR focuses on avoidance behaviour within industry</w:t>
      </w:r>
      <w:r>
        <w:rPr>
          <w:rFonts w:ascii="Arial" w:hAnsi="Arial"/>
          <w:color w:val="000000"/>
          <w:sz w:val="19"/>
        </w:rPr>
        <w:t xml:space="preserve"> - </w:t>
      </w:r>
      <w:r>
        <w:rPr>
          <w:rFonts w:ascii="Arial" w:hAnsi="Arial"/>
          <w:color w:val="000000"/>
          <w:sz w:val="19"/>
        </w:rPr>
        <w:t>The National Heavy Vehicle Regulator has flagged a targeted focus on avoidance behaviour, indicating stepped-up enforcement against operators who deliberately circumvent compliance obligations under…</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Reform to data centre policy in NSW</w:t>
      </w:r>
      <w:r>
        <w:rPr>
          <w:rFonts w:ascii="Arial" w:hAnsi="Arial"/>
          <w:color w:val="000000"/>
          <w:sz w:val="19"/>
        </w:rPr>
        <w:t xml:space="preserve"> - </w:t>
      </w:r>
      <w:r>
        <w:rPr>
          <w:rFonts w:ascii="Arial" w:hAnsi="Arial"/>
          <w:color w:val="000000"/>
          <w:sz w:val="19"/>
        </w:rPr>
        <w:t>The NSW Government has introduced reformed data centre planning policy, streamlining approvals for digital infrastructure to support the rapid expansion of AI and cloud computing workloads across…</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 Our Strategic Plan</w:t>
      </w:r>
      <w:r>
        <w:rPr>
          <w:rFonts w:ascii="Arial" w:hAnsi="Arial"/>
          <w:color w:val="000000"/>
          <w:sz w:val="19"/>
        </w:rPr>
        <w:t xml:space="preserve"> - </w:t>
      </w:r>
      <w:r>
        <w:rPr>
          <w:rFonts w:ascii="Arial" w:hAnsi="Arial"/>
          <w:color w:val="000000"/>
          <w:sz w:val="19"/>
        </w:rPr>
        <w:t>The Australian Energy Regulator has released its Strategic Plan, signalling investment in data and analytical capability to support evidence-based regulatory decision-making as Australia's energy…</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$55 million better off: education and enforcement over mandatory e-bike insurance</w:t>
      </w:r>
      <w:r>
        <w:rPr>
          <w:rFonts w:ascii="Arial" w:hAnsi="Arial"/>
          <w:color w:val="000000"/>
          <w:sz w:val="19"/>
        </w:rPr>
        <w:t xml:space="preserve"> - </w:t>
      </w:r>
      <w:r>
        <w:rPr>
          <w:rFonts w:ascii="Arial" w:hAnsi="Arial"/>
          <w:color w:val="000000"/>
          <w:sz w:val="19"/>
        </w:rPr>
        <w:t>The NSW Productivity and Equality Commission has quantified a $55 million net community benefit from choosing education and enforcement over mandatory e-bike insurance, providing a strong model for…</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CASA proposes new business and owner transport classifications</w:t>
      </w:r>
      <w:r>
        <w:rPr>
          <w:rFonts w:ascii="Arial" w:hAnsi="Arial"/>
          <w:color w:val="000000"/>
          <w:sz w:val="19"/>
        </w:rPr>
        <w:t xml:space="preserve"> - </w:t>
      </w:r>
      <w:r>
        <w:rPr>
          <w:rFonts w:ascii="Arial" w:hAnsi="Arial"/>
          <w:color w:val="000000"/>
          <w:sz w:val="19"/>
        </w:rPr>
        <w:t>CASA is consulting on proposed new operational classifications for business and owner transport, a reform designed to simplify the regulatory framework and reduce compliance complexity for…</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EPBC Act: New National Environmental Standards commence</w:t>
      </w:r>
      <w:r>
        <w:rPr>
          <w:rFonts w:ascii="Arial" w:hAnsi="Arial"/>
          <w:color w:val="000000"/>
          <w:sz w:val="19"/>
        </w:rPr>
        <w:t xml:space="preserve"> - </w:t>
      </w:r>
      <w:r>
        <w:rPr>
          <w:rFonts w:ascii="Arial" w:hAnsi="Arial"/>
          <w:color w:val="000000"/>
          <w:sz w:val="19"/>
        </w:rPr>
        <w:t>New National Environmental Standards have commenced under the EPBC Act, marking a significant milestone in Australia's environmental regulatory reform agenda and introducing updated compliance…</w:t>
      </w:r>
    </w:p>
    <w:p>
      <w:pPr>
        <w:pStyle w:val="ListBullet"/>
      </w:pPr>
      <w:r>
        <w:rPr>
          <w:rFonts w:ascii="Arial" w:hAnsi="Arial"/>
          <w:b/>
          <w:color w:val="000000"/>
          <w:sz w:val="19"/>
        </w:rPr>
        <w:t>ASIC: Easier to deal with, harder to avoid</w:t>
      </w:r>
      <w:r>
        <w:rPr>
          <w:rFonts w:ascii="Arial" w:hAnsi="Arial"/>
          <w:color w:val="000000"/>
          <w:sz w:val="19"/>
        </w:rPr>
        <w:t xml:space="preserve"> - </w:t>
      </w:r>
      <w:r>
        <w:rPr>
          <w:rFonts w:ascii="Arial" w:hAnsi="Arial"/>
          <w:color w:val="000000"/>
          <w:sz w:val="19"/>
        </w:rPr>
        <w:t>ASIC has articulated a dual commitment to reducing friction for compliant firms while intensifying enforcement against those breaching obligations, signalling a more risk-calibrated and…</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body_letter"/>
      </w:pPr>
      <w:r>
        <w:rPr>
          <w:rFonts w:ascii="Arial" w:hAnsi="Arial"/>
          <w:i/>
          <w:color w:val="666666"/>
          <w:sz w:val="19"/>
        </w:rPr>
        <w:t>No upcoming events in the next four weeks.</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Three regulator investment cycles are converging this fortnight and each carries a discrete advisory window: ASIC's declared strategic reset to 'easier to deal with, harder to avoid' under its incoming chair is simultaneously a client-recalibration event and a transformation advisory mandate for the regulator itself; the AER's published Strategic Plan signals sustained capability and technology uplift across the National Electricity and Gas Markets, creating a pre-tender runway for KPMG's energy-transition and regulatory-strategy practice; and AMSA's Annual Regulatory Program 2026-27 locks in enforcement campaigns across fatigue, cargo securing, and seafarer medical fitness that will generate compliance program demand from maritime operators before the inspection cycle opens. EPBC reform has moved from legislation to implementation with new National Environmental Standards now in force, compressing the compliance runway for mining, infrastructure, and major-property proponents, Q4 2026 is the live conversion window before project pipelines absorb the new approval framework under competitive pressure. Leadership transitions at Victoria's Department of Transport and Planning and the ATSB are classic first-100-days BD events: both appointments create demand for capability reviews and strategic reset advisory that KPMG can pursue without a formal competitive process if it moves in the next four weeks. The NHVR's public declaration of enforcement focus on deliberate avoidance behaviour and the concurrent commencement of HVNL reforms together mark the beginning of an active penalty cycle for heavy vehicle operators, freight clients without current compliance program maturity are immediately exposed. The overarching BD signal across the fortnight is enforcement cycle initiation: ASIC, NHVR, EPA Victoria, and AUSTRAC are all in declared or active enforcement uplift, and the advisory window is shortest for clients who have not yet commissioned independent assurance or compliance gap reviews.</w:t>
      </w:r>
    </w:p>
    <w:p>
      <w:pPr>
        <w:pStyle w:val="body_letter"/>
      </w:pPr>
      <w:r>
        <w:rPr>
          <w:rFonts w:ascii="Arial" w:hAnsi="Arial"/>
          <w:b/>
          <w:color w:val="000000"/>
          <w:sz w:val="19"/>
        </w:rPr>
        <w:t>Business development priorities</w:t>
      </w:r>
    </w:p>
    <w:p>
      <w:pPr>
        <w:pStyle w:val="ListBullet"/>
      </w:pPr>
      <w:r>
        <w:rPr>
          <w:rFonts w:ascii="Arial" w:hAnsi="Arial"/>
          <w:color w:val="000000"/>
          <w:sz w:val="19"/>
        </w:rPr>
        <w:t>Deploy KPMG's environmental advisory and approvals team to mining and major infrastructure clients this week to position EPBC National Environmental Standards transition support ahead of Q4 project pipeline acceleration, the compliance gap is live and proponents are not yet resourced.</w:t>
      </w:r>
    </w:p>
    <w:p>
      <w:pPr>
        <w:pStyle w:val="ListBullet"/>
      </w:pPr>
      <w:r>
        <w:rPr>
          <w:rFonts w:ascii="Arial" w:hAnsi="Arial"/>
          <w:color w:val="000000"/>
          <w:sz w:val="19"/>
        </w:rPr>
        <w:t>Activate transport practice pursuit of first-100-days capability review mandates with the incoming Victoria DTP Secretary and new ATSB Commissioner before those appointments stabilise and discretionary advisory spend narrows to existing relationships.</w:t>
      </w:r>
    </w:p>
    <w:p>
      <w:pPr>
        <w:pStyle w:val="ListBullet"/>
      </w:pPr>
      <w:r>
        <w:rPr>
          <w:rFonts w:ascii="Arial" w:hAnsi="Arial"/>
          <w:color w:val="000000"/>
          <w:sz w:val="19"/>
        </w:rPr>
        <w:t>Pitch ASIC directly under its new 'easier to deal with, harder to avoid' posture on operational transformation and regulatory technology, the incoming chair's declared reset is a six-month window before the strategy embeds and procurement tightens.</w:t>
      </w:r>
    </w:p>
    <w:p>
      <w:pPr>
        <w:pStyle w:val="ListBullet"/>
      </w:pPr>
      <w:r>
        <w:rPr>
          <w:rFonts w:ascii="Arial" w:hAnsi="Arial"/>
          <w:color w:val="000000"/>
          <w:sz w:val="19"/>
        </w:rPr>
        <w:t>Brief tier-1 NHVR-regulated freight operator clients on the enforcement posture shift toward deliberate avoidance behaviour and convert those conversations to risk framework and assurance mandates before the first penalty actions are published and clients are on the back foot.</w:t>
      </w:r>
    </w:p>
    <w:p>
      <w:pPr>
        <w:pStyle w:val="ListBullet"/>
      </w:pPr>
      <w:r>
        <w:rPr>
          <w:rFonts w:ascii="Arial" w:hAnsi="Arial"/>
          <w:color w:val="000000"/>
          <w:sz w:val="19"/>
        </w:rPr>
        <w:t>Position KPMG's energy regulatory practice on AER Strategic Plan implementation streams, data governance, market monitoring, and technology uplift, before they translate into formal tender panels in H1 2027.</w:t>
      </w:r>
    </w:p>
    <w:p>
      <w:pPr>
        <w:pStyle w:val="body_letter"/>
      </w:pPr>
      <w:r>
        <w:rPr>
          <w:rFonts w:ascii="Arial" w:hAnsi="Arial"/>
          <w:b/>
          <w:color w:val="000000"/>
          <w:sz w:val="19"/>
        </w:rPr>
        <w:t>Implications for clients</w:t>
      </w:r>
    </w:p>
    <w:p>
      <w:pPr>
        <w:pStyle w:val="ListBullet"/>
      </w:pPr>
      <w:r>
        <w:rPr>
          <w:rFonts w:ascii="Arial" w:hAnsi="Arial"/>
          <w:color w:val="000000"/>
          <w:sz w:val="19"/>
        </w:rPr>
        <w:t>Deploy KPMG's environmental advisory and approvals team to mining and major infrastructure clients this week to position EPBC National Environmental Standards transition support ahead of Q4 project pipeline acceleration, the compliance gap is live and proponents are not yet resourced.</w:t>
      </w:r>
    </w:p>
    <w:p>
      <w:pPr>
        <w:pStyle w:val="ListBullet"/>
      </w:pPr>
      <w:r>
        <w:rPr>
          <w:rFonts w:ascii="Arial" w:hAnsi="Arial"/>
          <w:color w:val="000000"/>
          <w:sz w:val="19"/>
        </w:rPr>
        <w:t>Activate transport practice pursuit of first-100-days capability review mandates with the incoming Victoria DTP Secretary and new ATSB Commissioner before those appointments stabilise and discretionary advisory spend narrows to existing relationships.</w:t>
      </w:r>
    </w:p>
    <w:p>
      <w:pPr>
        <w:pStyle w:val="ListBullet"/>
      </w:pPr>
      <w:r>
        <w:rPr>
          <w:rFonts w:ascii="Arial" w:hAnsi="Arial"/>
          <w:color w:val="000000"/>
          <w:sz w:val="19"/>
        </w:rPr>
        <w:t>Pitch ASIC directly under its new 'easier to deal with, harder to avoid' posture on operational transformation and regulatory technology, the incoming chair's declared reset is a six-month window before the strategy embeds and procurement tightens.</w:t>
      </w:r>
    </w:p>
    <w:p>
      <w:pPr>
        <w:pStyle w:val="ListBullet"/>
      </w:pPr>
      <w:r>
        <w:rPr>
          <w:rFonts w:ascii="Arial" w:hAnsi="Arial"/>
          <w:color w:val="000000"/>
          <w:sz w:val="19"/>
        </w:rPr>
        <w:t>Brief tier-1 NHVR-regulated freight operator clients on the enforcement posture shift toward deliberate avoidance behaviour and convert those conversations to risk framework and assurance mandates before the first penalty actions are published and clients are on the back foot.</w:t>
      </w:r>
    </w:p>
    <w:p>
      <w:pPr>
        <w:pStyle w:val="ListBullet"/>
      </w:pPr>
      <w:r>
        <w:rPr>
          <w:rFonts w:ascii="Arial" w:hAnsi="Arial"/>
          <w:color w:val="000000"/>
          <w:sz w:val="19"/>
        </w:rPr>
        <w:t>Position KPMG's energy regulatory practice on AER Strategic Plan implementation streams, data governance, market monitoring, and technology uplift, before they translate into formal tender panels in H1 2027.</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APSC Corporate Plan 2026-27 signals defined APS-wide investment priorities across capability, workforce effectiveness, and organisational performance, creating a direct pull-through for KPMG's public sector workforce transformation and L&amp;D offerings at the moment budget conversations are live. The Department of Finance's initiative to overcome data-sharing and integration barriers represents an active Commonwealth mandate for data governance, interoperability architecture, and cross-agency frameworks, an advisory lane KPMG's digital and data practice should be positioned on before tender windows open. NDIS mandatory registration reform and revised access rules introduce a near-term compliance burden on providers and the NDIA, while Fair Work's $5.3M aged-care underpayment recovery signals an enforcement cycle that will drive risk and compliance advisory demand in human services. The pending privacy 'right to erasure' reform compounds agency compliance pressure and provides a credible opener for cross-portfolio regulatory-readiness engagements.</w:t>
      </w:r>
    </w:p>
    <w:p>
      <w:pPr>
        <w:pStyle w:val="body_letter"/>
      </w:pPr>
      <w:r>
        <w:rPr>
          <w:rFonts w:ascii="Arial" w:hAnsi="Arial"/>
          <w:b/>
          <w:color w:val="000000"/>
          <w:sz w:val="19"/>
        </w:rPr>
        <w:t>Financial Services</w:t>
      </w:r>
    </w:p>
    <w:p>
      <w:pPr>
        <w:pStyle w:val="body_letter"/>
      </w:pPr>
      <w:r>
        <w:rPr>
          <w:rFonts w:ascii="Arial" w:hAnsi="Arial"/>
          <w:b w:val="0"/>
          <w:color w:val="000000"/>
          <w:sz w:val="19"/>
        </w:rPr>
        <w:t>ASIC's new strategic posture, 'easier to deal with, harder to avoid', signals a deliberate capability and operational reset under its incoming chair, creating a near-term window to position KPMG's regulatory advisory and transformation bench with ASIC as a client and with regulated entities needing to recalibrate their engagement models. Concurrently, ASIC's public warning on 'first significant cracks' in private credit elevates risk-framework and assurance demand across fund managers and lenders active in that market. The CSLR overhaul backed by banks and brokers, combined with Mulino's contested DBFO advice reform agenda, points to sustained legislative and operational redesign work in financial services through H2 2026. The ATO data-sharing signal following the AUSTRAC fraud probe adds a data-governance and financial crime compliance angle that bridges into KPMG's forensics and technology practices.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reform package has cleared parliament on a Labor-Coalition deal, compressing the advisory window for state and territory governments that are not yet ready to deliver foundational supports at the pace the legislation mandates, a readiness gap the Minister has publicly declined to guarantee will be bridged before participants are exited from the scheme. Concurrently, the Department of Health, Disability and Ageing has opened formal consultation on proposed NDIS access changes, creating a direct engagement opportunity for organisations seeking to shape transition arrangements. The Aged Care Quality and Safety Commission's successful Federal Court action against a worker who breached a banning order signals a hardening enforcement posture across disability and aged care, driving compliance-uplift demand from providers facing tighter worker-screening obligations. The Ashurst automated-decision series on defensible decision-making maps directly onto NDIS eligibility and aged care assessment algorithms, anchoring a near-term digital-risk and regulatory-assurance pitch to Commonwealth and state agencies administering these tools.</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published Strategic Plan signals sustained investment in regulatory capability and technology uplift across the National Electricity and Gas Markets, positioning the regulator for expanded data-driven oversight, a direct advisory entry point for KPMG's energy-transition and regulatory-strategy practice. A fatal mine incident in NSW has triggered a formal state safety investigation, opening near-term safety assurance and compliance program work with both the regulator and extractives sector clients. Commencement of new National Environmental Standards under the EPBC Act reform program materially raises the compliance bar for mining, infrastructure, and major-property proponents, with transition-support demand expected to accelerate through Q4 2026 as project pipelines absorb the new approval framework. Victoria EPA's 2026-27 Annual Delivery Plan and Statement of Expectations reinforce an enforcement-first posture in waste, energy recovery, and land-use compliance, consolidating a pattern that rewards early-mover clients who invest in compliance program design and independent assurance ahead of regulatory action.</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AUSTRAC's activation of section 167 compliance notices against non-enrolled Tranche 2 entities marks the enforcement phase of Australia's landmark AML/CTF expansion, generating immediate and time-pressured demand for compliance program design, ML/TF risk assessments, and implementation advisory across the legal, accounting, and real estate sectors. The agency is simultaneously investing in Pacific regional capability and intelligence infrastructure, signals of sustained organisational uplift that create a technology and capability advisory runway. AFSA's 13.1% rise in personal insolvencies and its PPSR data-integrity exercise indicate parallel regulatory activity in the financial security system, while ABF and AFP joint operations against illicit tobacco networks and a disrupted global cybercrime syndicate underscore a coordinated Home Affairs enforcement posture. Collectively, these signals position KPMG to pursue both urgent compliance uplift work with newly regulated Tranche 2 entities and longer-horizon capability and assurance engagements across the national security cluster.</w:t>
      </w:r>
    </w:p>
    <w:p>
      <w:pPr>
        <w:pStyle w:val="body_letter"/>
      </w:pPr>
      <w:r>
        <w:rPr>
          <w:rFonts w:ascii="Arial" w:hAnsi="Arial"/>
          <w:b/>
          <w:color w:val="000000"/>
          <w:sz w:val="19"/>
        </w:rPr>
        <w:t>Defence</w:t>
      </w:r>
    </w:p>
    <w:p>
      <w:pPr>
        <w:pStyle w:val="body_letter"/>
      </w:pPr>
      <w:r>
        <w:rPr>
          <w:rFonts w:ascii="Arial" w:hAnsi="Arial"/>
          <w:b w:val="0"/>
          <w:color w:val="000000"/>
          <w:sz w:val="19"/>
        </w:rPr>
        <w:t>The Department of Defence's announced shift to an 'enable, not gatekeep' posture on sensitive data and expertise guidelines represents a structural policy signal that will drive near-term demand for data governance frameworks, security classification advisory, and assurance programs across the industrial base. Simultaneously, Defence export compliance officials are publicly emphasising prevention over remediation, indicating unmet demand for compliance gap assessments, workforce uplift, and program-level controls, with enforcement risk making inaction costly for primes. A high-profile termination of a 26-year contract surfaces procurement governance and contract-management reform as a live pursuit angle, with affected suppliers likely requiring advisory on dispute resolution, transition planning, and re-competition positioning. Modern slavery criminal liability reforms add a compounding compliance obligation on Defence supply chains that KPMG's risk, legal, and operations advisory bench can package as a unified offering.</w:t>
      </w:r>
    </w:p>
    <w:p>
      <w:pPr>
        <w:pStyle w:val="body_letter"/>
      </w:pPr>
      <w:r>
        <w:rPr>
          <w:rFonts w:ascii="Arial" w:hAnsi="Arial"/>
          <w:b/>
          <w:color w:val="000000"/>
          <w:sz w:val="19"/>
        </w:rPr>
        <w:t>Transport</w:t>
      </w:r>
    </w:p>
    <w:p>
      <w:pPr>
        <w:pStyle w:val="body_letter"/>
      </w:pPr>
      <w:r>
        <w:rPr>
          <w:rFonts w:ascii="Arial" w:hAnsi="Arial"/>
          <w:b w:val="0"/>
          <w:color w:val="000000"/>
          <w:sz w:val="19"/>
        </w:rPr>
        <w:t>AMSA's Annual Regulatory Program 2026-27 signals structured regulator investment across maritime safety enforcement, seafarer medical fitness, and cargo securing compliance, each a proximate advisory engagement vector for KPMG's transport practice. Concurrent leadership transitions at Victoria's Department of Transport and Planning and the ATSB signal first-100-days demand for capability reviews and strategic resets that KPMG is positioned to lead. The NHVR's declared focus on deliberate avoidance behaviour in heavy vehicle operations marks an enforcement posture shift that will generate risk, assurance, and regulatory-relations mandates across freight operators. CASA's live consultation on new business and owner-transport operational classifications (PP 2610OS) adds a compliance advisory dimension for aviation clients exposed to reclassification risk.</w:t>
      </w:r>
    </w:p>
    <w:p>
      <w:pPr>
        <w:pStyle w:val="body_letter"/>
      </w:pPr>
      <w:r>
        <w:rPr>
          <w:rFonts w:ascii="Arial" w:hAnsi="Arial"/>
          <w:b/>
          <w:color w:val="000000"/>
          <w:sz w:val="19"/>
        </w:rPr>
        <w:t>Education</w:t>
      </w:r>
    </w:p>
    <w:p>
      <w:pPr>
        <w:pStyle w:val="body_letter"/>
      </w:pPr>
      <w:r>
        <w:rPr>
          <w:rFonts w:ascii="Arial" w:hAnsi="Arial"/>
          <w:b w:val="0"/>
          <w:color w:val="000000"/>
          <w:sz w:val="19"/>
        </w:rPr>
        <w:t>TEQSA's newly published 2026-30 Corporate Plan establishes a five-year regulatory investment agenda for higher education, signalling sustained demand for governance, compliance, and capability advisory across the university sector. Legislative proposals to expose institutions to $2m fines for governance failures and racism, combined with structural reforms to ANU's enabling legislation, indicate an enforcement posture shift that will accelerate board-level risk reviews and independent assurance mandates. The new TEQSA-ASQA MOU on dual-sector provider quality creates an immediate advisory opening for TAFEs and hybrid institutions navigating overlapping regulatory regimes, while time-bound accreditation reforms compress the compliance runway for providers yet to invest in readiness capability. KPMG's governance, risk, and transformation practices are well-positioned to lead engagements across all three vectors before TEQSA's new plan enters active implementation.</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ASIC has flagged a dual strategic posture, more accessible for compliant entities, harder to avoid for bad actors, backed by elevated FY25/26 enforcement outcomes driven by the Shield case fallout and a Melbourne AFSL suspension, signalling sustained regulatory pressure on financial services licensees. The Commonwealth's mandatory sustainability reporting regime is transitioning from policy to early reporting reality, with immediate compliance obligations for in-scope entities and advisory demand around assurance readiness. NDIS reform is progressing federally with the minister flagging further legislative amendments targeting fraud and parliamentary negotiation, while state-readiness concerns create cross-jurisdictional compliance complexity. A federal-NSW cost-shared gun buyback scheme has been formalised, and National Cabinet's data centre and AI infrastructure agenda is generating concurrent state planning and investment frameworks with regulatory implications across planning, environment and energy portfolios.</w:t>
      </w:r>
    </w:p>
    <w:p>
      <w:pPr>
        <w:pStyle w:val="body_letter"/>
      </w:pPr>
      <w:r>
        <w:rPr>
          <w:rFonts w:ascii="Arial" w:hAnsi="Arial"/>
          <w:b/>
          <w:color w:val="000000"/>
          <w:sz w:val="19"/>
        </w:rPr>
        <w:t>New South Wales</w:t>
      </w:r>
    </w:p>
    <w:p>
      <w:pPr>
        <w:pStyle w:val="body_letter"/>
      </w:pPr>
      <w:r>
        <w:rPr>
          <w:rFonts w:ascii="Arial" w:hAnsi="Arial"/>
          <w:b w:val="0"/>
          <w:color w:val="000000"/>
          <w:sz w:val="19"/>
        </w:rPr>
        <w:t>NSW regulators are intensifying enforcement across multiple sectors, with SafeWork NSW conducting an agribusiness safety blitz issuing dozens of breach notices, NSW Fair Trading imposing $200k fines on real estate agencies for trust account failures, and water regulators confronting prosecution gaps due to licensing doubts that may shield large-scale water theft from accountability. ICAC inquiries are running concurrently across building regulation (developer shakedowns of the former building commissioner), NSW Health (false qualifications and undisclosed conflicts), Catholic education leadership, and political conduct involving the Perrottet circle, sustaining strong demand for integrity and governance advisory work. The NSW Government has enacted major gambling reform with strengthened consumer protections, made Codes of Practice legally mandatory for businesses statewide, and released a nation-leading data centre policy framework governing planning approvals and infrastructure cost-sharing, all creating immediate compliance uplift obligations. KPMG advisory opportunities are concentrated in mandatory CoP gap analyses, gambling compliance program redesign, data centre planning navigation, and public-sector integrity frameworks.</w:t>
      </w:r>
    </w:p>
    <w:p>
      <w:pPr>
        <w:pStyle w:val="body_letter"/>
      </w:pPr>
      <w:r>
        <w:rPr>
          <w:rFonts w:ascii="Arial" w:hAnsi="Arial"/>
          <w:b/>
          <w:color w:val="000000"/>
          <w:sz w:val="19"/>
        </w:rPr>
        <w:t>Victoria</w:t>
      </w:r>
    </w:p>
    <w:p>
      <w:pPr>
        <w:pStyle w:val="body_letter"/>
      </w:pPr>
      <w:r>
        <w:rPr>
          <w:rFonts w:ascii="Arial" w:hAnsi="Arial"/>
          <w:b w:val="0"/>
          <w:color w:val="000000"/>
          <w:sz w:val="19"/>
        </w:rPr>
        <w:t>Victoria's regulatory landscape is dominated by the Big Build Royal Commission, which carries expansive terms of reference; Premier Carroll is simultaneously establishing a dedicated special prosecutor and expanding IBAC's powers, with the corruption probe explicitly placing former and current senior government figures in scope. Enforcement intensity is rising across multiple sectors: EPA Victoria has conducted a snap blitz on skip bin operators, WorkSafe is reviewing CFA fleet safety, and the state's residential rental taskforce has been made permanent, signalling durable compliance obligations for property managers and landlords. The government has foreshadowed tougher workplace surveillance legislation, creating an emerging advisory opportunity, while the mining sector is contesting significant exploration fee increases that may require regulatory engagement. VCAT continues to generate precedent-setting outcomes in building and property disputes, including a landmark decision clearing a building surveyor in a combustible cladding disciplinary action.</w:t>
      </w:r>
    </w:p>
    <w:p>
      <w:pPr>
        <w:pStyle w:val="body_letter"/>
      </w:pPr>
      <w:r>
        <w:rPr>
          <w:rFonts w:ascii="Arial" w:hAnsi="Arial"/>
          <w:b/>
          <w:color w:val="000000"/>
          <w:sz w:val="19"/>
        </w:rPr>
        <w:t>Queensland</w:t>
      </w:r>
    </w:p>
    <w:p>
      <w:pPr>
        <w:pStyle w:val="body_letter"/>
      </w:pPr>
      <w:r>
        <w:rPr>
          <w:rFonts w:ascii="Arial" w:hAnsi="Arial"/>
          <w:b w:val="0"/>
          <w:color w:val="000000"/>
          <w:sz w:val="19"/>
        </w:rPr>
        <w:t>Queensland's regulatory agenda is active across multiple sectors: the government has opened public consultation on bail law amendments, signalling forthcoming criminal justice legislation that warrants compliance mapping for affected service providers. A significant Facilitating Projects Scheme (FPS) overhaul is underway to attract global mining investment, restructuring approval pathways and creating advisory opportunities for resources clients navigating the new framework. On the enforcement front, Queensland Police have executed over 100 seizures under new e-mobility laws, demonstrating that recently enacted device-regulation legislation is now in active operational use. Separately, the government's formal response to child safety inquiry findings, coupled with new early learning sector safeguards aligned to national reforms, extends compliance obligations for ECEC providers, while a widening independent review of the Queensland DNA laboratory signals continued scrutiny of forensic public-sector services.</w:t>
      </w:r>
    </w:p>
    <w:p>
      <w:pPr>
        <w:pStyle w:val="body_letter"/>
      </w:pPr>
      <w:r>
        <w:rPr>
          <w:rFonts w:ascii="Arial" w:hAnsi="Arial"/>
          <w:b/>
          <w:color w:val="000000"/>
          <w:sz w:val="19"/>
        </w:rPr>
        <w:t>Western Australia</w:t>
      </w:r>
    </w:p>
    <w:p>
      <w:pPr>
        <w:pStyle w:val="body_letter"/>
      </w:pPr>
      <w:r>
        <w:rPr>
          <w:rFonts w:ascii="Arial" w:hAnsi="Arial"/>
          <w:b w:val="0"/>
          <w:color w:val="000000"/>
          <w:sz w:val="19"/>
        </w:rPr>
        <w:t>WA has moved into active enforcement mode on short-term rental accommodation, issuing its first infringement notice under the new STRA regime, signalling that the compliance window has closed and operators face real regulatory risk. Simultaneously, the state has announced planning reforms and transit precinct plans, opening advisory opportunities around development approvals and rezoning obligations. The Alternative Electricity Services (AES) framework introduces a new licensing and compliance structure for non-traditional electricity providers, requiring market participants to assess their obligations under the redrawn regime. The Productivity Commission's interim finding that WA's Morrison-era GST carve-up should be reversed adds a material federal-state fiscal dimension that will shape WA budget and infrastructure regulatory settings.</w:t>
      </w:r>
    </w:p>
    <w:p>
      <w:pPr>
        <w:pStyle w:val="body_letter"/>
      </w:pPr>
      <w:r>
        <w:rPr>
          <w:rFonts w:ascii="Arial" w:hAnsi="Arial"/>
          <w:b/>
          <w:color w:val="000000"/>
          <w:sz w:val="19"/>
        </w:rPr>
        <w:t>South Australia</w:t>
      </w:r>
    </w:p>
    <w:p>
      <w:pPr>
        <w:pStyle w:val="body_letter"/>
      </w:pPr>
      <w:r>
        <w:rPr>
          <w:rFonts w:ascii="Arial" w:hAnsi="Arial"/>
          <w:b w:val="0"/>
          <w:color w:val="000000"/>
          <w:sz w:val="19"/>
        </w:rPr>
        <w:t>SafeWork SA is executing an aggressive enforcement posture: South Australia's first-ever industrial manslaughter charges have been laid, multiple contractors have been fined for fatal and near-fatal workplace incidents (including a $140,000 runaway truck penalty), and a builder has been sanctioned for threatening a safety inspector. Simultaneously, SA has raised the regulatory bar on silica and asbestos exposure, imposing new compliance obligations on construction and mining sector clients that warrant urgent gap assessments. The SA government has formalised its DV royal commission five-year implementation plan, bundled with new alcohol delivery restrictions, opening advisory mandates across licensing, health services, and community sector compliance. The Integrity Care NDIS matter has concluded without legal action, but the case underscores ongoing provider-governance scrutiny relevant to disability sector clients.</w:t>
      </w:r>
    </w:p>
    <w:p>
      <w:pPr>
        <w:pStyle w:val="body_letter"/>
      </w:pPr>
      <w:r>
        <w:rPr>
          <w:rFonts w:ascii="Arial" w:hAnsi="Arial"/>
          <w:b/>
          <w:color w:val="000000"/>
          <w:sz w:val="19"/>
        </w:rPr>
        <w:t>Tasmania</w:t>
      </w:r>
    </w:p>
    <w:p>
      <w:pPr>
        <w:pStyle w:val="body_letter"/>
      </w:pPr>
      <w:r>
        <w:rPr>
          <w:rFonts w:ascii="Arial" w:hAnsi="Arial"/>
          <w:b w:val="0"/>
          <w:color w:val="000000"/>
          <w:sz w:val="19"/>
        </w:rPr>
        <w:t>Tasmania's regulatory environment is notably active across gambling, resources, and workplace safety. The Legislative Council has launched a formal inquiry into the abandoned cashless pokies card scheme, while the Gaming Commission is publicly warning that proposed new pokies policies will worsen outcomes for problem gamblers, together signalling a contested reform environment with strong advisory demand. Mineral Resources Tasmania is executing a digital overhaul of its mining approvals process in 2026, representing a material compliance transition for resources sector clients requiring regulatory mapping and readiness support. WorkSafe enforcement is escalating, with criminal charges laid against West Coast Council following a worker fatality in Zeehan, and annual enforcement results reveal 5.5 million illegal cigarettes and nearly 30,000 vapes seized, indicating sustained pressure on retail and hospitality compliance. The Residential Parks Bill has passed parliament (new compliance obligations for park operators), the Rushy Lagoon sale inquiry terms of reference have been released, and the Productivity Commission's red-tape-cutting stance is being resisted by CBOS, each opening distinct advisory angles.</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An ACT directorate head and public servant have been referred to police following a five-year investigation into contract interference, marking a significant public sector integrity enforcement action that signals elevated scrutiny of procurement conduct across ACT agencies. A major review of Canberra's gaming sector recommends that clubs receive transition support before further pokies reductions are imposed, presenting compliance pathway and stakeholder advisory opportunities for entities navigating ACT gaming reform. Consultation is open on ACT mental health law reforms, adding to an active territory legislative reform agenda. AI-powered traffic enforcement is drawing public and administrative law scrutiny after a family was issued erroneous double fines, raising ACT government accountability questions around automated decision-making and technology procurement governance.</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government has enacted a significant overhaul of its child protection legislation despite fierce opposition from Aboriginal leaders, the national children's commissioner, and federal intervention calls, creating immediate compliance, advocacy, and advisory mandates for organisations operating in the child and family services sector. The NT EPA is concurrently advancing stricter emissions regulations targeting Santos and Inpex at Darwin's LNG facilities, while Ichthys LNG faces prosecution for under-reporting toxic emissions and tightened harbour oversight, signalling a sustained enforcement uplift in the resources sector. The NT government declined formal investigations into Charles Darwin University and Batchelor Institute amid ongoing governance scandals, substituting KPI accountability frameworks, a decision that raises systemic governance and audit advisory considerations. NT's opposition to Commonwealth green data centre energy demand mandates adds a further regulatory tension with federal clean energy policy.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30"/>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asic.gov.au/about-asic/news-centre/find-a-media-release/2026-releases/26-202mr-asic-warns-insurers-cash-settlements-should-not-short-change-homeowners-in-need" TargetMode="External"/><Relationship Id="rId11" Type="http://schemas.openxmlformats.org/officeDocument/2006/relationships/hyperlink" Target="https://www.austrac.gov.au/news-and-media/article/austrac-issues-notices-non-enrolled-businesses" TargetMode="External"/><Relationship Id="rId12" Type="http://schemas.openxmlformats.org/officeDocument/2006/relationships/hyperlink" Target="https://www.teqsa.gov.au/about-us/news-and-events/latest-news/teqsa-publishes-its-2026-30-corporate-plan" TargetMode="External"/><Relationship Id="rId13" Type="http://schemas.openxmlformats.org/officeDocument/2006/relationships/hyperlink" Target="https://www.apsc.gov.au/publication/corporate-plan-2026-27" TargetMode="External"/><Relationship Id="rId14" Type="http://schemas.openxmlformats.org/officeDocument/2006/relationships/hyperlink" Target="https://www.finance.gov.au/government/public-data/public-data-policy/australian-government-data-forum/overcoming-barriers-data-sharing-and-integration" TargetMode="External"/><Relationship Id="rId15" Type="http://schemas.openxmlformats.org/officeDocument/2006/relationships/hyperlink" Target="https://www.afsa.gov.au/news/pir-newsletter-august-2026" TargetMode="External"/><Relationship Id="rId16" Type="http://schemas.openxmlformats.org/officeDocument/2006/relationships/hyperlink" Target="https://www.themandarin.com.au/319352-compounding-harm-esafety-warning-on-smart-glasses/" TargetMode="External"/><Relationship Id="rId17" Type="http://schemas.openxmlformats.org/officeDocument/2006/relationships/hyperlink" Target="https://www.themandarin.com.au/319351-icac-finds-nsw-health-worker-corrupt/" TargetMode="External"/><Relationship Id="rId18" Type="http://schemas.openxmlformats.org/officeDocument/2006/relationships/hyperlink" Target="https://www.health.gov.au/ministers/the-hon-mark-butler-mp/media/consultation-opens-on-proposed-ndis-access-changes?language=en" TargetMode="External"/><Relationship Id="rId19" Type="http://schemas.openxmlformats.org/officeDocument/2006/relationships/hyperlink" Target="https://www.abf.gov.au/newsroom-subsite/Pages/Millions-in-Cigarettes-seized-and-Criminal-Assets-Restrained-as-Transnational-Illicit-Tobacco-Network-Targeted.aspx" TargetMode="External"/><Relationship Id="rId20" Type="http://schemas.openxmlformats.org/officeDocument/2006/relationships/hyperlink" Target="https://www.acma.gov.au/publications/2026-08/report/news-consumer-segmentation-research" TargetMode="External"/><Relationship Id="rId21" Type="http://schemas.openxmlformats.org/officeDocument/2006/relationships/hyperlink" Target="https://www.amsa.gov.au/about/corporate-publications/annual-regulatory-plans/annual-regulatory-program-2026-27" TargetMode="External"/><Relationship Id="rId22" Type="http://schemas.openxmlformats.org/officeDocument/2006/relationships/hyperlink" Target="https://www.gbrmpa.gov.au/news/almost-60-vessels-year-grounded-or-sunk-great-barrier-reef" TargetMode="External"/><Relationship Id="rId23" Type="http://schemas.openxmlformats.org/officeDocument/2006/relationships/hyperlink" Target="https://www.ad-hoc-news.de/boerse/news/unternehmensnachrichten/fatal-mine-incident-triggers-safety-probe-in-new-south-wales/70026548" TargetMode="External"/><Relationship Id="rId24" Type="http://schemas.openxmlformats.org/officeDocument/2006/relationships/hyperlink" Target="https://bigrigs.com.au/2026/08/18/nhvr-focuses-on-avoidance-behaviour-within-industry/" TargetMode="External"/><Relationship Id="rId25" Type="http://schemas.openxmlformats.org/officeDocument/2006/relationships/hyperlink" Target="https://www.dentons.com/en/insights/alerts/2026/august/27/reform-to-data-centre-policy-nsw" TargetMode="External"/><Relationship Id="rId26" Type="http://schemas.openxmlformats.org/officeDocument/2006/relationships/hyperlink" Target="https://www.aer.gov.au/about/aer/our-role/our-strategic-plan" TargetMode="External"/><Relationship Id="rId27" Type="http://schemas.openxmlformats.org/officeDocument/2006/relationships/hyperlink" Target="https://www.nsw.gov.au/departments-and-agencies/nsw-productivity-and-equality-commission/news/55-million-better-off-education-and-enforcement-outweights-mandatory-e-bike-insurance" TargetMode="External"/><Relationship Id="rId28" Type="http://schemas.openxmlformats.org/officeDocument/2006/relationships/hyperlink" Target="https://www.casa.gov.au/about-us/news-media-releases-and-speeches/have-your-say-proposed-business-transport-and-owner-transport-classifications" TargetMode="External"/><Relationship Id="rId29" Type="http://schemas.openxmlformats.org/officeDocument/2006/relationships/hyperlink" Target="https://www.asic.gov.au/about-asic/news-centre/speeches/easier-to-deal-with-harder-to-avoid" TargetMode="External"/><Relationship Id="rId3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