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drawing>
          <wp:inline xmlns:a="http://schemas.openxmlformats.org/drawingml/2006/main" xmlns:pic="http://schemas.openxmlformats.org/drawingml/2006/picture">
            <wp:extent cx="4615200" cy="24835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ro-bann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15200" cy="24835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KPMG Regulatory Transformation Fortnightly Brief — 20 May – 2 June 2026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Regulatory Transformation Community of Practice — Fortnightly Brief</w:t>
      </w:r>
    </w:p>
    <w:p>
      <w:pPr>
        <w:pStyle w:val="body_letter"/>
      </w:pPr>
      <w:r>
        <w:rPr>
          <w:rFonts w:ascii="Arial" w:hAnsi="Arial"/>
          <w:color w:val="666666"/>
          <w:sz w:val="19"/>
        </w:rPr>
        <w:t>02 June 2026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Key messages from Adam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[edit before send] — Adam's 3-sentence key messages will prefill from the dashboard synthesis on the next fortnightly run. Type your replacement here.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Regulators in the news (this fortnight)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regulator-in-news signal this fortnight — see Themes below.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Our clients in the news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client-in-news signal this fortnight across any jurisdiction.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Regulatory Transformation: navigating emerging risks, driving AI adoption and reducing regulatory burden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Regulators are facing a shifting operating environment as technology, markets, environmental pressures and societal expectations evolve faster than traditional regulatory frameworks. Fragmented data and limited intelligence continue to make risk prioritisation difficult.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There is a growing opportunity to use advanced analytics to better target regulatory effort. Many regulators are still working to integrate data across systems, uplift analytical capability and embed insights into everyday decision-making.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AI adoption is also becoming a core regulatory transformation issue. Regulators are seeking to balance opportunities for automation and improved risk identification with the need to manage governance, transparency, bias, legal risk, privacy and public confidence.</w:t>
      </w:r>
    </w:p>
    <w:p>
      <w:pPr>
        <w:pStyle w:val="body_letter"/>
      </w:pPr>
      <w:r>
        <w:rPr>
          <w:rFonts w:ascii="Arial" w:hAnsi="Arial"/>
          <w:b w:val="0"/>
          <w:color w:val="000000"/>
          <w:sz w:val="19"/>
        </w:rPr>
        <w:t>At the same time, governments are under pressure to reduce red tape, make faster decisions and manage fiscal constraints. This is driving interest in regulatory consolidation, shared-service models and more consistent approaches to regulatory delivery, while maintaining fairness and strong outcomes.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Emerging risks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emerging risks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AI adoption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ai adoption signal this fortnight.</w:t>
      </w:r>
    </w:p>
    <w:p>
      <w:pPr>
        <w:pStyle w:val="body_letter"/>
      </w:pPr>
      <w:r>
        <w:rPr>
          <w:rFonts w:ascii="Arial" w:hAnsi="Arial"/>
          <w:b/>
          <w:color w:val="000000"/>
          <w:sz w:val="19"/>
        </w:rPr>
        <w:t>Regulatory burden</w:t>
      </w:r>
    </w:p>
    <w:p>
      <w:pPr>
        <w:pStyle w:val="body_letter"/>
      </w:pPr>
      <w:r>
        <w:rPr>
          <w:rFonts w:ascii="Arial" w:hAnsi="Arial"/>
          <w:i/>
          <w:color w:val="666666"/>
          <w:sz w:val="19"/>
        </w:rPr>
        <w:t>No regulatory burden signal this fortnight.</w:t>
      </w:r>
    </w:p>
    <w:p>
      <w:pPr>
        <w:pStyle w:val="subheading_letter"/>
      </w:pPr>
      <w:r>
        <w:rPr>
          <w:rFonts w:ascii="Arial" w:hAnsi="Arial"/>
          <w:b/>
          <w:color w:val="76D2FF"/>
          <w:sz w:val="21"/>
        </w:rPr>
        <w:t>Training, conferences, webinars &amp; in-person sessions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VIC Cyber Regulator Industry Briefing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04 Jun 2026 — Office of the Victorian Information Commissioner · Melbourne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APRA Financial Risk &amp; Resilience Practitioners Roundtable — Q3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12 Jun 2026 — APRA · Online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2026 AFR Insurance Summit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16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0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ABA Banking Conference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17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1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AFIA Risk Summit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24 Jun 2026 — APRA · Online</w:t>
      </w:r>
      <w:r>
        <w:rPr>
          <w:rFonts w:ascii="Arial" w:hAnsi="Arial"/>
          <w:color w:val="000000"/>
          <w:sz w:val="19"/>
        </w:rPr>
        <w:t xml:space="preserve"> (</w:t>
      </w:r>
      <w:hyperlink r:id="rId12">
        <w:r>
          <w:rPr>
            <w:rFonts w:ascii="Arial" w:hAnsi="Arial" w:cs="Arial"/>
            <w:color w:val="0000FF"/>
            <w:sz w:val="19"/>
            <w:szCs w:val="19"/>
            <w:u w:val="single"/>
          </w:rPr>
          <w:t xml:space="preserve">Register</w:t>
        </w:r>
      </w:hyperlink>
      <w:r>
        <w:rPr>
          <w:rFonts w:ascii="Arial" w:hAnsi="Arial"/>
          <w:color w:val="000000"/>
          <w:sz w:val="19"/>
        </w:rPr>
        <w:t>)</w:t>
      </w:r>
    </w:p>
    <w:p>
      <w:pPr>
        <w:pStyle w:val="ListBullet"/>
      </w:pPr>
      <w:r>
        <w:rPr>
          <w:rFonts w:ascii="Arial" w:hAnsi="Arial"/>
          <w:b/>
          <w:color w:val="000000"/>
          <w:sz w:val="19"/>
        </w:rPr>
        <w:t>ACCC Compliance &amp; Enforcement Forum</w:t>
      </w:r>
      <w:r>
        <w:rPr>
          <w:rFonts w:ascii="Arial" w:hAnsi="Arial"/>
          <w:color w:val="000000"/>
          <w:sz w:val="19"/>
        </w:rPr>
        <w:t xml:space="preserve"> — </w:t>
      </w:r>
      <w:r>
        <w:rPr>
          <w:rFonts w:ascii="Arial" w:hAnsi="Arial"/>
          <w:color w:val="000000"/>
          <w:sz w:val="19"/>
        </w:rPr>
        <w:t>26 Jun 2026 — ACCC · Melbourne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417"/>
        <w:gridCol w:w="7937"/>
      </w:tblGrid>
      <w:tr>
        <w:tc>
          <w:tcPr>
            <w:tcW w:type="dxa" w:w="1417"/>
          </w:tcPr>
          <w:p>
            <w:pPr>
              <w:spacing w:after="0"/>
            </w:pPr>
            <w:r>
              <w:drawing>
                <wp:inline xmlns:a="http://schemas.openxmlformats.org/drawingml/2006/main" xmlns:pic="http://schemas.openxmlformats.org/drawingml/2006/picture">
                  <wp:extent cx="619200" cy="76049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ignature-adam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9200" cy="7604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93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color w:val="000000"/>
                <w:sz w:val="20"/>
              </w:rPr>
              <w:t>Adam Mason-Jefferies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i/>
                <w:color w:val="666666"/>
                <w:sz w:val="18"/>
              </w:rPr>
              <w:t>Director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color w:val="666666"/>
                <w:sz w:val="18"/>
              </w:rPr>
              <w:t>Regulatory Transformation Community of Practice</w:t>
            </w:r>
          </w:p>
        </w:tc>
      </w:tr>
    </w:tbl>
    <w:p>
      <w:pPr>
        <w:spacing w:after="0" w:line="240" w:lineRule="auto"/>
      </w:pPr>
      <w:r>
        <w:rPr>
          <w:rFonts w:ascii="Arial" w:hAnsi="Arial"/>
          <w:b/>
          <w:color w:val="666666"/>
          <w:sz w:val="16"/>
        </w:rPr>
        <w:t>For internal use only.</w:t>
      </w:r>
    </w:p>
    <w:p>
      <w:pPr>
        <w:spacing w:after="0" w:line="240" w:lineRule="auto"/>
      </w:pPr>
      <w:r>
        <w:rPr>
          <w:rFonts w:ascii="Arial" w:hAnsi="Arial"/>
          <w:color w:val="666666"/>
          <w:sz w:val="16"/>
        </w:rPr>
        <w:t>© 2026 KPMG, an Australian partnership and a member firm of the KPMG global organisation of independent member firms affiliated with KPMG International Limited, a private English company limited by guarantee. All rights reserved.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338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338D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Arial" w:hAnsi="Arial"/>
      <w:b/>
      <w:bCs/>
      <w:color w:val="00338D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120"/>
      <w:outlineLvl w:val="3"/>
    </w:pPr>
    <w:rPr>
      <w:rFonts w:asciiTheme="majorHAnsi" w:eastAsiaTheme="majorEastAsia" w:hAnsiTheme="majorHAnsi" w:cstheme="majorBidi" w:ascii="Arial" w:hAnsi="Arial"/>
      <w:b/>
      <w:bCs/>
      <w:i/>
      <w:iCs/>
      <w:color w:val="00338D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ody_letter">
    <w:name w:val="body_letter"/>
    <w:basedOn w:val="Normal"/>
    <w:pPr>
      <w:spacing w:line="240" w:lineRule="auto" w:before="0" w:after="120"/>
      <w:ind w:firstLine="0"/>
    </w:pPr>
    <w:rPr>
      <w:rFonts w:ascii="Arial" w:hAnsi="Arial"/>
      <w:b w:val="0"/>
      <w:i w:val="0"/>
      <w:color w:val="000000"/>
      <w:sz w:val="19"/>
    </w:rPr>
  </w:style>
  <w:style w:type="paragraph" w:customStyle="1" w:styleId="subheading_letter">
    <w:name w:val="subheading_letter"/>
    <w:basedOn w:val="Normal"/>
    <w:pPr>
      <w:spacing w:before="160" w:after="80" w:line="240" w:lineRule="auto"/>
    </w:pPr>
    <w:rPr>
      <w:rFonts w:ascii="Arial" w:hAnsi="Arial"/>
      <w:b/>
      <w:i w:val="0"/>
      <w:color w:val="76D2FF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hyperlink" Target="https://www.apra.gov.au/events/2026-afr-insurance-summit" TargetMode="External"/><Relationship Id="rId11" Type="http://schemas.openxmlformats.org/officeDocument/2006/relationships/hyperlink" Target="https://www.apra.gov.au/events/aba-banking-conference" TargetMode="External"/><Relationship Id="rId12" Type="http://schemas.openxmlformats.org/officeDocument/2006/relationships/hyperlink" Target="https://www.apra.gov.au/events/afia-risk-summit-1" TargetMode="External"/><Relationship Id="rId13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