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Segoe UI" w:hAnsi="Segoe UI"/>
          <w:b/>
          <w:color w:val="1B365D"/>
          <w:sz w:val="48"/>
        </w:rPr>
        <w:t>SISTEMA FÉNIX 2.0: DOCUMENTACIÓN TÉCNICA Y OPERATIVA INTEGRAL</w:t>
      </w:r>
    </w:p>
    <w:p>
      <w:pPr>
        <w:spacing w:before="0" w:after="480"/>
        <w:jc w:val="center"/>
      </w:pPr>
      <w:r>
        <w:rPr>
          <w:rFonts w:ascii="Segoe UI" w:hAnsi="Segoe UI"/>
          <w:i/>
          <w:color w:val="3B629B"/>
          <w:sz w:val="26"/>
        </w:rPr>
        <w:t>Manual de Arquitectura de Software, Base de Datos Relacional, Procedimientos de Captura, Conciliación, Historial de Versiones e Impacto ISO 9001 / ISO 14001</w:t>
      </w:r>
    </w:p>
    <w:tbl>
      <w:tblPr>
        <w:tblW w:type="auto" w:w="0"/>
        <w:jc w:val="center"/>
        <w:tblLayout w:type="fixed"/>
        <w:tblLook w:firstColumn="1" w:firstRow="1" w:lastColumn="0" w:lastRow="0" w:noHBand="0" w:noVBand="1" w:val="04A0"/>
      </w:tblPr>
      <w:tblGrid>
        <w:gridCol w:w="4680"/>
        <w:gridCol w:w="4680"/>
      </w:tblGrid>
      <w:tr>
        <w:tc>
          <w:tcPr>
            <w:tcW w:type="dxa" w:w="3168"/>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Parámetro de Control</w:t>
            </w:r>
          </w:p>
        </w:tc>
        <w:tc>
          <w:tcPr>
            <w:tcW w:type="dxa" w:w="6192"/>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Detalle Institucional</w:t>
            </w:r>
          </w:p>
        </w:tc>
      </w:tr>
      <w:tr>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Código del Documento</w:t>
            </w:r>
          </w:p>
        </w:tc>
        <w:tc>
          <w:tcPr>
            <w:tcW w:type="dxa" w:w="61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PR-IT-001-FENIX (Documento Maestro)</w:t>
            </w:r>
          </w:p>
        </w:tc>
      </w:tr>
      <w:tr>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Nombre del Sistema</w:t>
            </w:r>
          </w:p>
        </w:tc>
        <w:tc>
          <w:tcPr>
            <w:tcW w:type="dxa" w:w="61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Sistema Fénix 2.0 — Control de Combustibles y Operaciones</w:t>
            </w:r>
          </w:p>
        </w:tc>
      </w:tr>
      <w:tr>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Versión del Sistema</w:t>
            </w:r>
          </w:p>
        </w:tc>
        <w:tc>
          <w:tcPr>
            <w:tcW w:type="dxa" w:w="61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2.0 (Snapshot Producción - Agosto 2026)</w:t>
            </w:r>
          </w:p>
        </w:tc>
      </w:tr>
      <w:tr>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Empresa / Organización</w:t>
            </w:r>
          </w:p>
        </w:tc>
        <w:tc>
          <w:tcPr>
            <w:tcW w:type="dxa" w:w="61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Grupo Trujano</w:t>
            </w:r>
          </w:p>
        </w:tc>
      </w:tr>
      <w:tr>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Alcance Normativo</w:t>
            </w:r>
          </w:p>
        </w:tc>
        <w:tc>
          <w:tcPr>
            <w:tcW w:type="dxa" w:w="61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Certificación ISO 9001:2015 (Calidad) e ISO 14001:2015 (Ambiental)</w:t>
            </w:r>
          </w:p>
        </w:tc>
      </w:tr>
      <w:tr>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Arquitectura de BD</w:t>
            </w:r>
          </w:p>
        </w:tc>
        <w:tc>
          <w:tcPr>
            <w:tcW w:type="dxa" w:w="61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PostgreSQL 16 Relacional On-Premise (fenix_db)</w:t>
            </w:r>
          </w:p>
        </w:tc>
      </w:tr>
      <w:tr>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Entorno Operativo</w:t>
            </w:r>
          </w:p>
        </w:tc>
        <w:tc>
          <w:tcPr>
            <w:tcW w:type="dxa" w:w="61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Servidor Local (Port 5001: Captura / Port 5002: Admin)</w:t>
            </w:r>
          </w:p>
        </w:tc>
      </w:tr>
      <w:tr>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Estatus de Liberación</w:t>
            </w:r>
          </w:p>
        </w:tc>
        <w:tc>
          <w:tcPr>
            <w:tcW w:type="dxa" w:w="61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Producción Completa y Verificada</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EBF2F7"/>
            <w:tcMar>
              <w:top w:w="140" w:type="dxa"/>
              <w:bottom w:w="140" w:type="dxa"/>
              <w:left w:w="180" w:type="dxa"/>
              <w:right w:w="140" w:type="dxa"/>
            </w:tcMar>
            <w:tcBorders>
              <w:left w:val="single" w:sz="24" w:space="0" w:color="1B365D"/>
              <w:top w:val="none" w:sz="0" w:space="0" w:color="auto"/>
              <w:bottom w:val="none" w:sz="0" w:space="0" w:color="auto"/>
              <w:right w:val="none" w:sz="0" w:space="0" w:color="auto"/>
            </w:tcBorders>
          </w:tcPr>
          <w:p>
            <w:pPr>
              <w:spacing w:after="80"/>
            </w:pPr>
            <w:r>
              <w:rPr>
                <w:rFonts w:ascii="Segoe UI" w:hAnsi="Segoe UI"/>
                <w:b/>
                <w:color w:val="1B365D"/>
                <w:sz w:val="22"/>
              </w:rPr>
              <w:t>📌 Directiva de Documentación Profesional Exhaustiva</w:t>
              <w:br/>
            </w:r>
            <w:r>
              <w:rPr>
                <w:rFonts w:ascii="Calibri" w:hAnsi="Calibri"/>
                <w:color w:val="222222"/>
                <w:sz w:val="20"/>
              </w:rPr>
              <w:t>El presente documento ha sido elaborado a nivel de desarrollo de software profesional. Contiene el análisis exhaustivo de todo el proyecto: desde la fundamentación estratégica ('por qué' y 'para qué'), la hoja de ruta tecnológica a futuro, la definición exacta de esquemas y tablas relacionales, la descomposición paso a paso del código fuente y las pantallas, el registro de problemas e ingeniería aplicada, hasta la trazabilidad normativa ISO.</w:t>
            </w:r>
          </w:p>
        </w:tc>
      </w:tr>
    </w:tbl>
    <w:p>
      <w:pPr>
        <w:spacing w:after="120"/>
      </w:pPr>
    </w:p>
    <w:p>
      <w:pPr>
        <w:keepNext/>
        <w:spacing w:before="360" w:after="160"/>
      </w:pPr>
      <w:r>
        <w:rPr>
          <w:rFonts w:ascii="Segoe UI" w:hAnsi="Segoe UI"/>
          <w:b/>
          <w:color w:val="1B365D"/>
          <w:sz w:val="32"/>
        </w:rPr>
        <w:t>1. INTRODUCCIÓN, CONTEXTO Y JUSTIFICACIÓN (“¿POR QUÉ Y PARA QUÉ?”)</w:t>
      </w:r>
    </w:p>
    <w:p>
      <w:pPr>
        <w:keepNext/>
        <w:spacing w:before="280" w:after="120"/>
      </w:pPr>
      <w:r>
        <w:rPr>
          <w:rFonts w:ascii="Segoe UI" w:hAnsi="Segoe UI"/>
          <w:b/>
          <w:color w:val="3B629B"/>
          <w:sz w:val="26"/>
        </w:rPr>
        <w:t>1.1 Antecedentes y Problemática Operativa Inicial (“¿Por qué?”)</w:t>
      </w:r>
    </w:p>
    <w:p>
      <w:pPr>
        <w:spacing w:after="120" w:line="276" w:lineRule="auto"/>
      </w:pPr>
      <w:r>
        <w:rPr>
          <w:color w:val="222222"/>
        </w:rPr>
        <w:t>Antes del desarrollo del Sistema Fénix, la gestión del suministro de combustible (diésel y gasolina), el transporte en camiones cisterna ('Marimbas'), el movimiento de acarreos y el control de insumos en Grupo Trujano se realizaba mediante procesos manuales basados en vales de papel, reportes informales por mensajes de texto y carpetas dispersas de Microsoft Excel. Esta metodología provocaba serias deficiencias operativas y financieras:</w:t>
      </w:r>
    </w:p>
    <w:p>
      <w:pPr>
        <w:pStyle w:val="ListBullet"/>
        <w:spacing w:after="80" w:line="276" w:lineRule="auto"/>
      </w:pPr>
      <w:r>
        <w:rPr>
          <w:b/>
          <w:color w:val="222222"/>
        </w:rPr>
        <w:t xml:space="preserve">Pérdida de Información: </w:t>
      </w:r>
      <w:r>
        <w:rPr>
          <w:color w:val="222222"/>
        </w:rPr>
        <w:t>Dispersión y pérdida de vales de surtimiento físicos en campo y estaciones de servicio.</w:t>
      </w:r>
    </w:p>
    <w:p>
      <w:pPr>
        <w:pStyle w:val="ListBullet"/>
        <w:spacing w:after="80" w:line="276" w:lineRule="auto"/>
      </w:pPr>
      <w:r>
        <w:rPr>
          <w:b/>
          <w:color w:val="222222"/>
        </w:rPr>
        <w:t xml:space="preserve">Falta de Conciliación: </w:t>
      </w:r>
      <w:r>
        <w:rPr>
          <w:color w:val="222222"/>
        </w:rPr>
        <w:t>Cargas facturadas por estaciones de servicio que no coincidían con lo realmente recibido en tanques u obras.</w:t>
      </w:r>
    </w:p>
    <w:p>
      <w:pPr>
        <w:pStyle w:val="ListBullet"/>
        <w:spacing w:after="80" w:line="276" w:lineRule="auto"/>
      </w:pPr>
      <w:r>
        <w:rPr>
          <w:b/>
          <w:color w:val="222222"/>
        </w:rPr>
        <w:t xml:space="preserve">Opacidad en Costos: </w:t>
      </w:r>
      <w:r>
        <w:rPr>
          <w:color w:val="222222"/>
        </w:rPr>
        <w:t>Imposibilidad de atribuir con exactitud el consumo de litros por máquina, frente de trabajo o ingeniero responsable.</w:t>
      </w:r>
    </w:p>
    <w:p>
      <w:pPr>
        <w:pStyle w:val="ListBullet"/>
        <w:spacing w:after="80" w:line="276" w:lineRule="auto"/>
      </w:pPr>
      <w:r>
        <w:rPr>
          <w:b/>
          <w:color w:val="222222"/>
        </w:rPr>
        <w:t xml:space="preserve">Riesgo de Duplicidad: </w:t>
      </w:r>
      <w:r>
        <w:rPr>
          <w:color w:val="222222"/>
        </w:rPr>
        <w:t>Incapacidad de detectar si un mismo ticket o factura CFDI era registrado dos veces en la contabilidad.</w:t>
      </w:r>
    </w:p>
    <w:p>
      <w:pPr>
        <w:pStyle w:val="ListBullet"/>
        <w:spacing w:after="80" w:line="276" w:lineRule="auto"/>
      </w:pPr>
      <w:r>
        <w:rPr>
          <w:b/>
          <w:color w:val="222222"/>
        </w:rPr>
        <w:t xml:space="preserve">Mermas No Explicadas: </w:t>
      </w:r>
      <w:r>
        <w:rPr>
          <w:color w:val="222222"/>
        </w:rPr>
        <w:t>Dificultad para identificar fugas, mermas indebidas en trasvases o desviaciones de volumen en pipas.</w:t>
      </w:r>
    </w:p>
    <w:p>
      <w:pPr>
        <w:pStyle w:val="ListBullet"/>
        <w:spacing w:after="80" w:line="276" w:lineRule="auto"/>
      </w:pPr>
      <w:r>
        <w:rPr>
          <w:b/>
          <w:color w:val="222222"/>
        </w:rPr>
        <w:t xml:space="preserve">Falta de Rendimiento: </w:t>
      </w:r>
      <w:r>
        <w:rPr>
          <w:color w:val="222222"/>
        </w:rPr>
        <w:t>Desconexión entre el consumo de combustible y la productividad de la maquinaria pesada en obra.</w:t>
      </w:r>
    </w:p>
    <w:p>
      <w:pPr>
        <w:keepNext/>
        <w:spacing w:before="280" w:after="120"/>
      </w:pPr>
      <w:r>
        <w:rPr>
          <w:rFonts w:ascii="Segoe UI" w:hAnsi="Segoe UI"/>
          <w:b/>
          <w:color w:val="3B629B"/>
          <w:sz w:val="26"/>
        </w:rPr>
        <w:t>1.2 Misión y Propósito Fundamental (“¿Para qué?”)</w:t>
      </w:r>
    </w:p>
    <w:p>
      <w:pPr>
        <w:spacing w:after="120" w:line="276" w:lineRule="auto"/>
      </w:pPr>
      <w:r>
        <w:rPr>
          <w:color w:val="222222"/>
        </w:rPr>
        <w:t>El Sistema Fénix fue concebido como una plataforma digital integral de control operativo, contable y ambiental diseñada para centralizar y auditar el ciclo de vida completo del combustible dentro de Grupo Trujano. Sus objetivos fundamentales son:</w:t>
      </w:r>
    </w:p>
    <w:p>
      <w:pPr>
        <w:pStyle w:val="ListBullet"/>
        <w:spacing w:after="80" w:line="276" w:lineRule="auto"/>
      </w:pPr>
      <w:r>
        <w:rPr>
          <w:b/>
          <w:color w:val="222222"/>
        </w:rPr>
        <w:t xml:space="preserve">1. Auditoría Financiera Total: </w:t>
      </w:r>
      <w:r>
        <w:rPr>
          <w:color w:val="222222"/>
        </w:rPr>
        <w:t>Garantizar la coincidencia matemática exacta al centavo entre la solicitud, la factura del proveedor y el consumo entregado.</w:t>
      </w:r>
    </w:p>
    <w:p>
      <w:pPr>
        <w:pStyle w:val="ListBullet"/>
        <w:spacing w:after="80" w:line="276" w:lineRule="auto"/>
      </w:pPr>
      <w:r>
        <w:rPr>
          <w:b/>
          <w:color w:val="222222"/>
        </w:rPr>
        <w:t xml:space="preserve">2. Trazabilidad Inalterable: </w:t>
      </w:r>
      <w:r>
        <w:rPr>
          <w:color w:val="222222"/>
        </w:rPr>
        <w:t>Establecer un registro inalterable con folios únicos, estampa de tiempo, usuario y auditoría de cambios para cada litro.</w:t>
      </w:r>
    </w:p>
    <w:p>
      <w:pPr>
        <w:pStyle w:val="ListBullet"/>
        <w:spacing w:after="80" w:line="276" w:lineRule="auto"/>
      </w:pPr>
      <w:r>
        <w:rPr>
          <w:b/>
          <w:color w:val="222222"/>
        </w:rPr>
        <w:t xml:space="preserve">3. Control Presupuestal Automatizado: </w:t>
      </w:r>
      <w:r>
        <w:rPr>
          <w:color w:val="222222"/>
        </w:rPr>
        <w:t>Implementar techos presupuestales diarios multiplicados por días trabajados reales para evitar sobrecostos.</w:t>
      </w:r>
    </w:p>
    <w:p>
      <w:pPr>
        <w:pStyle w:val="ListBullet"/>
        <w:spacing w:after="80" w:line="276" w:lineRule="auto"/>
      </w:pPr>
      <w:r>
        <w:rPr>
          <w:b/>
          <w:color w:val="222222"/>
        </w:rPr>
        <w:t xml:space="preserve">4. Modelo de Conciliación en Pareja: </w:t>
      </w:r>
      <w:r>
        <w:rPr>
          <w:color w:val="222222"/>
        </w:rPr>
        <w:t>Efectuar el cruce de datos entre el emisor (gasolinería/tanque) y el receptor (pipa/obra) para validar transferencias.</w:t>
      </w:r>
    </w:p>
    <w:p>
      <w:pPr>
        <w:pStyle w:val="ListBullet"/>
        <w:spacing w:after="80" w:line="276" w:lineRule="auto"/>
      </w:pPr>
      <w:r>
        <w:rPr>
          <w:b/>
          <w:color w:val="222222"/>
        </w:rPr>
        <w:t xml:space="preserve">5. Eficiencia en Captura: </w:t>
      </w:r>
      <w:r>
        <w:rPr>
          <w:color w:val="222222"/>
        </w:rPr>
        <w:t>Reducir a 0ms la búsqueda de unidades y autocompletar responsables para agilizar la operación en campo.</w:t>
      </w:r>
    </w:p>
    <w:p>
      <w:pPr>
        <w:keepNext/>
        <w:spacing w:before="280" w:after="120"/>
      </w:pPr>
      <w:r>
        <w:rPr>
          <w:rFonts w:ascii="Segoe UI" w:hAnsi="Segoe UI"/>
          <w:b/>
          <w:color w:val="3B629B"/>
          <w:sz w:val="26"/>
        </w:rPr>
        <w:t>1.3 Alcance Empresarial Multimodular</w:t>
      </w:r>
    </w:p>
    <w:p>
      <w:pPr>
        <w:spacing w:after="120" w:line="276" w:lineRule="auto"/>
      </w:pPr>
      <w:r>
        <w:rPr>
          <w:color w:val="222222"/>
        </w:rPr>
        <w:t>El sistema no se limita únicamente al diésel, sino que abarca la totalidad de insumos críticos de la corporación:</w:t>
      </w:r>
    </w:p>
    <w:p>
      <w:pPr>
        <w:pStyle w:val="ListBullet"/>
        <w:spacing w:after="80" w:line="276" w:lineRule="auto"/>
      </w:pPr>
      <w:r>
        <w:rPr>
          <w:b/>
          <w:color w:val="222222"/>
        </w:rPr>
        <w:t xml:space="preserve">a) Módulo de Diésel: </w:t>
      </w:r>
      <w:r>
        <w:rPr>
          <w:color w:val="222222"/>
        </w:rPr>
        <w:t>Control de despachos a maquinaria pesada, plantas de asfalto (Huixquilucan/Pegaso) y pipas ('Marimba M-01').</w:t>
      </w:r>
    </w:p>
    <w:p>
      <w:pPr>
        <w:pStyle w:val="ListBullet"/>
        <w:spacing w:after="80" w:line="276" w:lineRule="auto"/>
      </w:pPr>
      <w:r>
        <w:rPr>
          <w:b/>
          <w:color w:val="222222"/>
        </w:rPr>
        <w:t xml:space="preserve">b) Módulo de Gasolina: </w:t>
      </w:r>
      <w:r>
        <w:rPr>
          <w:color w:val="222222"/>
        </w:rPr>
        <w:t>Registro de vehículos ligeros, flotilla de supervisión y concilio masivo contra estados de cuenta de gasolinerías (Levet/JDJ).</w:t>
      </w:r>
    </w:p>
    <w:p>
      <w:pPr>
        <w:pStyle w:val="ListBullet"/>
        <w:spacing w:after="80" w:line="276" w:lineRule="auto"/>
      </w:pPr>
      <w:r>
        <w:rPr>
          <w:b/>
          <w:color w:val="222222"/>
        </w:rPr>
        <w:t xml:space="preserve">c) Módulo Jalisco: </w:t>
      </w:r>
      <w:r>
        <w:rPr>
          <w:color w:val="222222"/>
        </w:rPr>
        <w:t>Captura de comprobantes, vales físicos y fotografías para obras foráneas en el estado de Jalisco.</w:t>
      </w:r>
    </w:p>
    <w:p>
      <w:pPr>
        <w:pStyle w:val="ListBullet"/>
        <w:spacing w:after="80" w:line="276" w:lineRule="auto"/>
      </w:pPr>
      <w:r>
        <w:rPr>
          <w:b/>
          <w:color w:val="222222"/>
        </w:rPr>
        <w:t xml:space="preserve">d) Módulo de Acarreos: </w:t>
      </w:r>
      <w:r>
        <w:rPr>
          <w:color w:val="222222"/>
        </w:rPr>
        <w:t>Registro de viajes, cubicaje ($m^3$) de camiones y boletas de fresado/base.</w:t>
      </w:r>
    </w:p>
    <w:p>
      <w:pPr>
        <w:pStyle w:val="ListBullet"/>
        <w:spacing w:after="80" w:line="276" w:lineRule="auto"/>
      </w:pPr>
      <w:r>
        <w:rPr>
          <w:b/>
          <w:color w:val="222222"/>
        </w:rPr>
        <w:t xml:space="preserve">e) Módulo de Mezcla Asfáltica: </w:t>
      </w:r>
      <w:r>
        <w:rPr>
          <w:color w:val="222222"/>
        </w:rPr>
        <w:t>Monitoreo de materia prima (mina), producción en planta ($t$) y tendido en tramo.</w:t>
      </w:r>
    </w:p>
    <w:p>
      <w:pPr>
        <w:pStyle w:val="ListBullet"/>
        <w:spacing w:after="80" w:line="276" w:lineRule="auto"/>
      </w:pPr>
      <w:r>
        <w:rPr>
          <w:b/>
          <w:color w:val="222222"/>
        </w:rPr>
        <w:t xml:space="preserve">f) Módulo de Telepeaje (Tags): </w:t>
      </w:r>
      <w:r>
        <w:rPr>
          <w:color w:val="222222"/>
        </w:rPr>
        <w:t>Control de telepeaje (Pásalo, IAVE, Viapass, Televía) con asignación directa de costo a la obra beneficiada.</w:t>
      </w:r>
    </w:p>
    <w:p>
      <w:pPr>
        <w:keepNext/>
        <w:spacing w:before="360" w:after="160"/>
      </w:pPr>
      <w:r>
        <w:rPr>
          <w:rFonts w:ascii="Segoe UI" w:hAnsi="Segoe UI"/>
          <w:b/>
          <w:color w:val="1B365D"/>
          <w:sz w:val="32"/>
        </w:rPr>
        <w:t>2. VISIÓN A FUTURO Y HOJA DE RUTA DE EVOLUCIÓN TECNOLÓGICA</w:t>
      </w:r>
    </w:p>
    <w:p>
      <w:pPr>
        <w:spacing w:after="120" w:line="276" w:lineRule="auto"/>
      </w:pPr>
      <w:r>
        <w:rPr>
          <w:color w:val="222222"/>
        </w:rPr>
        <w:t>El Sistema Fénix 2.0 sienta las bases para una transformación digital continua. La visión a futuro contempla convertir el sistema en una plataforma autónoma e inteligente respaldada por las siguientes innovaciones:</w:t>
      </w:r>
    </w:p>
    <w:p>
      <w:pPr>
        <w:keepNext/>
        <w:spacing w:before="280" w:after="120"/>
      </w:pPr>
      <w:r>
        <w:rPr>
          <w:rFonts w:ascii="Segoe UI" w:hAnsi="Segoe UI"/>
          <w:b/>
          <w:color w:val="3B629B"/>
          <w:sz w:val="26"/>
        </w:rPr>
        <w:t>2.1 Aplicación Móvil PWA y Cliente Nativo Offline-First</w:t>
      </w:r>
    </w:p>
    <w:p>
      <w:pPr>
        <w:spacing w:after="120" w:line="276" w:lineRule="auto"/>
      </w:pPr>
      <w:r>
        <w:rPr>
          <w:color w:val="222222"/>
        </w:rPr>
        <w:t>Dado que muchas obras de infraestructura se ejecutan en zonas con cobertura de red nula o intermitente, se desarrollará la evolución a una Progressive Web App (PWA) e integración nativa móvil con motor de base de datos local (IndexedDB / SQLite local en el dispositivo). Los operadores capturarán las transacciones localmente y los Service Workers sincronizarán automáticamente con el servidor PostgreSQL central tan pronto como el dispositivo detecte señal de red.</w:t>
      </w:r>
    </w:p>
    <w:p>
      <w:pPr>
        <w:keepNext/>
        <w:spacing w:before="280" w:after="120"/>
      </w:pPr>
      <w:r>
        <w:rPr>
          <w:rFonts w:ascii="Segoe UI" w:hAnsi="Segoe UI"/>
          <w:b/>
          <w:color w:val="3B629B"/>
          <w:sz w:val="26"/>
        </w:rPr>
        <w:t>2.2 Integración IoT y Telemetría Automática en Sensores</w:t>
      </w:r>
    </w:p>
    <w:p>
      <w:pPr>
        <w:pStyle w:val="ListBullet"/>
        <w:spacing w:after="80" w:line="276" w:lineRule="auto"/>
      </w:pPr>
      <w:r>
        <w:rPr>
          <w:b/>
          <w:color w:val="222222"/>
        </w:rPr>
        <w:t xml:space="preserve">Flujómetros Digitales en Pipas: </w:t>
      </w:r>
      <w:r>
        <w:rPr>
          <w:color w:val="222222"/>
        </w:rPr>
        <w:t>Instalación de flujómetros digitales calibrados conectados por IoT en la manguera de despacho de la pipa 'Marimba', registrando automáticamente cada descarga en la BD.</w:t>
      </w:r>
    </w:p>
    <w:p>
      <w:pPr>
        <w:pStyle w:val="ListBullet"/>
        <w:spacing w:after="80" w:line="276" w:lineRule="auto"/>
      </w:pPr>
      <w:r>
        <w:rPr>
          <w:b/>
          <w:color w:val="222222"/>
        </w:rPr>
        <w:t xml:space="preserve">Medición de Tanques Fijos: </w:t>
      </w:r>
      <w:r>
        <w:rPr>
          <w:color w:val="222222"/>
        </w:rPr>
        <w:t>Sensores ultrasónicos de nivel en el Tanque Pegaso (20,000 L) y Tanque Huixquilucan para monitoreo continuo de inventarios en tiempo real y detección automática de fugas.</w:t>
      </w:r>
    </w:p>
    <w:p>
      <w:pPr>
        <w:pStyle w:val="ListBullet"/>
        <w:spacing w:after="80" w:line="276" w:lineRule="auto"/>
      </w:pPr>
      <w:r>
        <w:rPr>
          <w:b/>
          <w:color w:val="222222"/>
        </w:rPr>
        <w:t xml:space="preserve">Telemetría de Maquinaria: </w:t>
      </w:r>
      <w:r>
        <w:rPr>
          <w:color w:val="222222"/>
        </w:rPr>
        <w:t>Conexión con dispositivos GPS/CAN-Bus en maquinaria pesada para correlacionar horómetros y kilómetros reales con los litros suministrados.</w:t>
      </w:r>
    </w:p>
    <w:p>
      <w:pPr>
        <w:keepNext/>
        <w:spacing w:before="280" w:after="120"/>
      </w:pPr>
      <w:r>
        <w:rPr>
          <w:rFonts w:ascii="Segoe UI" w:hAnsi="Segoe UI"/>
          <w:b/>
          <w:color w:val="3B629B"/>
          <w:sz w:val="26"/>
        </w:rPr>
        <w:t>2.3 Asistente Conversacional Ejecutivo con Inteligencia Artificial (IA)</w:t>
      </w:r>
    </w:p>
    <w:p>
      <w:pPr>
        <w:spacing w:after="120" w:line="276" w:lineRule="auto"/>
      </w:pPr>
      <w:r>
        <w:rPr>
          <w:color w:val="222222"/>
        </w:rPr>
        <w:t>Integración de agentes basados en el modelo Google Gemini 1.5 Flash y la arquitectura n8n. Los directivos y auditores podrán realizar consultas complejas en lenguaje natural desde WhatsApp o la plataforma web, tales como:</w:t>
      </w:r>
    </w:p>
    <w:p>
      <w:pPr>
        <w:pStyle w:val="ListBullet"/>
        <w:spacing w:after="80" w:line="276" w:lineRule="auto"/>
      </w:pPr>
      <w:r>
        <w:rPr>
          <w:b/>
          <w:color w:val="222222"/>
        </w:rPr>
        <w:t xml:space="preserve">Ejemplo de Consulta 1: </w:t>
      </w:r>
      <w:r>
        <w:rPr>
          <w:color w:val="222222"/>
        </w:rPr>
        <w:t>¿Cuál fue la obra con mayor rendimiento de diésel por hora trabajada en la Semana 34?</w:t>
      </w:r>
    </w:p>
    <w:p>
      <w:pPr>
        <w:pStyle w:val="ListBullet"/>
        <w:spacing w:after="80" w:line="276" w:lineRule="auto"/>
      </w:pPr>
      <w:r>
        <w:rPr>
          <w:b/>
          <w:color w:val="222222"/>
        </w:rPr>
        <w:t xml:space="preserve">Ejemplo de Consulta 2: </w:t>
      </w:r>
      <w:r>
        <w:rPr>
          <w:color w:val="222222"/>
        </w:rPr>
        <w:t>Muestra un comparativo entre las facturas pagadas a Gasolinera Huixquilucan y los litros ingresados al Tanque Pegaso.</w:t>
      </w:r>
    </w:p>
    <w:p>
      <w:pPr>
        <w:pStyle w:val="ListBullet"/>
        <w:spacing w:after="80" w:line="276" w:lineRule="auto"/>
      </w:pPr>
      <w:r>
        <w:rPr>
          <w:b/>
          <w:color w:val="222222"/>
        </w:rPr>
        <w:t xml:space="preserve">Ejemplo de Consulta 3: </w:t>
      </w:r>
      <w:r>
        <w:rPr>
          <w:color w:val="222222"/>
        </w:rPr>
        <w:t>Alerta si algún ingeniero sobrepasó su presupuesto autorizado diario durante los últimos 3 días.</w:t>
      </w:r>
    </w:p>
    <w:p>
      <w:pPr>
        <w:keepNext/>
        <w:spacing w:before="280" w:after="120"/>
      </w:pPr>
      <w:r>
        <w:rPr>
          <w:rFonts w:ascii="Segoe UI" w:hAnsi="Segoe UI"/>
          <w:b/>
          <w:color w:val="3B629B"/>
          <w:sz w:val="26"/>
        </w:rPr>
        <w:t>2.4 Reconocimiento Óptico de Caracteres (OCR) en Visión Artificial</w:t>
      </w:r>
    </w:p>
    <w:p>
      <w:pPr>
        <w:spacing w:after="120" w:line="276" w:lineRule="auto"/>
      </w:pPr>
      <w:r>
        <w:rPr>
          <w:color w:val="222222"/>
        </w:rPr>
        <w:t>Módulo de procesamiento de imágenes que permitirá a los choferes fotocopiar el ticket de la gasolinería o la boleta de acarreo con la cámara de su celular. El motor OCR extraerá automáticamente el folio, la fecha, los litros, el costo total y el número económico, eliminando el tecleo manual.</w:t>
      </w:r>
    </w:p>
    <w:p>
      <w:pPr>
        <w:keepNext/>
        <w:spacing w:before="360" w:after="160"/>
      </w:pPr>
      <w:r>
        <w:rPr>
          <w:rFonts w:ascii="Segoe UI" w:hAnsi="Segoe UI"/>
          <w:b/>
          <w:color w:val="1B365D"/>
          <w:sz w:val="32"/>
        </w:rPr>
        <w:t>3. ARQUITECTURA DE LA BASE DE DATOS RELACIONAL (`fenix_db`)</w:t>
      </w:r>
    </w:p>
    <w:p>
      <w:pPr>
        <w:spacing w:after="120" w:line="276" w:lineRule="auto"/>
      </w:pPr>
      <w:r>
        <w:rPr>
          <w:color w:val="222222"/>
        </w:rPr>
        <w:t>El soporte de almacenamiento persistente del Sistema Fénix 2.0 es una base de datos relacional PostgreSQL 16 alojada localmente (`localhost:5432`). Garantiza cumplimiento de propiedades ACID (Atomicidad, Consistencia, Aislamiento, Durabilidad) y un estricto esquema relacional dividido por dominios operacionales (schemas).</w:t>
      </w:r>
    </w:p>
    <w:p>
      <w:pPr>
        <w:keepNext/>
        <w:spacing w:before="280" w:after="120"/>
      </w:pPr>
      <w:r>
        <w:rPr>
          <w:rFonts w:ascii="Segoe UI" w:hAnsi="Segoe UI"/>
          <w:b/>
          <w:color w:val="3B629B"/>
          <w:sz w:val="26"/>
        </w:rPr>
        <w:t>3.1 Esquema Relacional de Tablas Maestras</w:t>
      </w:r>
    </w:p>
    <w:p>
      <w:pPr>
        <w:keepNext/>
        <w:spacing w:before="200" w:after="80"/>
      </w:pPr>
      <w:r>
        <w:rPr>
          <w:rFonts w:ascii="Calibri" w:hAnsi="Calibri"/>
          <w:b/>
          <w:color w:val="1B365D"/>
          <w:sz w:val="23"/>
        </w:rPr>
        <w:t>A) Esquema Diésel (`diesel`)</w:t>
      </w:r>
    </w:p>
    <w:p>
      <w:pPr>
        <w:spacing w:after="120" w:line="276" w:lineRule="auto"/>
      </w:pPr>
      <w:r>
        <w:rPr>
          <w:color w:val="222222"/>
        </w:rPr>
        <w:t>Concentra la gestión de solicitudes, despachos, facturas y complementos de pago para combustible pesado.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Nombre de Tabla</w:t>
            </w:r>
          </w:p>
        </w:tc>
        <w:tc>
          <w:tcPr>
            <w:tcW w:type="dxa" w:w="1728"/>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Columna / Campo</w:t>
            </w:r>
          </w:p>
        </w:tc>
        <w:tc>
          <w:tcPr>
            <w:tcW w:type="dxa" w:w="144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Tipo de Dato</w:t>
            </w:r>
          </w:p>
        </w:tc>
        <w:tc>
          <w:tcPr>
            <w:tcW w:type="dxa" w:w="360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Restricciones / Descripción</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id</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BIGINT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PRIMARY KEY, AUTOINCREMENT</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folio_conciliacion</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UNIQUE, NOT NULL. Identificador de cruce</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fecha</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DATE / 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Fecha del despacho</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semana</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INTEGER</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Semana ISO del año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origen</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Punto de emisión (ej. Gasolinera / Tanque Pegaso)</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obra_destino</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FK -&gt; catalogos.obras(nombre)</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equipo_economico</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FK -&gt; catalogos.equipos(numero_economico)</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litros</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NUMERIC(12,2)</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Cantidad suministrada</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costo_por_litro</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NUMERIC(10,2)</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Precio unitario del diésel</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importe_total</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NUMERIC(14,2)</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Litros × Costo/L</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responsable</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Ingeniero a cargo de la obra</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diesel.solicitudes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id</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INTEGER</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PRIMARY KEY, AUTOINCREMENT</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diesel.solicitudes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semana</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INTEGER</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Semana solicitada</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diesel.solicitudes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litros_solicitados</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NUMERIC(12,2)</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Volumen requerido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diesel.solicitudes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estatus</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DEFAULT 'Pendiente' (Aprobado / Rechazado)</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diesel.facturas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id</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INTEGER</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PRIMARY KEY, AUTOINCREMENT</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diesel.facturas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folio_factura</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Folio impreso del proveedor</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diesel.facturas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uuid_cfdi</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UUID de 36 caracteres del SAT</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diesel.facturas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importe_total</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NUMERIC(14,2)</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Monto total con IVA</w:t>
            </w:r>
          </w:p>
        </w:tc>
      </w:tr>
    </w:tbl>
    <w:p>
      <w:pPr>
        <w:spacing w:after="120"/>
      </w:pPr>
    </w:p>
    <w:p>
      <w:pPr>
        <w:keepNext/>
        <w:spacing w:before="200" w:after="80"/>
      </w:pPr>
      <w:r>
        <w:rPr>
          <w:rFonts w:ascii="Calibri" w:hAnsi="Calibri"/>
          <w:b/>
          <w:color w:val="1B365D"/>
          <w:sz w:val="23"/>
        </w:rPr>
        <w:t>B) Esquema Gasolina (`gasolina`)</w:t>
      </w:r>
    </w:p>
    <w:p>
      <w:pPr>
        <w:spacing w:after="120" w:line="276" w:lineRule="auto"/>
      </w:pPr>
      <w:r>
        <w:rPr>
          <w:color w:val="222222"/>
        </w:rPr>
        <w:t>Controla la flotilla ligera, el autocompletado en 0ms y el concilio masivo desde archivos Excel.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Nombre de Tabla</w:t>
            </w:r>
          </w:p>
        </w:tc>
        <w:tc>
          <w:tcPr>
            <w:tcW w:type="dxa" w:w="1728"/>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Columna / Campo</w:t>
            </w:r>
          </w:p>
        </w:tc>
        <w:tc>
          <w:tcPr>
            <w:tcW w:type="dxa" w:w="144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Tipo de Dato</w:t>
            </w:r>
          </w:p>
        </w:tc>
        <w:tc>
          <w:tcPr>
            <w:tcW w:type="dxa" w:w="360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Restricciones / Descripción</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id</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BIGINT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PRIMARY KEY, AUTOINCREMENT</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folio_conciliacion</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UNIQUE, NOT NULL</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fecha</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DATE / 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semana</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INTEGER</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Semana ISO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placa</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Placa del vehículo o 'S/P'</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vehiculo</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Marca, modelo y número económico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conductor</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Conductor responsable asignado</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obra_destino</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Obra o centro de costo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litros</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NUMERIC(10,2)</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Litros despachados</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importe_total</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NUMERIC(12,2)</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Importe cobrado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gasolina.autorizaciones_maestro</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placa</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PRIMARY KEY. Utilizada para autocompletado 0ms</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gasolina.autorizaciones_maestro</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vehiculo</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Nombre registrado del vehículo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gasolina.autorizaciones_maestro</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conductor</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Conductor habitual</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gasolina.autorizaciones_maestro</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obra_asignada</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Obra por defecto</w:t>
            </w:r>
          </w:p>
        </w:tc>
      </w:tr>
    </w:tbl>
    <w:p>
      <w:pPr>
        <w:spacing w:after="120"/>
      </w:pPr>
    </w:p>
    <w:p>
      <w:pPr>
        <w:keepNext/>
        <w:spacing w:before="200" w:after="80"/>
      </w:pPr>
      <w:r>
        <w:rPr>
          <w:rFonts w:ascii="Calibri" w:hAnsi="Calibri"/>
          <w:b/>
          <w:color w:val="1B365D"/>
          <w:sz w:val="23"/>
        </w:rPr>
        <w:t>C) Esquema Catálogos y Auditoría (`catalogos`)</w:t>
      </w:r>
    </w:p>
    <w:p>
      <w:pPr>
        <w:spacing w:after="120" w:line="276" w:lineRule="auto"/>
      </w:pPr>
      <w:r>
        <w:rPr>
          <w:color w:val="222222"/>
        </w:rPr>
        <w:t>Mantiene el padrón maestro corporativo y la bitácora inalterable de cambios.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Nombre de Tabla</w:t>
            </w:r>
          </w:p>
        </w:tc>
        <w:tc>
          <w:tcPr>
            <w:tcW w:type="dxa" w:w="1728"/>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Columna / Campo</w:t>
            </w:r>
          </w:p>
        </w:tc>
        <w:tc>
          <w:tcPr>
            <w:tcW w:type="dxa" w:w="144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Tipo de Dato</w:t>
            </w:r>
          </w:p>
        </w:tc>
        <w:tc>
          <w:tcPr>
            <w:tcW w:type="dxa" w:w="360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Restricciones / Descripción</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catalogos.responsables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id</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INTEGER</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PRIMARY KEY, AUTOINCREMENT</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catalogos.responsables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nombre</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UNIQUE. Nombre del Ingeniero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catalogos.responsables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dias_trabajados</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INTEGER</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Regla de negocio (6 ó 5 Días)</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catalogos.responsables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autorizado_diario</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NUMERIC(10,2)</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Cuota diaria en Litros</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catalogos.obras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codigo</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PRIMARY KEY. Clave corta de la obra</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catalogos.obras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nombre</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UNIQUE. Nombre oficial</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catalogos.equipos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numero_economico</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PRIMARY KEY. Ej. 'EX-01'</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catalogos.equipos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descripcion</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Descripción de la máquina / vehículo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catalogos.audit_log</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id</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BIGINT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PRIMARY KEY, AUTOINCREMENT</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catalogos.audit_log</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tabla_afectada</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Nombre de la tabla modificada</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catalogos.audit_log</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registro_id</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ID del registro alterado</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catalogos.audit_log</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usuario</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Usuario que ejecutó la acción</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catalogos.audit_log</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accion</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'INSERT', 'UPDATE' o 'DELETE'</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catalogos.audit_log</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valor_anterior</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 / JSON</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Estado previo a la modificación</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catalogos.audit_log</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valor_nuevo</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 / JSON</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Estado posterior a la modificación</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catalogos.audit_log</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fecha_hora</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TIMESTAMP</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DEFAULT CURRENT_TIMESTAMP. Inalterable</w:t>
            </w:r>
          </w:p>
        </w:tc>
      </w:tr>
    </w:tbl>
    <w:p>
      <w:pPr>
        <w:spacing w:after="120"/>
      </w:pPr>
    </w:p>
    <w:p>
      <w:pPr>
        <w:keepNext/>
        <w:spacing w:before="360" w:after="160"/>
      </w:pPr>
      <w:r>
        <w:rPr>
          <w:rFonts w:ascii="Segoe UI" w:hAnsi="Segoe UI"/>
          <w:b/>
          <w:color w:val="1B365D"/>
          <w:sz w:val="32"/>
        </w:rPr>
        <w:t>4. ARQUITECTURA DE SOFTWARE Y CÓDIGO FUENTE</w:t>
      </w:r>
    </w:p>
    <w:p>
      <w:pPr>
        <w:spacing w:after="120" w:line="276" w:lineRule="auto"/>
      </w:pPr>
      <w:r>
        <w:rPr>
          <w:color w:val="222222"/>
        </w:rPr>
        <w:t>El Sistema Fénix 2.0 utiliza una arquitectura desacoplada de doble portal que separa las tareas de alta velocidad en campo de las funciones de auditoría contable y dirección en oficina.</w:t>
      </w:r>
    </w:p>
    <w:p>
      <w:pPr>
        <w:keepNext/>
        <w:spacing w:before="280" w:after="120"/>
      </w:pPr>
      <w:r>
        <w:rPr>
          <w:rFonts w:ascii="Segoe UI" w:hAnsi="Segoe UI"/>
          <w:b/>
          <w:color w:val="3B629B"/>
          <w:sz w:val="26"/>
        </w:rPr>
        <w:t>4.1 Stack Tecnológico Seleccionado</w:t>
      </w:r>
    </w:p>
    <w:p>
      <w:pPr>
        <w:pStyle w:val="ListBullet"/>
        <w:spacing w:after="80" w:line="276" w:lineRule="auto"/>
      </w:pPr>
      <w:r>
        <w:rPr>
          <w:b/>
          <w:color w:val="222222"/>
        </w:rPr>
        <w:t xml:space="preserve">Lenguaje de Backend: </w:t>
      </w:r>
      <w:r>
        <w:rPr>
          <w:color w:val="222222"/>
        </w:rPr>
        <w:t>Python 3.12 como lenguaje central, elegido por su robustness, velocidad de procesamiento analítico y ecosistema de datos.</w:t>
      </w:r>
    </w:p>
    <w:p>
      <w:pPr>
        <w:pStyle w:val="ListBullet"/>
        <w:spacing w:after="80" w:line="276" w:lineRule="auto"/>
      </w:pPr>
      <w:r>
        <w:rPr>
          <w:b/>
          <w:color w:val="222222"/>
        </w:rPr>
        <w:t xml:space="preserve">Framework Web: </w:t>
      </w:r>
      <w:r>
        <w:rPr>
          <w:color w:val="222222"/>
        </w:rPr>
        <w:t>Flask (micro-framework WSGI) administrando rutas REST API, renderización de plantillas y middlewares de autenticación.</w:t>
      </w:r>
    </w:p>
    <w:p>
      <w:pPr>
        <w:pStyle w:val="ListBullet"/>
        <w:spacing w:after="80" w:line="276" w:lineRule="auto"/>
      </w:pPr>
      <w:r>
        <w:rPr>
          <w:b/>
          <w:color w:val="222222"/>
        </w:rPr>
        <w:t xml:space="preserve">Frontend / UI: </w:t>
      </w:r>
      <w:r>
        <w:rPr>
          <w:color w:val="222222"/>
        </w:rPr>
        <w:t>HTML5 semántico, CSS3 con diseño 'Aesthetic Glassmorphism' (modo oscuro de alto contraste) y JavaScript puro (Vanilla JS).</w:t>
      </w:r>
    </w:p>
    <w:p>
      <w:pPr>
        <w:pStyle w:val="ListBullet"/>
        <w:spacing w:after="80" w:line="276" w:lineRule="auto"/>
      </w:pPr>
      <w:r>
        <w:rPr>
          <w:b/>
          <w:color w:val="222222"/>
        </w:rPr>
        <w:t xml:space="preserve">Generación Excel: </w:t>
      </w:r>
      <w:r>
        <w:rPr>
          <w:color w:val="222222"/>
        </w:rPr>
        <w:t>Librería OpenPyXL para lectura y construcción de hojas de cálculo con fórmulas dinámicas y estilos corporativos.</w:t>
      </w:r>
    </w:p>
    <w:p>
      <w:pPr>
        <w:pStyle w:val="ListBullet"/>
        <w:spacing w:after="80" w:line="276" w:lineRule="auto"/>
      </w:pPr>
      <w:r>
        <w:rPr>
          <w:b/>
          <w:color w:val="222222"/>
        </w:rPr>
        <w:t xml:space="preserve">Generación PDF: </w:t>
      </w:r>
      <w:r>
        <w:rPr>
          <w:color w:val="222222"/>
        </w:rPr>
        <w:t>Librería ReportLab para la maquetación de reportes ejecutivos en PDF en formato horizontal landscape con firmas.</w:t>
      </w:r>
    </w:p>
    <w:p>
      <w:pPr>
        <w:pStyle w:val="ListBullet"/>
        <w:spacing w:after="80" w:line="276" w:lineRule="auto"/>
      </w:pPr>
      <w:r>
        <w:rPr>
          <w:b/>
          <w:color w:val="222222"/>
        </w:rPr>
        <w:t xml:space="preserve">Lectura de Documentos: </w:t>
      </w:r>
      <w:r>
        <w:rPr>
          <w:color w:val="222222"/>
        </w:rPr>
        <w:t>Librería pdfplumber para la extracción inteligente de datos tabulares desde archivos PDF de bitácoras de campo.</w:t>
      </w:r>
    </w:p>
    <w:p>
      <w:pPr>
        <w:keepNext/>
        <w:spacing w:before="280" w:after="120"/>
      </w:pPr>
      <w:r>
        <w:rPr>
          <w:rFonts w:ascii="Segoe UI" w:hAnsi="Segoe UI"/>
          <w:b/>
          <w:color w:val="3B629B"/>
          <w:sz w:val="26"/>
        </w:rPr>
        <w:t>4.2 Módulos y Archivos del Código Fuente Principal</w:t>
      </w:r>
    </w:p>
    <w:p>
      <w:pPr>
        <w:spacing w:after="120" w:line="276" w:lineRule="auto"/>
      </w:pPr>
      <w:r>
        <w:rPr>
          <w:color w:val="222222"/>
        </w:rPr>
        <w:t>Desglose de los scripts principales que integran el sistema:</w:t>
      </w:r>
    </w:p>
    <w:p>
      <w:pPr>
        <w:pStyle w:val="ListBullet"/>
        <w:spacing w:after="80" w:line="276" w:lineRule="auto"/>
      </w:pPr>
      <w:r>
        <w:rPr>
          <w:b/>
          <w:color w:val="222222"/>
        </w:rPr>
        <w:t xml:space="preserve">app_captura.py: </w:t>
      </w:r>
      <w:r>
        <w:rPr>
          <w:color w:val="222222"/>
        </w:rPr>
        <w:t>Servidor de Captura Operativa (Puerto 5001). Contiene 2,484 líneas de código Python. Maneja los endpoints para la captura de Diésel, Gasolina, Jalisco, Solicitudes y Acarreos. Incluye los algoritmos de normalización de textos y la interfaz de lectura masiva de Excel.</w:t>
      </w:r>
    </w:p>
    <w:p>
      <w:pPr>
        <w:pStyle w:val="ListBullet"/>
        <w:spacing w:after="80" w:line="276" w:lineRule="auto"/>
      </w:pPr>
      <w:r>
        <w:rPr>
          <w:b/>
          <w:color w:val="222222"/>
        </w:rPr>
        <w:t xml:space="preserve">app_admin.py: </w:t>
      </w:r>
      <w:r>
        <w:rPr>
          <w:color w:val="222222"/>
        </w:rPr>
        <w:t>Centro de Mando Administrativo (Puerto 5002). Núcleo de control de 12,954 líneas de código. Gestiona la consolidación de dashboards, el cálculo presupuestal semanal (6D vs 5D), la validación de facturas CFDI/XML, el módulo de telepeaje Tags, la edición de catálogos maestras y la generación de reportes ejecutivos.</w:t>
      </w:r>
    </w:p>
    <w:p>
      <w:pPr>
        <w:pStyle w:val="ListBullet"/>
        <w:spacing w:after="80" w:line="276" w:lineRule="auto"/>
      </w:pPr>
      <w:r>
        <w:rPr>
          <w:b/>
          <w:color w:val="222222"/>
        </w:rPr>
        <w:t xml:space="preserve">bitacora_pdf_service.py: </w:t>
      </w:r>
      <w:r>
        <w:rPr>
          <w:color w:val="222222"/>
        </w:rPr>
        <w:t>Servicio de extracción de datos en PDF de bitácoras diarias. Parsea automáticamente columnas de obra, equipo, litros y kilometraje desde archivos PDF adjuntos, validando duplicados contra la base de datos.</w:t>
      </w:r>
    </w:p>
    <w:p>
      <w:pPr>
        <w:pStyle w:val="ListBullet"/>
        <w:spacing w:after="80" w:line="276" w:lineRule="auto"/>
      </w:pPr>
      <w:r>
        <w:rPr>
          <w:b/>
          <w:color w:val="222222"/>
        </w:rPr>
        <w:t xml:space="preserve">motor_agente_conciliacion.py: </w:t>
      </w:r>
      <w:r>
        <w:rPr>
          <w:color w:val="222222"/>
        </w:rPr>
        <w:t>Motor de conciliación O(1). Carga los consumos registrados y efectúa comparativos masivos contra los estados de cuenta presentados por los proveedores de combustible (Levet / JDJ / Mobil).</w:t>
      </w:r>
    </w:p>
    <w:p>
      <w:pPr>
        <w:pStyle w:val="ListBullet"/>
        <w:spacing w:after="80" w:line="276" w:lineRule="auto"/>
      </w:pPr>
      <w:r>
        <w:rPr>
          <w:b/>
          <w:color w:val="222222"/>
        </w:rPr>
        <w:t xml:space="preserve">generador_acta_conciliacion.py: </w:t>
      </w:r>
      <w:r>
        <w:rPr>
          <w:color w:val="222222"/>
        </w:rPr>
        <w:t>Generador especializado de reportes formales en PDF ('Acta de Conciliación Semanal') con tablas alineadas, cabeceras en color corporativo y secciones de firmas para los auditores.</w:t>
      </w:r>
    </w:p>
    <w:p>
      <w:pPr>
        <w:pStyle w:val="ListBullet"/>
        <w:spacing w:after="80" w:line="276" w:lineRule="auto"/>
      </w:pPr>
      <w:r>
        <w:rPr>
          <w:b/>
          <w:color w:val="222222"/>
        </w:rPr>
        <w:t xml:space="preserve">Lanzadores BAT: </w:t>
      </w:r>
      <w:r>
        <w:rPr>
          <w:color w:val="222222"/>
        </w:rPr>
        <w:t>Archivos de procesamiento por lotes para el arranque simultáneo de los servicios en el servidor: INICIAR_FENIX.bat (Lanzador principal), INICIAR_ADMIN.bat (Portal 5002), INICIAR_CAPTURA.bat (Portal 5001) e INICIAR_N8N.bat (Motor de automatización).</w:t>
      </w:r>
    </w:p>
    <w:p>
      <w:pPr>
        <w:keepNext/>
        <w:spacing w:before="360" w:after="160"/>
      </w:pPr>
      <w:r>
        <w:rPr>
          <w:rFonts w:ascii="Segoe UI" w:hAnsi="Segoe UI"/>
          <w:b/>
          <w:color w:val="1B365D"/>
          <w:sz w:val="32"/>
        </w:rPr>
        <w:t>5. MANUAL OPERATIVO Y FUNCIONAMIENTO PASO A PASO</w:t>
      </w:r>
    </w:p>
    <w:p>
      <w:pPr>
        <w:spacing w:after="120" w:line="276" w:lineRule="auto"/>
      </w:pPr>
      <w:r>
        <w:rPr>
          <w:color w:val="222222"/>
        </w:rPr>
        <w:t>El sistema opera bajo un entorno multimodular accesible mediante navegador web. A continuación se documenta el funcionamiento paso a paso de cada portal y pestaña.</w:t>
      </w:r>
    </w:p>
    <w:p>
      <w:pPr>
        <w:keepNext/>
        <w:spacing w:before="280" w:after="120"/>
      </w:pPr>
      <w:r>
        <w:rPr>
          <w:rFonts w:ascii="Segoe UI" w:hAnsi="Segoe UI"/>
          <w:b/>
          <w:color w:val="3B629B"/>
          <w:sz w:val="26"/>
        </w:rPr>
        <w:t>5.1 Portal de Captura Operativa (`http://localhost:5001`)</w:t>
      </w:r>
    </w:p>
    <w:p>
      <w:pPr>
        <w:keepNext/>
        <w:spacing w:before="200" w:after="80"/>
      </w:pPr>
      <w:r>
        <w:rPr>
          <w:rFonts w:ascii="Calibri" w:hAnsi="Calibri"/>
          <w:b/>
          <w:color w:val="1B365D"/>
          <w:sz w:val="23"/>
        </w:rPr>
        <w:t>1. Pestaña Diésel (`captura_diesel.html`)</w:t>
      </w:r>
    </w:p>
    <w:p>
      <w:pPr>
        <w:spacing w:after="120" w:line="276" w:lineRule="auto"/>
      </w:pPr>
      <w:r>
        <w:rPr>
          <w:color w:val="222222"/>
        </w:rPr>
        <w:t>Permite el registro de despachos de diésel entregados por la pipa 'Marimba' o tanques fijos a la maquinaria.</w:t>
      </w:r>
    </w:p>
    <w:p>
      <w:pPr>
        <w:pStyle w:val="ListBullet"/>
        <w:spacing w:after="80" w:line="276" w:lineRule="auto"/>
      </w:pPr>
      <w:r>
        <w:rPr>
          <w:b/>
          <w:color w:val="222222"/>
        </w:rPr>
        <w:t xml:space="preserve">Captura Individual: </w:t>
      </w:r>
      <w:r>
        <w:rPr>
          <w:color w:val="222222"/>
        </w:rPr>
        <w:t>El usuario selecciona la fecha, la obra de destino, el equipo económico (ej. EX-01) y los litros despachados.</w:t>
      </w:r>
    </w:p>
    <w:p>
      <w:pPr>
        <w:pStyle w:val="ListBullet"/>
        <w:spacing w:after="80" w:line="276" w:lineRule="auto"/>
      </w:pPr>
      <w:r>
        <w:rPr>
          <w:b/>
          <w:color w:val="222222"/>
        </w:rPr>
        <w:t xml:space="preserve">Lectura Inteligente de PDF: </w:t>
      </w:r>
      <w:r>
        <w:rPr>
          <w:color w:val="222222"/>
        </w:rPr>
        <w:t>El usuario arrastra un archivo PDF de bitácora diaria. El sistema invoca `bitacora_pdf_service.py`, lee las filas automáticamente y las muestra en pantalla pre-llenadas para su confirmación inmediata.</w:t>
      </w:r>
    </w:p>
    <w:p>
      <w:pPr>
        <w:keepNext/>
        <w:spacing w:before="200" w:after="80"/>
      </w:pPr>
      <w:r>
        <w:rPr>
          <w:rFonts w:ascii="Calibri" w:hAnsi="Calibri"/>
          <w:b/>
          <w:color w:val="1B365D"/>
          <w:sz w:val="23"/>
        </w:rPr>
        <w:t>2. Pestaña Gasolina (`captura_gasolina.html`)</w:t>
      </w:r>
    </w:p>
    <w:p>
      <w:pPr>
        <w:pStyle w:val="ListBullet"/>
        <w:spacing w:after="80" w:line="276" w:lineRule="auto"/>
      </w:pPr>
      <w:r>
        <w:rPr>
          <w:b/>
          <w:color w:val="222222"/>
        </w:rPr>
        <w:t xml:space="preserve">Sub-pestaña 1 (Individual con Autocompletado 0ms): </w:t>
      </w:r>
      <w:r>
        <w:rPr>
          <w:color w:val="222222"/>
        </w:rPr>
        <w:t>Al ingresar la placa del vehículo, un script en Vanilla JS consulta en memoria el padrón `gasolina.autorizaciones_maestro` y rellena al instante (0ms) el Vehículo, el Conductor y la Obra por defecto.</w:t>
      </w:r>
    </w:p>
    <w:p>
      <w:pPr>
        <w:pStyle w:val="ListBullet"/>
        <w:spacing w:after="80" w:line="276" w:lineRule="auto"/>
      </w:pPr>
      <w:r>
        <w:rPr>
          <w:b/>
          <w:color w:val="222222"/>
        </w:rPr>
        <w:t xml:space="preserve">Sub-pestaña 2 (Captura Masiva Excel Levet/JDJ): </w:t>
      </w:r>
      <w:r>
        <w:rPr>
          <w:color w:val="222222"/>
        </w:rPr>
        <w:t>Permite arrastrar archivos Excel mensuales suministrados por gasolinerías (ej. CONTROL JDJ). El sistema separa los registros en semanas ISO (Semana 26 a 31), realiza una búsqueda $O(1)$ de duplicados y marca cada fila como '✔ CONCILIADO' (ya existente) o '🆕 NUEVO' (pendiente). Al hacer clic en 'Guardar Masivo', inserta cientos de registros en lote en menos de 1 segundo.</w:t>
      </w:r>
    </w:p>
    <w:p>
      <w:pPr>
        <w:keepNext/>
        <w:spacing w:before="200" w:after="80"/>
      </w:pPr>
      <w:r>
        <w:rPr>
          <w:rFonts w:ascii="Calibri" w:hAnsi="Calibri"/>
          <w:b/>
          <w:color w:val="1B365D"/>
          <w:sz w:val="23"/>
        </w:rPr>
        <w:t>3. Pestañas Jalisco, Solicitudes, Acarreos y Mezcla</w:t>
      </w:r>
    </w:p>
    <w:p>
      <w:pPr>
        <w:pStyle w:val="ListBullet"/>
        <w:spacing w:after="80" w:line="276" w:lineRule="auto"/>
      </w:pPr>
      <w:r>
        <w:rPr>
          <w:b/>
          <w:color w:val="222222"/>
        </w:rPr>
        <w:t xml:space="preserve">Jalisco: </w:t>
      </w:r>
      <w:r>
        <w:rPr>
          <w:color w:val="222222"/>
        </w:rPr>
        <w:t>Captura de vales de combustible y vales de caja para obras en Jalisco con carga de evidencia fotográfica.</w:t>
      </w:r>
    </w:p>
    <w:p>
      <w:pPr>
        <w:pStyle w:val="ListBullet"/>
        <w:spacing w:after="80" w:line="276" w:lineRule="auto"/>
      </w:pPr>
      <w:r>
        <w:rPr>
          <w:b/>
          <w:color w:val="222222"/>
        </w:rPr>
        <w:t xml:space="preserve">Solicitudes: </w:t>
      </w:r>
      <w:r>
        <w:rPr>
          <w:color w:val="222222"/>
        </w:rPr>
        <w:t>Formulario de petición de saldo en el cual los ingenieros solicitan volumen semanal antes de surtir.</w:t>
      </w:r>
    </w:p>
    <w:p>
      <w:pPr>
        <w:pStyle w:val="ListBullet"/>
        <w:spacing w:after="80" w:line="276" w:lineRule="auto"/>
      </w:pPr>
      <w:r>
        <w:rPr>
          <w:b/>
          <w:color w:val="222222"/>
        </w:rPr>
        <w:t xml:space="preserve">Acarreos: </w:t>
      </w:r>
      <w:r>
        <w:rPr>
          <w:color w:val="222222"/>
        </w:rPr>
        <w:t>Registro de viajes de acarreo calculando el cubicaje ($m^3$) según el camión y material transportado.</w:t>
      </w:r>
    </w:p>
    <w:p>
      <w:pPr>
        <w:pStyle w:val="ListBullet"/>
        <w:spacing w:after="80" w:line="276" w:lineRule="auto"/>
      </w:pPr>
      <w:r>
        <w:rPr>
          <w:b/>
          <w:color w:val="222222"/>
        </w:rPr>
        <w:t xml:space="preserve">Mezcla: </w:t>
      </w:r>
      <w:r>
        <w:rPr>
          <w:color w:val="222222"/>
        </w:rPr>
        <w:t>Monitoreo de toneladas de mezcla asfáltica producidas en planta y aplicadas en tramos carreteros.</w:t>
      </w:r>
    </w:p>
    <w:p>
      <w:pPr>
        <w:keepNext/>
        <w:spacing w:before="280" w:after="120"/>
      </w:pPr>
      <w:r>
        <w:rPr>
          <w:rFonts w:ascii="Segoe UI" w:hAnsi="Segoe UI"/>
          <w:b/>
          <w:color w:val="3B629B"/>
          <w:sz w:val="26"/>
        </w:rPr>
        <w:t>5.2 Centro de Mando Administrativo (`http://localhost:5002`)</w:t>
      </w:r>
    </w:p>
    <w:p>
      <w:pPr>
        <w:keepNext/>
        <w:spacing w:before="200" w:after="80"/>
      </w:pPr>
      <w:r>
        <w:rPr>
          <w:rFonts w:ascii="Calibri" w:hAnsi="Calibri"/>
          <w:b/>
          <w:color w:val="1B365D"/>
          <w:sz w:val="23"/>
        </w:rPr>
        <w:t>1. Pestaña Resumen / Dashboard (`admin_resumen.html`)</w:t>
      </w:r>
    </w:p>
    <w:p>
      <w:pPr>
        <w:spacing w:after="120" w:line="276" w:lineRule="auto"/>
      </w:pPr>
      <w:r>
        <w:rPr>
          <w:color w:val="222222"/>
        </w:rPr>
        <w:t>Panel ejecutivo que consolida en tiempo real los indicadores clave (KPIs): litros totales consumidos, gasto financiero acumulado, porcentaje de facturación conciliada y desglose por obra.</w:t>
      </w:r>
    </w:p>
    <w:p>
      <w:pPr>
        <w:keepNext/>
        <w:spacing w:before="200" w:after="80"/>
      </w:pPr>
      <w:r>
        <w:rPr>
          <w:rFonts w:ascii="Calibri" w:hAnsi="Calibri"/>
          <w:b/>
          <w:color w:val="1B365D"/>
          <w:sz w:val="23"/>
        </w:rPr>
        <w:t>2. Pestaña Reporte Semanal por Ingeniero (`admin_diesel.html`)</w:t>
      </w:r>
    </w:p>
    <w:p>
      <w:pPr>
        <w:spacing w:after="120" w:line="276" w:lineRule="auto"/>
      </w:pPr>
      <w:r>
        <w:rPr>
          <w:color w:val="222222"/>
        </w:rPr>
        <w:t>Genera el reporte normado de consumo presupuestal. El sistema aplica estrictamente la distinción de días trabajados según la configuración del catálogo `catalogos.responsables`:</w:t>
      </w:r>
    </w:p>
    <w:tbl>
      <w:tblPr>
        <w:tblW w:type="auto" w:w="0"/>
        <w:jc w:val="center"/>
        <w:tblLayout w:type="fixed"/>
        <w:tblLook w:firstColumn="1" w:firstRow="1" w:lastColumn="0" w:lastRow="0" w:noHBand="0" w:noVBand="1" w:val="04A0"/>
      </w:tblPr>
      <w:tblGrid>
        <w:gridCol w:w="9360"/>
      </w:tblGrid>
      <w:tr>
        <w:tc>
          <w:tcPr>
            <w:tcW w:type="dxa" w:w="9360"/>
            <w:shd w:fill="EBF2F7"/>
            <w:tcMar>
              <w:top w:w="140" w:type="dxa"/>
              <w:bottom w:w="140" w:type="dxa"/>
              <w:left w:w="180" w:type="dxa"/>
              <w:right w:w="140" w:type="dxa"/>
            </w:tcMar>
            <w:tcBorders>
              <w:left w:val="single" w:sz="24" w:space="0" w:color="1B365D"/>
              <w:top w:val="none" w:sz="0" w:space="0" w:color="auto"/>
              <w:bottom w:val="none" w:sz="0" w:space="0" w:color="auto"/>
              <w:right w:val="none" w:sz="0" w:space="0" w:color="auto"/>
            </w:tcBorders>
          </w:tcPr>
          <w:p>
            <w:pPr>
              <w:spacing w:after="80"/>
            </w:pPr>
            <w:r>
              <w:rPr>
                <w:rFonts w:ascii="Segoe UI" w:hAnsi="Segoe UI"/>
                <w:b/>
                <w:color w:val="1B365D"/>
                <w:sz w:val="22"/>
              </w:rPr>
              <w:t>📌 Fórmula Normada de Presupuesto Semanal (Regla de Días Trabajados)</w:t>
              <w:br/>
            </w:r>
            <w:r>
              <w:rPr>
                <w:rFonts w:ascii="Calibri" w:hAnsi="Calibri"/>
                <w:color w:val="222222"/>
                <w:sz w:val="20"/>
              </w:rPr>
              <w:t>• SECCIÓN 1: INGENIEROS DE 6 DÍAS (Apolinar, Francisco Javier, Ing. Diego Carreola, Jack, Luis)</w:t>
              <w:br/>
              <w:t xml:space="preserve">  Fórmula: Autorización Semanal = Autorizado Diario × 6 Días</w:t>
              <w:br/>
              <w:br/>
              <w:t>• SECCIÓN 2: INGENIEROS DE 5 DÍAS (Dayanne, Edgar, Samuel)</w:t>
              <w:br/>
              <w:t xml:space="preserve">  Fórmula: Autorización Semanal = Autorizado Diario × 5 Días</w:t>
              <w:br/>
              <w:br/>
              <w:t>El sistema calcula el Consumo Real vs la Autorización Semanal y determina la Variación / Excedente. Permite exportar el informe oficial en Excel con fórmulas vivas y en PDF horizontal con firmas autorizadas.</w:t>
            </w:r>
          </w:p>
        </w:tc>
      </w:tr>
    </w:tbl>
    <w:p>
      <w:pPr>
        <w:spacing w:after="120"/>
      </w:pPr>
    </w:p>
    <w:p>
      <w:pPr>
        <w:keepNext/>
        <w:spacing w:before="200" w:after="80"/>
      </w:pPr>
      <w:r>
        <w:rPr>
          <w:rFonts w:ascii="Calibri" w:hAnsi="Calibri"/>
          <w:b/>
          <w:color w:val="1B365D"/>
          <w:sz w:val="23"/>
        </w:rPr>
        <w:t>3. Pestaña Facturas &amp; Conciliación SAT (`admin_subir_facturas.html`)</w:t>
      </w:r>
    </w:p>
    <w:p>
      <w:pPr>
        <w:spacing w:after="120" w:line="276" w:lineRule="auto"/>
      </w:pPr>
      <w:r>
        <w:rPr>
          <w:color w:val="222222"/>
        </w:rPr>
        <w:t>Módulo contable para la carga de archivos XML (CFDI 4.0) y PDF de facturas y Complementos de Pago del SAT (ej. Complemento Folio 58914 por $316,944.71 MXN). Actualiza automáticamente el estatus del pago a 'PAGADA', 'PARCIAL' o 'PENDIENTE'.</w:t>
      </w:r>
    </w:p>
    <w:p>
      <w:pPr>
        <w:keepNext/>
        <w:spacing w:before="200" w:after="80"/>
      </w:pPr>
      <w:r>
        <w:rPr>
          <w:rFonts w:ascii="Calibri" w:hAnsi="Calibri"/>
          <w:b/>
          <w:color w:val="1B365D"/>
          <w:sz w:val="23"/>
        </w:rPr>
        <w:t>4. Pestañas Telepeaje Tags y Catálogos Maestros</w:t>
      </w:r>
    </w:p>
    <w:p>
      <w:pPr>
        <w:pStyle w:val="ListBullet"/>
        <w:spacing w:after="80" w:line="276" w:lineRule="auto"/>
      </w:pPr>
      <w:r>
        <w:rPr>
          <w:b/>
          <w:color w:val="222222"/>
        </w:rPr>
        <w:t xml:space="preserve">Telepeaje Tags: </w:t>
      </w:r>
      <w:r>
        <w:rPr>
          <w:color w:val="222222"/>
        </w:rPr>
        <w:t>Conciliación de pases por casetas de cobro asignando el importe exacto a la obra correspondiente.</w:t>
      </w:r>
    </w:p>
    <w:p>
      <w:pPr>
        <w:pStyle w:val="ListBullet"/>
        <w:spacing w:after="80" w:line="276" w:lineRule="auto"/>
      </w:pPr>
      <w:r>
        <w:rPr>
          <w:b/>
          <w:color w:val="222222"/>
        </w:rPr>
        <w:t xml:space="preserve">Catálogos Maestros: </w:t>
      </w:r>
      <w:r>
        <w:rPr>
          <w:color w:val="222222"/>
        </w:rPr>
        <w:t>Gestión del padrón de Responsables (configurando cuotas y días 6D/5D), Obras, Equipos y consulta del log inalterable de auditoría catalogos.audit_log.</w:t>
      </w:r>
    </w:p>
    <w:p>
      <w:pPr>
        <w:keepNext/>
        <w:spacing w:before="280" w:after="120"/>
      </w:pPr>
      <w:r>
        <w:rPr>
          <w:rFonts w:ascii="Segoe UI" w:hAnsi="Segoe UI"/>
          <w:b/>
          <w:color w:val="3B629B"/>
          <w:sz w:val="26"/>
        </w:rPr>
        <w:t>5.3 Flujo Operativo Completo en 6 Etapas (Del WhatsApp al Martes de Conciliación)</w:t>
      </w:r>
    </w:p>
    <w:p>
      <w:pPr>
        <w:spacing w:after="120" w:line="276" w:lineRule="auto"/>
      </w:pPr>
      <w:r>
        <w:rPr>
          <w:color w:val="222222"/>
        </w:rPr>
        <w:t>La operación regular de combustible sigue un flujo secuencial normado:</w:t>
      </w:r>
    </w:p>
    <w:p>
      <w:pPr>
        <w:pStyle w:val="ListBullet"/>
        <w:spacing w:after="80" w:line="276" w:lineRule="auto"/>
      </w:pPr>
      <w:r>
        <w:rPr>
          <w:b/>
          <w:color w:val="222222"/>
        </w:rPr>
        <w:t xml:space="preserve">Etapa 1 (Solicitud): </w:t>
      </w:r>
      <w:r>
        <w:rPr>
          <w:color w:val="222222"/>
        </w:rPr>
        <w:t>El ingeniero o responsable de obra envía su petición en el grupo de WhatsApp o el portal de solicitudes.</w:t>
      </w:r>
    </w:p>
    <w:p>
      <w:pPr>
        <w:pStyle w:val="ListBullet"/>
        <w:spacing w:after="80" w:line="276" w:lineRule="auto"/>
      </w:pPr>
      <w:r>
        <w:rPr>
          <w:b/>
          <w:color w:val="222222"/>
        </w:rPr>
        <w:t xml:space="preserve">Etapa 2 (Validación Presupuestal): </w:t>
      </w:r>
      <w:r>
        <w:rPr>
          <w:color w:val="222222"/>
        </w:rPr>
        <w:t>La administración verifica en Fénix que el volumen no exceda la cuota del responsable según sus días trabajados (6D vs 5D).</w:t>
      </w:r>
    </w:p>
    <w:p>
      <w:pPr>
        <w:pStyle w:val="ListBullet"/>
        <w:spacing w:after="80" w:line="276" w:lineRule="auto"/>
      </w:pPr>
      <w:r>
        <w:rPr>
          <w:b/>
          <w:color w:val="222222"/>
        </w:rPr>
        <w:t xml:space="preserve">Etapa 3 (Surtimiento y Facturación): </w:t>
      </w:r>
      <w:r>
        <w:rPr>
          <w:color w:val="222222"/>
        </w:rPr>
        <w:t>La gasolinería surte al camión cisterna ('La Marimba') y emite la factura CFDI correspondiente.</w:t>
      </w:r>
    </w:p>
    <w:p>
      <w:pPr>
        <w:pStyle w:val="ListBullet"/>
        <w:spacing w:after="80" w:line="276" w:lineRule="auto"/>
      </w:pPr>
      <w:r>
        <w:rPr>
          <w:b/>
          <w:color w:val="222222"/>
        </w:rPr>
        <w:t xml:space="preserve">Etapa 4 (Reparto en Obra): </w:t>
      </w:r>
      <w:r>
        <w:rPr>
          <w:color w:val="222222"/>
        </w:rPr>
        <w:t>La Marimba traslada el diésel a la obra y abastece tanque por tanque a la maquinaria pesada.</w:t>
      </w:r>
    </w:p>
    <w:p>
      <w:pPr>
        <w:pStyle w:val="ListBullet"/>
        <w:spacing w:after="80" w:line="276" w:lineRule="auto"/>
      </w:pPr>
      <w:r>
        <w:rPr>
          <w:b/>
          <w:color w:val="222222"/>
        </w:rPr>
        <w:t xml:space="preserve">Etapa 5 (Captura en Fénix): </w:t>
      </w:r>
      <w:r>
        <w:rPr>
          <w:color w:val="222222"/>
        </w:rPr>
        <w:t>El capturista registra en el Portal 5001 los litros recibidos por cada equipo económico.</w:t>
      </w:r>
    </w:p>
    <w:p>
      <w:pPr>
        <w:pStyle w:val="ListBullet"/>
        <w:spacing w:after="80" w:line="276" w:lineRule="auto"/>
      </w:pPr>
      <w:r>
        <w:rPr>
          <w:b/>
          <w:color w:val="222222"/>
        </w:rPr>
        <w:t xml:space="preserve">Etapa 6 (Conciliación del Martes): </w:t>
      </w:r>
      <w:r>
        <w:rPr>
          <w:color w:val="222222"/>
        </w:rPr>
        <w:t>Todos los martes se ejecuta el cruce obligatorio de 3 columnas ('Tríptico de Diésel'): Columna A (Lo Autorizado) vs Columna B (Lo Facturado por Gasolinería) vs Columna C (Lo Repartido y Registrado en Máquinas).</w:t>
      </w:r>
    </w:p>
    <w:p>
      <w:pPr>
        <w:keepNext/>
        <w:spacing w:before="360" w:after="160"/>
      </w:pPr>
      <w:r>
        <w:rPr>
          <w:rFonts w:ascii="Segoe UI" w:hAnsi="Segoe UI"/>
          <w:b/>
          <w:color w:val="1B365D"/>
          <w:sz w:val="32"/>
        </w:rPr>
        <w:t>6. EVOLUCIÓN HISTÓRICA, VERSIONES Y LOGROS ALCANZADOS</w:t>
      </w:r>
    </w:p>
    <w:p>
      <w:pPr>
        <w:spacing w:after="120" w:line="276" w:lineRule="auto"/>
      </w:pPr>
      <w:r>
        <w:rPr>
          <w:color w:val="222222"/>
        </w:rPr>
        <w:t>El proyecto ha transitado por dos etapas fundamentales de desarrollo que transformaron un prototipo inicial en un sistema de clase empresarial.</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Atributo / Característica</w:t>
            </w:r>
          </w:p>
        </w:tc>
        <w:tc>
          <w:tcPr>
            <w:tcW w:type="dxa" w:w="3168"/>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Versión 1.0 (Prototipo Legacy)</w:t>
            </w:r>
          </w:p>
        </w:tc>
        <w:tc>
          <w:tcPr>
            <w:tcW w:type="dxa" w:w="4032"/>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Versión 2.0 (Producción Actual)</w:t>
            </w:r>
          </w:p>
        </w:tc>
      </w:tr>
      <w:tr>
        <w:tc>
          <w:tcPr>
            <w:tcW w:type="dxa" w:w="216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Motor de Base de Datos</w:t>
            </w:r>
          </w:p>
        </w:tc>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Supabase (Cloud) / SQLite estático</w:t>
            </w:r>
          </w:p>
        </w:tc>
        <w:tc>
          <w:tcPr>
            <w:tcW w:type="dxa" w:w="403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PostgreSQL 16 On-Premise (fenix_db)</w:t>
            </w:r>
          </w:p>
        </w:tc>
      </w:tr>
      <w:tr>
        <w:tc>
          <w:tcPr>
            <w:tcW w:type="dxa" w:w="216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Velocidad de Captura</w:t>
            </w:r>
          </w:p>
        </w:tc>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Búsqueda manual en listas desplegables</w:t>
            </w:r>
          </w:p>
        </w:tc>
        <w:tc>
          <w:tcPr>
            <w:tcW w:type="dxa" w:w="403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Autocompletado instantáneo en 0ms</w:t>
            </w:r>
          </w:p>
        </w:tc>
      </w:tr>
      <w:tr>
        <w:tc>
          <w:tcPr>
            <w:tcW w:type="dxa" w:w="216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Conciliación con Proveedores</w:t>
            </w:r>
          </w:p>
        </w:tc>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Revisión manual renglón por renglón</w:t>
            </w:r>
          </w:p>
        </w:tc>
        <w:tc>
          <w:tcPr>
            <w:tcW w:type="dxa" w:w="403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Motor de conciliación masiva Excel O(1)</w:t>
            </w:r>
          </w:p>
        </w:tc>
      </w:tr>
      <w:tr>
        <w:tc>
          <w:tcPr>
            <w:tcW w:type="dxa" w:w="216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Regla de Días Trabajados</w:t>
            </w:r>
          </w:p>
        </w:tc>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Tratamiento homogéneo sin distinción</w:t>
            </w:r>
          </w:p>
        </w:tc>
        <w:tc>
          <w:tcPr>
            <w:tcW w:type="dxa" w:w="403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División estricta en 6 Días vs 5 Días</w:t>
            </w:r>
          </w:p>
        </w:tc>
      </w:tr>
      <w:tr>
        <w:tc>
          <w:tcPr>
            <w:tcW w:type="dxa" w:w="216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Lectura de Documentos</w:t>
            </w:r>
          </w:p>
        </w:tc>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Sin procesamiento de archivos</w:t>
            </w:r>
          </w:p>
        </w:tc>
        <w:tc>
          <w:tcPr>
            <w:tcW w:type="dxa" w:w="403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Servicio de lectura inteligente de PDF</w:t>
            </w:r>
          </w:p>
        </w:tc>
      </w:tr>
      <w:tr>
        <w:tc>
          <w:tcPr>
            <w:tcW w:type="dxa" w:w="216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Facturación y SAT</w:t>
            </w:r>
          </w:p>
        </w:tc>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Manejo básico de facturas simples</w:t>
            </w:r>
          </w:p>
        </w:tc>
        <w:tc>
          <w:tcPr>
            <w:tcW w:type="dxa" w:w="403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Soporte de CFDI XML y Complementos de Pago</w:t>
            </w:r>
          </w:p>
        </w:tc>
      </w:tr>
      <w:tr>
        <w:tc>
          <w:tcPr>
            <w:tcW w:type="dxa" w:w="216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Módulos Especiales</w:t>
            </w:r>
          </w:p>
        </w:tc>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Solo Diésel y Gasolina básica</w:t>
            </w:r>
          </w:p>
        </w:tc>
        <w:tc>
          <w:tcPr>
            <w:tcW w:type="dxa" w:w="403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Integración de Jalisco, Acarreos, Mezcla y Tags</w:t>
            </w:r>
          </w:p>
        </w:tc>
      </w:tr>
      <w:tr>
        <w:tc>
          <w:tcPr>
            <w:tcW w:type="dxa" w:w="216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Normatividad y Auditoría</w:t>
            </w:r>
          </w:p>
        </w:tc>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Sin registro de cambios</w:t>
            </w:r>
          </w:p>
        </w:tc>
        <w:tc>
          <w:tcPr>
            <w:tcW w:type="dxa" w:w="403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Log inalterable catalogos.audit_log (ISO 9001)</w:t>
            </w:r>
          </w:p>
        </w:tc>
      </w:tr>
    </w:tbl>
    <w:p>
      <w:pPr>
        <w:spacing w:after="120"/>
      </w:pPr>
    </w:p>
    <w:p>
      <w:pPr>
        <w:keepNext/>
        <w:spacing w:before="360" w:after="160"/>
      </w:pPr>
      <w:r>
        <w:rPr>
          <w:rFonts w:ascii="Segoe UI" w:hAnsi="Segoe UI"/>
          <w:b/>
          <w:color w:val="1B365D"/>
          <w:sz w:val="32"/>
        </w:rPr>
        <w:t>7. PROBLEMAS PRESENTADOS Y SOLUCIONES DE INGENIERÍA APLICADAS</w:t>
      </w:r>
    </w:p>
    <w:p>
      <w:pPr>
        <w:spacing w:after="120" w:line="276" w:lineRule="auto"/>
      </w:pPr>
      <w:r>
        <w:rPr>
          <w:color w:val="222222"/>
        </w:rPr>
        <w:t>Durante el diseño, desarrollo y despliegue del Sistema Fénix 2.0 se resolvieron desafíos complejos de software y datos. A continuación se documenta la matriz de problemas e ingeniería aplicada:</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Problema Presentado</w:t>
            </w:r>
          </w:p>
        </w:tc>
        <w:tc>
          <w:tcPr>
            <w:tcW w:type="dxa" w:w="3168"/>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Causa Raíz / Desafío</w:t>
            </w:r>
          </w:p>
        </w:tc>
        <w:tc>
          <w:tcPr>
            <w:tcW w:type="dxa" w:w="360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Solución de Ingeniería Implementada</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Duplicidad de Cargas de Gasolina</w:t>
            </w:r>
          </w:p>
        </w:tc>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Estados de cuenta mensuales presentaban cargas repetidas o dobles capturas de choferes.</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Creación del algoritmo de hashing O(1) en 'motor_agente_conciliacion.py' que compara folios, fechas y montos en tiempo récord, bloqueando duplicados.</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Incoherencia en Presupuestos de Ingenieros</w:t>
            </w:r>
          </w:p>
        </w:tc>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Ingenieros con jornadas de 5 días recibían presupuesto de 6 días, generando falsos faltantes.</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Parametrización del campo 'dias_trabajados' en 'catalogos.responsables' y reescritura de los generadores de Excel/PDF en 'app_admin.py'.</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Dificultad de Lectura en Bitácoras PDF</w:t>
            </w:r>
          </w:p>
        </w:tc>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Formato de PDF escaneado con tablas desalineadas impedía la extracción de datos.</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Desarrollo de 'bitacora_pdf_service.py' utilizando 'pdfplumber' y expresiones regulares adaptativas para extraer celdas desalineadas.</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Discrepancia en Nombres de Obras y Placas</w:t>
            </w:r>
          </w:p>
        </w:tc>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Capturistas escribían nombres con variaciones (ej. 'Toluca', 'MÉXICO-TOLUCA', 'Obra Toluca').</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Implementación de funciones de normalización de cadenas ('normalizar_obra_nombre') en Python y conversión automática a mayúsculas.</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Gestión de Complementos de Pago SAT</w:t>
            </w:r>
          </w:p>
        </w:tc>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Facturas liquidadas en varios pagos no reflejaban el saldo real en la contabilidad.</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Incorporación de la tabla 'diesel.complementos_pago' y parser XML para vincular UUIDs del SAT y actualizar estatus a 'PAGADA' o 'PARCIAL'.</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Lentitud en la Interfaz Web con Miles de Filas</w:t>
            </w:r>
          </w:p>
        </w:tc>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Carga masiva de datos congelaba el navegador en la pestaña de gasolina.</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Migración a renderizado eficiente en cliente con Vanilla JS y búsquedas pre-indexadas en memoria.</w:t>
            </w:r>
          </w:p>
        </w:tc>
      </w:tr>
    </w:tbl>
    <w:p>
      <w:pPr>
        <w:spacing w:after="120"/>
      </w:pPr>
    </w:p>
    <w:p>
      <w:pPr>
        <w:keepNext/>
        <w:spacing w:before="360" w:after="160"/>
      </w:pPr>
      <w:r>
        <w:rPr>
          <w:rFonts w:ascii="Segoe UI" w:hAnsi="Segoe UI"/>
          <w:b/>
          <w:color w:val="1B365D"/>
          <w:sz w:val="32"/>
        </w:rPr>
        <w:t>8. ALINEACIÓN NORMATIVA ISO 9001 (CALIDAD) E ISO 14001 (AMBIENTAL)</w:t>
      </w:r>
    </w:p>
    <w:p>
      <w:pPr>
        <w:spacing w:after="120" w:line="276" w:lineRule="auto"/>
      </w:pPr>
      <w:r>
        <w:rPr>
          <w:color w:val="222222"/>
        </w:rPr>
        <w:t>El Sistema Fénix 2.0 constituye la evidencia técnica y documental ante auditores externos para sostener la certificación de Grupo Trujano en los estándares internacionales de calidad y medio ambiente.</w:t>
      </w:r>
    </w:p>
    <w:p>
      <w:pPr>
        <w:keepNext/>
        <w:spacing w:before="280" w:after="120"/>
      </w:pPr>
      <w:r>
        <w:rPr>
          <w:rFonts w:ascii="Segoe UI" w:hAnsi="Segoe UI"/>
          <w:b/>
          <w:color w:val="3B629B"/>
          <w:sz w:val="26"/>
        </w:rPr>
        <w:t>8.1 Puntos de Control para ISO 9001:2015 (Sistema de Gestión de Calidad)</w:t>
      </w:r>
    </w:p>
    <w:p>
      <w:pPr>
        <w:pStyle w:val="ListBullet"/>
        <w:spacing w:after="80" w:line="276" w:lineRule="auto"/>
      </w:pPr>
      <w:r>
        <w:rPr>
          <w:b/>
          <w:color w:val="222222"/>
        </w:rPr>
        <w:t xml:space="preserve">Sección 8.4 (Control de Procesos y Servicios Suministrados Externamente): </w:t>
      </w:r>
      <w:r>
        <w:rPr>
          <w:color w:val="222222"/>
        </w:rPr>
        <w:t>Validación matemática en el 'Tríptico de Diésel' asegurando cero diferencias entre lo facturado y lo suministrado.</w:t>
      </w:r>
    </w:p>
    <w:p>
      <w:pPr>
        <w:pStyle w:val="ListBullet"/>
        <w:spacing w:after="80" w:line="276" w:lineRule="auto"/>
      </w:pPr>
      <w:r>
        <w:rPr>
          <w:b/>
          <w:color w:val="222222"/>
        </w:rPr>
        <w:t xml:space="preserve">Sección 8.5.2 (Identificación y Trazabilidad): </w:t>
      </w:r>
      <w:r>
        <w:rPr>
          <w:color w:val="222222"/>
        </w:rPr>
        <w:t>Trazabilidad total desde el folio de la gasolinería hasta la máquina individual que consumió el insumo.</w:t>
      </w:r>
    </w:p>
    <w:p>
      <w:pPr>
        <w:pStyle w:val="ListBullet"/>
        <w:spacing w:after="80" w:line="276" w:lineRule="auto"/>
      </w:pPr>
      <w:r>
        <w:rPr>
          <w:b/>
          <w:color w:val="222222"/>
        </w:rPr>
        <w:t xml:space="preserve">Sección 7.5 (Información Documentada): </w:t>
      </w:r>
      <w:r>
        <w:rPr>
          <w:color w:val="222222"/>
        </w:rPr>
        <w:t>Registro inalterable de auditoría en la tabla 'catalogos.audit_log' que cumple con los requerimientos de información documentada inalterable.</w:t>
      </w:r>
    </w:p>
    <w:p>
      <w:pPr>
        <w:keepNext/>
        <w:spacing w:before="280" w:after="120"/>
      </w:pPr>
      <w:r>
        <w:rPr>
          <w:rFonts w:ascii="Segoe UI" w:hAnsi="Segoe UI"/>
          <w:b/>
          <w:color w:val="3B629B"/>
          <w:sz w:val="26"/>
        </w:rPr>
        <w:t>8.2 Puntos de Control para ISO 14001:2015 (Sistema de Gestión Ambiental)</w:t>
      </w:r>
    </w:p>
    <w:p>
      <w:pPr>
        <w:pStyle w:val="ListBullet"/>
        <w:spacing w:after="80" w:line="276" w:lineRule="auto"/>
      </w:pPr>
      <w:r>
        <w:rPr>
          <w:b/>
          <w:color w:val="222222"/>
        </w:rPr>
        <w:t xml:space="preserve">Sección 8.1 (Planificación y Control Operativo): </w:t>
      </w:r>
      <w:r>
        <w:rPr>
          <w:color w:val="222222"/>
        </w:rPr>
        <w:t>Monitoreo continuo de trasvases entre tanques fijos, pipas 'Marimba' y maquinaria para detectar mermas o fugas en tuberías/mangueras.</w:t>
      </w:r>
    </w:p>
    <w:p>
      <w:pPr>
        <w:pStyle w:val="ListBullet"/>
        <w:spacing w:after="80" w:line="276" w:lineRule="auto"/>
      </w:pPr>
      <w:r>
        <w:rPr>
          <w:b/>
          <w:color w:val="222222"/>
        </w:rPr>
        <w:t xml:space="preserve">Sección 6.1.2 (Aspectos Ambientales): </w:t>
      </w:r>
      <w:r>
        <w:rPr>
          <w:color w:val="222222"/>
        </w:rPr>
        <w:t>Control estricto de cuotas diarias de combustible por obra, promoviendo el consumo eficiente y la reducción de huella de carbono.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