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Segoe UI" w:hAnsi="Segoe UI"/>
          <w:b/>
          <w:color w:val="1B365D"/>
          <w:sz w:val="44"/>
        </w:rPr>
        <w:t>DOCUMENTACIÓN TÉCNICA Y OPERATIVA INTEGRAL: SISTEMA FÉNIX 2.0</w:t>
      </w:r>
    </w:p>
    <w:p>
      <w:pPr>
        <w:spacing w:before="0" w:after="480"/>
        <w:jc w:val="center"/>
      </w:pPr>
      <w:r>
        <w:rPr>
          <w:rFonts w:ascii="Segoe UI" w:hAnsi="Segoe UI"/>
          <w:i/>
          <w:color w:val="3B629B"/>
          <w:sz w:val="24"/>
        </w:rPr>
        <w:t>Arquitectura de Software, Sistema de Conciliación de 2 Vías a Través de Niveles, Matriz de Permisos RBAC, Bloqueo de Gobierno Corporativo, Base de Datos Relacional e Impacto ISO 9001/14001</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Parámetro de Control</w:t>
            </w:r>
          </w:p>
        </w:tc>
        <w:tc>
          <w:tcPr>
            <w:tcW w:type="dxa" w:w="61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Detalle Institucional</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Código del Documento</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PR-IT-001-FENIX (Documento Maestro)</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 del Sistema</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Sistema Fénix 2.0 — Control Operativo y Financiero</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Versión del Sistema</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2.0 (Snapshot Producción - Agosto 2026)</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Empresa / Organización</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Grupo Trujano</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Modelo de Conciliación</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Conciliación Multinivel de 2 Vías (Distribuidor / Marimba / Obra)</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Seguridad y Acceso</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Gobierno Corporativo con Cierre y Bloqueo Definitivo de Datos</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Alcance Normativo</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Certificación ISO 9001:2015 (Calidad) e ISO 14001:2015 (Ambiental)</w:t>
            </w:r>
          </w:p>
        </w:tc>
      </w:tr>
      <w:tr>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Arquitectura de BD</w:t>
            </w:r>
          </w:p>
        </w:tc>
        <w:tc>
          <w:tcPr>
            <w:tcW w:type="dxa" w:w="61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PostgreSQL 16 Relacional On-Premise (fenix_db)</w:t>
            </w:r>
          </w:p>
        </w:tc>
      </w:tr>
      <w:tr>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Servicios Locales</w:t>
            </w:r>
          </w:p>
        </w:tc>
        <w:tc>
          <w:tcPr>
            <w:tcW w:type="dxa" w:w="61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Port 5001 (Captura) / Port 5002 (Administración)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EBF2F7"/>
            <w:tcMar>
              <w:top w:w="140" w:type="dxa"/>
              <w:bottom w:w="140" w:type="dxa"/>
              <w:left w:w="180" w:type="dxa"/>
              <w:right w:w="140" w:type="dxa"/>
            </w:tcMar>
            <w:tcBorders>
              <w:left w:val="single" w:sz="24" w:space="0" w:color="1B365D"/>
              <w:top w:val="none" w:sz="0" w:space="0" w:color="auto"/>
              <w:bottom w:val="none" w:sz="0" w:space="0" w:color="auto"/>
              <w:right w:val="none" w:sz="0" w:space="0" w:color="auto"/>
            </w:tcBorders>
          </w:tcPr>
          <w:p>
            <w:pPr>
              <w:spacing w:after="80"/>
            </w:pPr>
            <w:r>
              <w:rPr>
                <w:rFonts w:ascii="Segoe UI" w:hAnsi="Segoe UI"/>
                <w:b/>
                <w:color w:val="1B365D"/>
                <w:sz w:val="22"/>
              </w:rPr>
              <w:t>📌 Directiva de Documentación Profesional Exhaustiva</w:t>
              <w:br/>
            </w:r>
            <w:r>
              <w:rPr>
                <w:rFonts w:ascii="Calibri" w:hAnsi="Calibri"/>
                <w:color w:val="222222"/>
                <w:sz w:val="20"/>
              </w:rPr>
              <w:t>El presente documento técnico ha sido enriquecido para incluir todos los diagramas del sistema, la explicación detallada del modelo de conciliación multinivel de 2 vías (Distribuidor - Operadores - Ingenieros - Facturas), el flujo de conciliación de acarreos y mezclas asfálticas contra plantas con evidencia fotográfica obligatoria, la matriz estricta de permisos de acceso a la base de datos por roles y el mecanismo de Bloqueo de Gobierno Corporativo.</w:t>
            </w:r>
          </w:p>
        </w:tc>
      </w:tr>
    </w:tbl>
    <w:p>
      <w:pPr>
        <w:spacing w:after="120"/>
      </w:pPr>
    </w:p>
    <w:p>
      <w:pPr>
        <w:keepNext/>
        <w:spacing w:before="360" w:after="160"/>
      </w:pPr>
      <w:r>
        <w:rPr>
          <w:rFonts w:ascii="Segoe UI" w:hAnsi="Segoe UI"/>
          <w:b/>
          <w:color w:val="1B365D"/>
          <w:sz w:val="30"/>
        </w:rPr>
        <w:t>1. INTRODUCCIÓN, CONTEXTO Y JUSTIFICACIÓN (“¿POR QUÉ Y PARA QUÉ?”)</w:t>
      </w:r>
    </w:p>
    <w:p>
      <w:pPr>
        <w:keepNext/>
        <w:spacing w:before="280" w:after="120"/>
      </w:pPr>
      <w:r>
        <w:rPr>
          <w:rFonts w:ascii="Segoe UI" w:hAnsi="Segoe UI"/>
          <w:b/>
          <w:color w:val="3B629B"/>
          <w:sz w:val="25"/>
        </w:rPr>
        <w:t>1.1 Antecedentes y Problemática Operativa Inicial (“¿Por qué?”)</w:t>
      </w:r>
    </w:p>
    <w:p>
      <w:pPr>
        <w:spacing w:after="120" w:line="276" w:lineRule="auto"/>
      </w:pPr>
      <w:r>
        <w:rPr>
          <w:color w:val="222222"/>
        </w:rPr>
        <w:t>Antes del desarrollo del Sistema Fénix, la gestión del suministro de combustible (diésel y gasolina), el transporte en camiones cisterna ('Marimbas'), el movimiento de acarreos y el control de insumos en Grupo Trujano se realizaba mediante procesos manuales basados en vales de papel, reportes informales por mensajes de texto y carpetas dispersas de Microsoft Excel. Esta metodología provocaba serias deficiencias operativas y financieras:</w:t>
      </w:r>
    </w:p>
    <w:p>
      <w:pPr>
        <w:pStyle w:val="ListBullet"/>
        <w:spacing w:after="80" w:line="276" w:lineRule="auto"/>
      </w:pPr>
      <w:r>
        <w:rPr>
          <w:b/>
          <w:color w:val="222222"/>
        </w:rPr>
        <w:t xml:space="preserve">Pérdida de Información: </w:t>
      </w:r>
      <w:r>
        <w:rPr>
          <w:color w:val="222222"/>
        </w:rPr>
        <w:t>Dispersión y pérdida de vales de surtimiento físicos en campo y estaciones de servicio.</w:t>
      </w:r>
    </w:p>
    <w:p>
      <w:pPr>
        <w:pStyle w:val="ListBullet"/>
        <w:spacing w:after="80" w:line="276" w:lineRule="auto"/>
      </w:pPr>
      <w:r>
        <w:rPr>
          <w:b/>
          <w:color w:val="222222"/>
        </w:rPr>
        <w:t xml:space="preserve">Falta de Conciliación: </w:t>
      </w:r>
      <w:r>
        <w:rPr>
          <w:color w:val="222222"/>
        </w:rPr>
        <w:t>Cargas facturadas por estaciones de servicio que no coincidían con lo realmente recibido en tanques u obras.</w:t>
      </w:r>
    </w:p>
    <w:p>
      <w:pPr>
        <w:pStyle w:val="ListBullet"/>
        <w:spacing w:after="80" w:line="276" w:lineRule="auto"/>
      </w:pPr>
      <w:r>
        <w:rPr>
          <w:b/>
          <w:color w:val="222222"/>
        </w:rPr>
        <w:t xml:space="preserve">Opacidad en Costos: </w:t>
      </w:r>
      <w:r>
        <w:rPr>
          <w:color w:val="222222"/>
        </w:rPr>
        <w:t>Imposibilidad de atribuir con exactitud el consumo de litros por máquina, frente de trabajo o ingeniero responsable.</w:t>
      </w:r>
    </w:p>
    <w:p>
      <w:pPr>
        <w:pStyle w:val="ListBullet"/>
        <w:spacing w:after="80" w:line="276" w:lineRule="auto"/>
      </w:pPr>
      <w:r>
        <w:rPr>
          <w:b/>
          <w:color w:val="222222"/>
        </w:rPr>
        <w:t xml:space="preserve">Riesgo de Duplicidad: </w:t>
      </w:r>
      <w:r>
        <w:rPr>
          <w:color w:val="222222"/>
        </w:rPr>
        <w:t>Incapacidad de detectar si un mismo ticket o factura CFDI era registrado dos veces en la contabilidad.</w:t>
      </w:r>
    </w:p>
    <w:p>
      <w:pPr>
        <w:pStyle w:val="ListBullet"/>
        <w:spacing w:after="80" w:line="276" w:lineRule="auto"/>
      </w:pPr>
      <w:r>
        <w:rPr>
          <w:b/>
          <w:color w:val="222222"/>
        </w:rPr>
        <w:t xml:space="preserve">Mermas No Explicadas: </w:t>
      </w:r>
      <w:r>
        <w:rPr>
          <w:color w:val="222222"/>
        </w:rPr>
        <w:t>Dificultad para identificar fugas, mermas indebidas en trasvases o desviaciones de volumen en pipas.</w:t>
      </w:r>
    </w:p>
    <w:p>
      <w:pPr>
        <w:pStyle w:val="ListBullet"/>
        <w:spacing w:after="80" w:line="276" w:lineRule="auto"/>
      </w:pPr>
      <w:r>
        <w:rPr>
          <w:b/>
          <w:color w:val="222222"/>
        </w:rPr>
        <w:t xml:space="preserve">Falta de Rendimiento: </w:t>
      </w:r>
      <w:r>
        <w:rPr>
          <w:color w:val="222222"/>
        </w:rPr>
        <w:t>Desconexión entre el consumo de combustible y la productividad de la maquinaria pesada en obra.</w:t>
      </w:r>
    </w:p>
    <w:p>
      <w:pPr>
        <w:keepNext/>
        <w:spacing w:before="280" w:after="120"/>
      </w:pPr>
      <w:r>
        <w:rPr>
          <w:rFonts w:ascii="Segoe UI" w:hAnsi="Segoe UI"/>
          <w:b/>
          <w:color w:val="3B629B"/>
          <w:sz w:val="25"/>
        </w:rPr>
        <w:t>1.2 Misión y Propósito Fundamental (“¿Para qué?”)</w:t>
      </w:r>
    </w:p>
    <w:p>
      <w:pPr>
        <w:spacing w:after="120" w:line="276" w:lineRule="auto"/>
      </w:pPr>
      <w:r>
        <w:rPr>
          <w:color w:val="222222"/>
        </w:rPr>
        <w:t>El Sistema Fénix fue concebido como una plataforma digital integral de control operativo, contable y ambiental diseñada para centralizar y auditar el ciclo de vida completo del combustible dentro de Grupo Trujano. Sus objetivos fundamentales son:</w:t>
      </w:r>
    </w:p>
    <w:p>
      <w:pPr>
        <w:pStyle w:val="ListBullet"/>
        <w:spacing w:after="80" w:line="276" w:lineRule="auto"/>
      </w:pPr>
      <w:r>
        <w:rPr>
          <w:b/>
          <w:color w:val="222222"/>
        </w:rPr>
        <w:t xml:space="preserve">1. Auditoría Financiera Total: </w:t>
      </w:r>
      <w:r>
        <w:rPr>
          <w:color w:val="222222"/>
        </w:rPr>
        <w:t>Garantizar la coincidencia matemática exacta al centavo entre la solicitud, la factura del proveedor y el consumo entregado.</w:t>
      </w:r>
    </w:p>
    <w:p>
      <w:pPr>
        <w:pStyle w:val="ListBullet"/>
        <w:spacing w:after="80" w:line="276" w:lineRule="auto"/>
      </w:pPr>
      <w:r>
        <w:rPr>
          <w:b/>
          <w:color w:val="222222"/>
        </w:rPr>
        <w:t xml:space="preserve">2. Trazabilidad Inalterable: </w:t>
      </w:r>
      <w:r>
        <w:rPr>
          <w:color w:val="222222"/>
        </w:rPr>
        <w:t>Establecer un registro inalterable con folios únicos, estampa de tiempo, usuario y auditoría de cambios para cada litro.</w:t>
      </w:r>
    </w:p>
    <w:p>
      <w:pPr>
        <w:pStyle w:val="ListBullet"/>
        <w:spacing w:after="80" w:line="276" w:lineRule="auto"/>
      </w:pPr>
      <w:r>
        <w:rPr>
          <w:b/>
          <w:color w:val="222222"/>
        </w:rPr>
        <w:t xml:space="preserve">3. Control Presupuestal Automatizado: </w:t>
      </w:r>
      <w:r>
        <w:rPr>
          <w:color w:val="222222"/>
        </w:rPr>
        <w:t>Implementar techos presupuestales diarios multiplicados por días trabajados reales para evitar sobrecostos.</w:t>
      </w:r>
    </w:p>
    <w:p>
      <w:pPr>
        <w:pStyle w:val="ListBullet"/>
        <w:spacing w:after="80" w:line="276" w:lineRule="auto"/>
      </w:pPr>
      <w:r>
        <w:rPr>
          <w:b/>
          <w:color w:val="222222"/>
        </w:rPr>
        <w:t xml:space="preserve">4. Modelo de Conciliación en Pareja: </w:t>
      </w:r>
      <w:r>
        <w:rPr>
          <w:color w:val="222222"/>
        </w:rPr>
        <w:t>Efectuar el cruce de datos entre el emisor (gasolinería/tanque) y el receptor (pipa/obra) para validar transferencias.</w:t>
      </w:r>
    </w:p>
    <w:p>
      <w:pPr>
        <w:pStyle w:val="ListBullet"/>
        <w:spacing w:after="80" w:line="276" w:lineRule="auto"/>
      </w:pPr>
      <w:r>
        <w:rPr>
          <w:b/>
          <w:color w:val="222222"/>
        </w:rPr>
        <w:t xml:space="preserve">5. Eficiencia en Captura: </w:t>
      </w:r>
      <w:r>
        <w:rPr>
          <w:color w:val="222222"/>
        </w:rPr>
        <w:t>Reducir a 0ms la búsqueda de unidades y autocompletar responsables para agilizar la operación en campo.</w:t>
      </w:r>
    </w:p>
    <w:p>
      <w:pPr>
        <w:keepNext/>
        <w:spacing w:before="360" w:after="160"/>
      </w:pPr>
      <w:r>
        <w:rPr>
          <w:rFonts w:ascii="Segoe UI" w:hAnsi="Segoe UI"/>
          <w:b/>
          <w:color w:val="1B365D"/>
          <w:sz w:val="30"/>
        </w:rPr>
        <w:t>2. SISTEMA DE CONCILIACIÓN MULTINIVEL DE 2 VÍAS Y FLUJO DE INFORMACIÓN</w:t>
      </w:r>
    </w:p>
    <w:p>
      <w:pPr>
        <w:spacing w:after="120" w:line="276" w:lineRule="auto"/>
      </w:pPr>
      <w:r>
        <w:rPr>
          <w:color w:val="222222"/>
        </w:rPr>
        <w:t>El núcleo arquitectónico del Sistema Fénix opera bajo un **Modelo de Conciliación de 2 Vías a través de Niveles**. A diferencia de los sistemas tradicionales que confían en una sola fuente de reporte, Fénix exige que cada transferencia de volumen sea declarada de manera independiente por ambas partes (Emisor y Receptor), efectuando cruces automáticos en cada nivel.</w:t>
      </w:r>
    </w:p>
    <w:p>
      <w:pPr>
        <w:keepNext/>
        <w:spacing w:before="280" w:after="120"/>
      </w:pPr>
      <w:r>
        <w:rPr>
          <w:rFonts w:ascii="Segoe UI" w:hAnsi="Segoe UI"/>
          <w:b/>
          <w:color w:val="3B629B"/>
          <w:sz w:val="25"/>
        </w:rPr>
        <w:t>2.1 Estructura por Niveles de Conciliación</w:t>
      </w:r>
    </w:p>
    <w:p>
      <w:pPr>
        <w:keepNext/>
        <w:spacing w:before="200" w:after="80"/>
      </w:pPr>
      <w:r>
        <w:rPr>
          <w:rFonts w:ascii="Calibri" w:hAnsi="Calibri"/>
          <w:b/>
          <w:color w:val="1B365D"/>
          <w:sz w:val="22"/>
        </w:rPr>
        <w:t>• NIVEL 1: Distribuidor de Combustible (Gasolinería / Proveedor) vs Operadores (Tanque / Pipa)</w:t>
      </w:r>
    </w:p>
    <w:p>
      <w:pPr>
        <w:spacing w:after="120" w:line="276" w:lineRule="auto"/>
      </w:pPr>
      <w:r>
        <w:rPr>
          <w:color w:val="222222"/>
        </w:rPr>
        <w:t>En el primer nivel, la gasolinería proveedora (ej. Gasolinera Huixquilucan / Levet / JDJ) emite el reporte de carga y la factura formal. Por su parte, el Operador del Tanque Pegaso o el Chofer de la Pipa 'Marimba' registra la entrada física del combustible recibido. El sistema efectúa el Cruce Nivel 1: Litros Facturados por el Distribuidor = Litros Ingresados al Tanque/Pipa.</w:t>
      </w:r>
    </w:p>
    <w:p>
      <w:pPr>
        <w:keepNext/>
        <w:spacing w:before="200" w:after="80"/>
      </w:pPr>
      <w:r>
        <w:rPr>
          <w:rFonts w:ascii="Calibri" w:hAnsi="Calibri"/>
          <w:b/>
          <w:color w:val="1B365D"/>
          <w:sz w:val="22"/>
        </w:rPr>
        <w:t>• NIVEL 2: Cargas Individuales (Operadores de Pipa/Tanque) vs Cargas de Máquinas (Ingeniero de Obra)</w:t>
      </w:r>
    </w:p>
    <w:p>
      <w:pPr>
        <w:spacing w:after="120" w:line="276" w:lineRule="auto"/>
      </w:pPr>
      <w:r>
        <w:rPr>
          <w:color w:val="222222"/>
        </w:rPr>
        <w:t>En el segundo nivel se audita la distribución fina en campo. El operador de la pipa/tanque declara los litros despachados a cada frente de trabajo. Simultáneamente, el Ingeniero o Responsable de Obra registra el volumen exacto recibido por cada máquina individual (equipo económico, horómetro/odómetro y fotografía obligatoria). El sistema efectúa el Cruce Nivel 2: Litros Despachados por Pipa/Tanque = Suma de Cargas Individuales en Maquinaria de Obra.</w:t>
      </w:r>
    </w:p>
    <w:p>
      <w:pPr>
        <w:keepNext/>
        <w:spacing w:before="200" w:after="80"/>
      </w:pPr>
      <w:r>
        <w:rPr>
          <w:rFonts w:ascii="Calibri" w:hAnsi="Calibri"/>
          <w:b/>
          <w:color w:val="1B365D"/>
          <w:sz w:val="22"/>
        </w:rPr>
        <w:t>• NIVEL 3: Cargas Individuales y Repartos vs Facturas Emitidas (Auditoría Contable)</w:t>
      </w:r>
    </w:p>
    <w:p>
      <w:pPr>
        <w:spacing w:after="120" w:line="276" w:lineRule="auto"/>
      </w:pPr>
      <w:r>
        <w:rPr>
          <w:color w:val="222222"/>
        </w:rPr>
        <w:t>El sistema vincula la suma de consumos acumulados por máquina e ingeniero contra las facturas fiscales (CFDI XML) y estados de cuenta del distribuidor. Se valida el precio por litro, el IVA aplicable y los Complementos de Pago del SAT, detectando discrepancias de centavos o volumen no amparado.</w:t>
      </w:r>
    </w:p>
    <w:p>
      <w:pPr>
        <w:keepNext/>
        <w:spacing w:before="200" w:after="80"/>
      </w:pPr>
      <w:r>
        <w:rPr>
          <w:rFonts w:ascii="Calibri" w:hAnsi="Calibri"/>
          <w:b/>
          <w:color w:val="1B365D"/>
          <w:sz w:val="22"/>
        </w:rPr>
        <w:t>• NIVEL 4: Gobierno Corporativo y Bloqueo Definitivo de Información</w:t>
      </w:r>
    </w:p>
    <w:p>
      <w:pPr>
        <w:spacing w:after="120" w:line="276" w:lineRule="auto"/>
      </w:pPr>
      <w:r>
        <w:rPr>
          <w:color w:val="222222"/>
        </w:rPr>
        <w:t>Una vez verificado que los Cruces Nivel 1, 2 y 3 coinciden al 100%, el equipo de Administración y Gobierno Corporativo ejecuta la acción de **CIERRE Y BLOQUEO DE INFORMACIÓN**. A partir de este momento, la base de datos PostgreSQL **congela** todos los registros del periodo conciliado. Ningún usuario operativo (operadores o ingenieros) puede modificar, eliminar o agregar datos de manera retroactiva. La información queda sellada para la emisión de reportes ejecutivos a la Alta Dirección.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60" w:type="dxa"/>
              <w:right w:w="140" w:type="dxa"/>
            </w:tcMar>
            <w:tcBorders>
              <w:top w:val="single" w:sz="8" w:space="0" w:color="1B365D"/>
              <w:bottom w:val="single" w:sz="8" w:space="0" w:color="1B365D"/>
              <w:left w:val="single" w:sz="8" w:space="0" w:color="1B365D"/>
              <w:right w:val="single" w:sz="8" w:space="0" w:color="1B365D"/>
            </w:tcBorders>
          </w:tcPr>
          <w:p>
            <w:pPr>
              <w:spacing w:after="120"/>
            </w:pPr>
            <w:r>
              <w:rPr>
                <w:rFonts w:ascii="Segoe UI" w:hAnsi="Segoe UI"/>
                <w:b/>
                <w:color w:val="1B365D"/>
                <w:sz w:val="21"/>
              </w:rPr>
              <w:t>📐 DIAGRAMA ARQUITECTÓNICO: Estructura Multinivel de Conciliación de 2 Vías y Gobierno Corporativo</w:t>
              <w:br/>
            </w:r>
            <w:r>
              <w:rPr>
                <w:rFonts w:ascii="Consolas" w:hAnsi="Consolas"/>
                <w:color w:val="222222"/>
                <w:sz w:val="17"/>
              </w:rPr>
              <w:t xml:space="preserve"> ┌────────────────────────────────────────────────────────────────────────┐</w:t>
              <w:br/>
              <w:t xml:space="preserve"> │                 DISTRIBUIDOR DE COMBUSTIBLE (PROVEEDOR)                │</w:t>
              <w:br/>
              <w:t xml:space="preserve"> │                      (Factura CFDI / Estado de Cuenta)                 │</w:t>
              <w:br/>
              <w:t xml:space="preserve"> └───────────────────────────────────┬────────────────────────────────────┘</w:t>
              <w:br/>
              <w:t xml:space="preserve">                                     │ [CRUCE NIVEL 1]</w:t>
              <w:br/>
              <w:t xml:space="preserve">                                     ▼</w:t>
              <w:br/>
              <w:t xml:space="preserve"> ┌────────────────────────────────────────────────────────────────────────┐</w:t>
              <w:br/>
              <w:t xml:space="preserve"> │             OPERADORES DE TANQUE PEGASO Y PIPA 'MARIMBA'               │</w:t>
              <w:br/>
              <w:t xml:space="preserve"> │                      (Registro de Entradas y Salidas)                  │</w:t>
              <w:br/>
              <w:t xml:space="preserve"> └───────────────────────────────────┬────────────────────────────────────┘</w:t>
              <w:br/>
              <w:t xml:space="preserve">                                     │ [CRUCE NIVEL 2]</w:t>
              <w:br/>
              <w:t xml:space="preserve">                                     ▼</w:t>
              <w:br/>
              <w:t xml:space="preserve"> ┌────────────────────────────────────────────────────────────────────────┐</w:t>
              <w:br/>
              <w:t xml:space="preserve"> │                INGENIEROS Y RESPONSABLES DE OBRA                       │</w:t>
              <w:br/>
              <w:t xml:space="preserve"> │          (Cargas Individuales por Máquina + Foto + Horómetro)          │</w:t>
              <w:br/>
              <w:t xml:space="preserve"> └───────────────────────────────────┬────────────────────────────────────┘</w:t>
              <w:br/>
              <w:t xml:space="preserve">                                     │ [CRUCE NIVEL 3: Contable al Centavo]</w:t>
              <w:br/>
              <w:t xml:space="preserve">                                     ▼</w:t>
              <w:br/>
              <w:t xml:space="preserve"> ┌────────────────────────────────────────────────────────────────────────┐</w:t>
              <w:br/>
              <w:t xml:space="preserve"> │                   GOBIERNO CORPORATIVO / ADMINISTRACIÓN                 │</w:t>
              <w:br/>
              <w:t xml:space="preserve"> │            [REVISIÓN FINAL Y BLOQUEO DEFINITIVO DE INFORMACIÓN]        │</w:t>
              <w:br/>
              <w:t xml:space="preserve"> │           (Información congelada / Solo modificable por SuperAdmin)    │</w:t>
              <w:br/>
              <w:t xml:space="preserve"> └───────────────────────────────────┬────────────────────────────────────┘</w:t>
              <w:br/>
              <w:t xml:space="preserve">                                     │</w:t>
              <w:br/>
              <w:t xml:space="preserve">                                     ▼</w:t>
              <w:br/>
              <w:t xml:space="preserve">                      📊 REPORTES EJECUTIVOS A DIRECTIVOS</w:t>
            </w:r>
          </w:p>
        </w:tc>
      </w:tr>
    </w:tbl>
    <w:p>
      <w:pPr>
        <w:spacing w:after="120"/>
      </w:pPr>
    </w:p>
    <w:p>
      <w:pPr>
        <w:keepNext/>
        <w:spacing w:before="360" w:after="160"/>
      </w:pPr>
      <w:r>
        <w:rPr>
          <w:rFonts w:ascii="Segoe UI" w:hAnsi="Segoe UI"/>
          <w:b/>
          <w:color w:val="1B365D"/>
          <w:sz w:val="30"/>
        </w:rPr>
        <w:t>3. MATRIZ DE ROLES, NIVELES DE ACCESO Y SEGURIDAD EN LA BASE DE DATOS</w:t>
      </w:r>
    </w:p>
    <w:p>
      <w:pPr>
        <w:spacing w:after="120" w:line="276" w:lineRule="auto"/>
      </w:pPr>
      <w:r>
        <w:rPr>
          <w:color w:val="222222"/>
        </w:rPr>
        <w:t>Para garantizar la integridad de los datos, el cumplimiento ISO 9001/14001 y evitar manipulaciones no autorizadas, el Sistema Fénix 2.0 implementa una **Matriz de Control de Acceso Basado en Roles (RBAC)** con 4 niveles jerárquicos estrictos: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Nivel de Acceso</w:t>
            </w:r>
          </w:p>
        </w:tc>
        <w:tc>
          <w:tcPr>
            <w:tcW w:type="dxa" w:w="216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Rol de Usuario</w:t>
            </w:r>
          </w:p>
        </w:tc>
        <w:tc>
          <w:tcPr>
            <w:tcW w:type="dxa" w:w="331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Permisos Operativos y Funciones En Base de Datos</w:t>
            </w:r>
          </w:p>
        </w:tc>
        <w:tc>
          <w:tcPr>
            <w:tcW w:type="dxa" w:w="216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Alcance de Edición / Bloqueo</w:t>
            </w:r>
          </w:p>
        </w:tc>
      </w:tr>
      <w:tr>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Nivel 1: Básico</w:t>
            </w:r>
          </w:p>
        </w:tc>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Operadores de Maquinaria / Choferes</w:t>
            </w:r>
          </w:p>
        </w:tc>
        <w:tc>
          <w:tcPr>
            <w:tcW w:type="dxa" w:w="331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Captura básica de carga individual asignada a su unidad.</w:t>
              <w:br/>
              <w:t>• Registro obligatorio de Horómetro/Kilometraje.</w:t>
              <w:br/>
              <w:t>• Subida obligatoria de FOTO EVIDENCIA del ticket/marcador.</w:t>
            </w:r>
          </w:p>
        </w:tc>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INSERT únicamente en registros propios del día. Sin acceso a consulta global ni edición.</w:t>
            </w:r>
          </w:p>
        </w:tc>
      </w:tr>
      <w:tr>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Nivel 2: Operativo</w:t>
            </w:r>
          </w:p>
        </w:tc>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Operador de Marimba / Pipa / Tanque</w:t>
            </w:r>
          </w:p>
        </w:tc>
        <w:tc>
          <w:tcPr>
            <w:tcW w:type="dxa" w:w="331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Captura de entradas de combustible desde gasolinerías.</w:t>
              <w:br/>
              <w:t>• Registro de despachos y cargas enviadas a cada obra.</w:t>
              <w:br/>
              <w:t>• Subida de fotos de marcadores de tanque y remisiones.</w:t>
            </w:r>
          </w:p>
        </w:tc>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INSERT y UPDATE limitado al día corriente. No puede modificar registros pasados.</w:t>
            </w:r>
          </w:p>
        </w:tc>
      </w:tr>
      <w:tr>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Nivel 3: Supervisión</w:t>
            </w:r>
          </w:p>
        </w:tc>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Ingenieros / Responsables de Obra</w:t>
            </w:r>
          </w:p>
        </w:tc>
        <w:tc>
          <w:tcPr>
            <w:tcW w:type="dxa" w:w="331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Solicitud semanal de presupuesto de diésel.</w:t>
              <w:br/>
              <w:t>• Petición de autorizaciones extra (gasolina/diésel).</w:t>
              <w:br/>
              <w:t>• Registro de EPP/PPE, reportes mecánicos/piezas y reporte de obra.</w:t>
              <w:br/>
              <w:t>• Supervisión de cargas de sus equipos.</w:t>
              <w:br/>
              <w:t>• Revisión de Acarreos y Mezclas Asfálticas (verificación de fotos de notas/boletas y conciliación vs Plantas).</w:t>
            </w:r>
          </w:p>
        </w:tc>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INSERT y SELECT de sus obras asignadas. Modificación permitida solo antes del cierre semanal.</w:t>
            </w:r>
          </w:p>
        </w:tc>
      </w:tr>
      <w:tr>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Nivel 4: Ejecutivo / Gobierno Corporativo</w:t>
            </w:r>
          </w:p>
        </w:tc>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Administradores / Auditores / Directivos</w:t>
            </w:r>
          </w:p>
        </w:tc>
        <w:tc>
          <w:tcPr>
            <w:tcW w:type="dxa" w:w="331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 Conciliación contable masiva de facturas CFDI vs cargas.</w:t>
              <w:br/>
              <w:t>• Edición de catálogos maestros y cuotas diarias (6D/5D).</w:t>
              <w:br/>
              <w:t>• **BLOQUEO Y CIERRE DEFINITIVO DE PERIODOS**.</w:t>
              <w:br/>
              <w:t>• Generación de reportes institucionales Excel/PDF.</w:t>
              <w:br/>
              <w:t>• Consulta de la tabla inalterable catalogos.audit_log.</w:t>
            </w:r>
          </w:p>
        </w:tc>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FULL ACCESS (SELECT, INSERT, UPDATE, DELETE, LOCK). Permiso especial exclusivo para desbloqueo.</w:t>
            </w:r>
          </w:p>
        </w:tc>
      </w:tr>
    </w:tbl>
    <w:p>
      <w:pPr>
        <w:spacing w:after="120"/>
      </w:pPr>
    </w:p>
    <w:p>
      <w:pPr>
        <w:keepNext/>
        <w:spacing w:before="280" w:after="120"/>
      </w:pPr>
      <w:r>
        <w:rPr>
          <w:rFonts w:ascii="Segoe UI" w:hAnsi="Segoe UI"/>
          <w:b/>
          <w:color w:val="3B629B"/>
          <w:sz w:val="25"/>
        </w:rPr>
        <w:t>3.1 Detalle de Funciones Operativas por Rol</w:t>
      </w:r>
    </w:p>
    <w:p>
      <w:pPr>
        <w:keepNext/>
        <w:spacing w:before="200" w:after="80"/>
      </w:pPr>
      <w:r>
        <w:rPr>
          <w:rFonts w:ascii="Calibri" w:hAnsi="Calibri"/>
          <w:b/>
          <w:color w:val="1B365D"/>
          <w:sz w:val="22"/>
        </w:rPr>
        <w:t>a) Nivel 1: Operadores de Maquinaria y Choferes</w:t>
      </w:r>
    </w:p>
    <w:p>
      <w:pPr>
        <w:spacing w:after="120" w:line="276" w:lineRule="auto"/>
      </w:pPr>
      <w:r>
        <w:rPr>
          <w:color w:val="222222"/>
        </w:rPr>
        <w:t>Es el nivel más restringido. Se orienta a la captura en campo mediante dispositivos móviles. El operador selecciona la máquina asignada, ingresa la lectura del horómetro/odómetro y adjunta de manera **obligatoria la fotografía del ticket o marcador** de la bomba. No tiene privilegios para visualizar totales financieros ni registros de otros operadores.</w:t>
      </w:r>
    </w:p>
    <w:p>
      <w:pPr>
        <w:keepNext/>
        <w:spacing w:before="200" w:after="80"/>
      </w:pPr>
      <w:r>
        <w:rPr>
          <w:rFonts w:ascii="Calibri" w:hAnsi="Calibri"/>
          <w:b/>
          <w:color w:val="1B365D"/>
          <w:sz w:val="22"/>
        </w:rPr>
        <w:t>b) Nivel 2: Operador de Marimba (Pipa) y Tanque Fijo</w:t>
      </w:r>
    </w:p>
    <w:p>
      <w:pPr>
        <w:spacing w:after="120" w:line="276" w:lineRule="auto"/>
      </w:pPr>
      <w:r>
        <w:rPr>
          <w:color w:val="222222"/>
        </w:rPr>
        <w:t>Responsable de la custodia del volumen en tránsito o almacenamiento. Captura las descargas recibidas de las estaciones de servicio y detalla con exactitud el volumen distribuido hacia cada obra o máquina. Esta información sirve de insumo para el Cruce Nivel 2.</w:t>
      </w:r>
    </w:p>
    <w:p>
      <w:pPr>
        <w:keepNext/>
        <w:spacing w:before="200" w:after="80"/>
      </w:pPr>
      <w:r>
        <w:rPr>
          <w:rFonts w:ascii="Calibri" w:hAnsi="Calibri"/>
          <w:b/>
          <w:color w:val="1B365D"/>
          <w:sz w:val="22"/>
        </w:rPr>
        <w:t>c) Nivel 3: Ingenieros y Responsables de Obra</w:t>
      </w:r>
    </w:p>
    <w:p>
      <w:pPr>
        <w:spacing w:after="120" w:line="276" w:lineRule="auto"/>
      </w:pPr>
      <w:r>
        <w:rPr>
          <w:color w:val="222222"/>
        </w:rPr>
        <w:t>Tienen un perfil de supervisión integral sobre sus centros de trabajo. Sus funciones abarcan:</w:t>
      </w:r>
    </w:p>
    <w:p>
      <w:pPr>
        <w:pStyle w:val="ListBullet"/>
        <w:spacing w:after="80" w:line="276" w:lineRule="auto"/>
      </w:pPr>
      <w:r>
        <w:rPr>
          <w:b/>
          <w:color w:val="222222"/>
        </w:rPr>
        <w:t xml:space="preserve">Solicitudes de Combustible: </w:t>
      </w:r>
      <w:r>
        <w:rPr>
          <w:color w:val="222222"/>
        </w:rPr>
        <w:t>Petición formal de litros semanales para sus frentes de trabajo.</w:t>
      </w:r>
    </w:p>
    <w:p>
      <w:pPr>
        <w:pStyle w:val="ListBullet"/>
        <w:spacing w:after="80" w:line="276" w:lineRule="auto"/>
      </w:pPr>
      <w:r>
        <w:rPr>
          <w:b/>
          <w:color w:val="222222"/>
        </w:rPr>
        <w:t xml:space="preserve">Autorizaciones Extraordinarias: </w:t>
      </w:r>
      <w:r>
        <w:rPr>
          <w:color w:val="222222"/>
        </w:rPr>
        <w:t>Formulario de petición de saldo adicional justificando emergencias o turnos extra.</w:t>
      </w:r>
    </w:p>
    <w:p>
      <w:pPr>
        <w:pStyle w:val="ListBullet"/>
        <w:spacing w:after="80" w:line="276" w:lineRule="auto"/>
      </w:pPr>
      <w:r>
        <w:rPr>
          <w:b/>
          <w:color w:val="222222"/>
        </w:rPr>
        <w:t xml:space="preserve">Módulo de Seguridad (EPP): </w:t>
      </w:r>
      <w:r>
        <w:rPr>
          <w:color w:val="222222"/>
        </w:rPr>
        <w:t>Registro de entrega de Equipo de Protección Personal (EPP/PPE) a los trabajadores de la obra.</w:t>
      </w:r>
    </w:p>
    <w:p>
      <w:pPr>
        <w:pStyle w:val="ListBullet"/>
        <w:spacing w:after="80" w:line="276" w:lineRule="auto"/>
      </w:pPr>
      <w:r>
        <w:rPr>
          <w:b/>
          <w:color w:val="222222"/>
        </w:rPr>
        <w:t xml:space="preserve">Reportes Mecánicos y de Obra: </w:t>
      </w:r>
      <w:r>
        <w:rPr>
          <w:color w:val="222222"/>
        </w:rPr>
        <w:t>Captura de reportes de mantenimiento, fallas mecánicas, solicitud de refacciones/piezas y bitácora diaria de avance.</w:t>
      </w:r>
    </w:p>
    <w:p>
      <w:pPr>
        <w:pStyle w:val="ListBullet"/>
        <w:spacing w:after="80" w:line="276" w:lineRule="auto"/>
      </w:pPr>
      <w:r>
        <w:rPr>
          <w:b/>
          <w:color w:val="222222"/>
        </w:rPr>
        <w:t xml:space="preserve">Supervisión de Cargas: </w:t>
      </w:r>
      <w:r>
        <w:rPr>
          <w:color w:val="222222"/>
        </w:rPr>
        <w:t>Auditoría visual de los litros registrados en cada una de sus máquinas pesadas.</w:t>
      </w:r>
    </w:p>
    <w:p>
      <w:pPr>
        <w:pStyle w:val="ListBullet"/>
        <w:spacing w:after="80" w:line="276" w:lineRule="auto"/>
      </w:pPr>
      <w:r>
        <w:rPr>
          <w:b/>
          <w:color w:val="222222"/>
        </w:rPr>
        <w:t xml:space="preserve">Módulo de Acarreos y Mezcla (Conciliación vs Plantas): </w:t>
      </w:r>
      <w:r>
        <w:rPr>
          <w:color w:val="222222"/>
        </w:rPr>
        <w:t>Verificación estricta de que cada viaje de acarreo o mezcla asfáltica cuente con la **fotografía legible de la nota o boleta de embarque**. Esta información es conciliada automáticamente contra los reportes de salida emitidos por las Plantas de Asfalto (Huixquilucan/Pegaso).</w:t>
      </w:r>
    </w:p>
    <w:p>
      <w:pPr>
        <w:keepNext/>
        <w:spacing w:before="200" w:after="80"/>
      </w:pPr>
      <w:r>
        <w:rPr>
          <w:rFonts w:ascii="Calibri" w:hAnsi="Calibri"/>
          <w:b/>
          <w:color w:val="1B365D"/>
          <w:sz w:val="22"/>
        </w:rPr>
        <w:t>d) Nivel 4: Administradores y Gobierno Corporativo</w:t>
      </w:r>
    </w:p>
    <w:p>
      <w:pPr>
        <w:spacing w:after="120" w:line="276" w:lineRule="auto"/>
      </w:pPr>
      <w:r>
        <w:rPr>
          <w:color w:val="222222"/>
        </w:rPr>
        <w:t>Representa la máxima autoridad dentro del sistema. Los administradores auditan las facturas de los proveedores, verifican los XMLs del SAT y ejecutan la validación final. Al confirmar que no existen discrepancias, activan la bandera de **BLOQUEO DE PERIODO** (`periodo_bloqueado = TRUE`), congelando la base de datos.</w:t>
      </w:r>
    </w:p>
    <w:tbl>
      <w:tblPr>
        <w:tblW w:type="auto" w:w="0"/>
        <w:jc w:val="center"/>
        <w:tblLayout w:type="fixed"/>
        <w:tblLook w:firstColumn="1" w:firstRow="1" w:lastColumn="0" w:lastRow="0" w:noHBand="0" w:noVBand="1" w:val="04A0"/>
      </w:tblPr>
      <w:tblGrid>
        <w:gridCol w:w="9360"/>
      </w:tblGrid>
      <w:tr>
        <w:tc>
          <w:tcPr>
            <w:tcW w:type="dxa" w:w="9360"/>
            <w:shd w:fill="EBF2F7"/>
            <w:tcMar>
              <w:top w:w="140" w:type="dxa"/>
              <w:bottom w:w="140" w:type="dxa"/>
              <w:left w:w="180" w:type="dxa"/>
              <w:right w:w="140" w:type="dxa"/>
            </w:tcMar>
            <w:tcBorders>
              <w:left w:val="single" w:sz="24" w:space="0" w:color="1B365D"/>
              <w:top w:val="none" w:sz="0" w:space="0" w:color="auto"/>
              <w:bottom w:val="none" w:sz="0" w:space="0" w:color="auto"/>
              <w:right w:val="none" w:sz="0" w:space="0" w:color="auto"/>
            </w:tcBorders>
          </w:tcPr>
          <w:p>
            <w:pPr>
              <w:spacing w:after="80"/>
            </w:pPr>
            <w:r>
              <w:rPr>
                <w:rFonts w:ascii="Segoe UI" w:hAnsi="Segoe UI"/>
                <w:b/>
                <w:color w:val="1B365D"/>
                <w:sz w:val="22"/>
              </w:rPr>
              <w:t>📌 Mecanismo de Seguridad: Cierre y Bloqueo de Información</w:t>
              <w:br/>
            </w:r>
            <w:r>
              <w:rPr>
                <w:rFonts w:ascii="Calibri" w:hAnsi="Calibri"/>
                <w:color w:val="222222"/>
                <w:sz w:val="20"/>
              </w:rPr>
              <w:t>Una vez que un periodo (semana o mes) es validado por Gobierno Corporativo, la base de datos PostgreSQL activa disparadores (Triggers) que rechazan cualquier orden `UPDATE` o `DELETE` proveniente de usuarios de Nivel 1, 2 y 3.</w:t>
              <w:br/>
              <w:br/>
              <w:t>Si se requiere realizar una corrección extemporánea, un **Superadministrador** debe ingresar con credenciales especiales, justificar por escrito el motivo de la apertura e ingresar un código de autorización. Cada evento de desbloqueo queda grabado de forma inalterable en `catalogos.audit_log` indicando usuario, fecha, hora y razón.</w:t>
            </w:r>
          </w:p>
        </w:tc>
      </w:tr>
    </w:tbl>
    <w:p>
      <w:pPr>
        <w:spacing w:after="120"/>
      </w:pPr>
    </w:p>
    <w:p>
      <w:pPr>
        <w:keepNext/>
        <w:spacing w:before="360" w:after="160"/>
      </w:pPr>
      <w:r>
        <w:rPr>
          <w:rFonts w:ascii="Segoe UI" w:hAnsi="Segoe UI"/>
          <w:b/>
          <w:color w:val="1B365D"/>
          <w:sz w:val="30"/>
        </w:rPr>
        <w:t>4. CONCILIACIÓN ESPECIALIZADA DE ACARREOS Y MEZCLA ASFÁLTICA CONTRA PLANTAS</w:t>
      </w:r>
    </w:p>
    <w:p>
      <w:pPr>
        <w:spacing w:after="120" w:line="276" w:lineRule="auto"/>
      </w:pPr>
      <w:r>
        <w:rPr>
          <w:color w:val="222222"/>
        </w:rPr>
        <w:t>El control de materiales, fresado y mezcla asfáltica sigue un procedimiento riguroso de conciliación cruzada entre las Plantas de Asfalto corporativas (Huixquilucan / Pegaso), los transportistas (Sindicatos/Camiones) y los Ingenieros de Obra recepciomistas.</w:t>
      </w:r>
    </w:p>
    <w:p>
      <w:pPr>
        <w:keepNext/>
        <w:spacing w:before="280" w:after="120"/>
      </w:pPr>
      <w:r>
        <w:rPr>
          <w:rFonts w:ascii="Segoe UI" w:hAnsi="Segoe UI"/>
          <w:b/>
          <w:color w:val="3B629B"/>
          <w:sz w:val="25"/>
        </w:rPr>
        <w:t>4.1 Proceso de Conciliación de Materiales y Mezcla</w:t>
      </w:r>
    </w:p>
    <w:p>
      <w:pPr>
        <w:pStyle w:val="ListBullet"/>
        <w:spacing w:after="80" w:line="276" w:lineRule="auto"/>
      </w:pPr>
      <w:r>
        <w:rPr>
          <w:b/>
          <w:color w:val="222222"/>
        </w:rPr>
        <w:t xml:space="preserve">1. Salida de Planta: </w:t>
      </w:r>
      <w:r>
        <w:rPr>
          <w:color w:val="222222"/>
        </w:rPr>
        <w:t>La Planta de Asfalto genera la nota de remisión digital y física con el peso/tonelaje exacto ($t$) o cubicaje ($m^3$) de la mezcla producida.</w:t>
      </w:r>
    </w:p>
    <w:p>
      <w:pPr>
        <w:pStyle w:val="ListBullet"/>
        <w:spacing w:after="80" w:line="276" w:lineRule="auto"/>
      </w:pPr>
      <w:r>
        <w:rPr>
          <w:b/>
          <w:color w:val="222222"/>
        </w:rPr>
        <w:t xml:space="preserve">2. Transporte: </w:t>
      </w:r>
      <w:r>
        <w:rPr>
          <w:color w:val="222222"/>
        </w:rPr>
        <w:t>El chofer del camión traslada el material al tramo en obra.</w:t>
      </w:r>
    </w:p>
    <w:p>
      <w:pPr>
        <w:pStyle w:val="ListBullet"/>
        <w:spacing w:after="80" w:line="276" w:lineRule="auto"/>
      </w:pPr>
      <w:r>
        <w:rPr>
          <w:b/>
          <w:color w:val="222222"/>
        </w:rPr>
        <w:t xml:space="preserve">3. Recepción en Obra + Foto Obligatoria: </w:t>
      </w:r>
      <w:r>
        <w:rPr>
          <w:color w:val="222222"/>
        </w:rPr>
        <w:t>El Ingeniero de Obra recibe el camión, captura los datos de la nota en el Portal 5001 y sube **OBLIGATORIAMENTE LA FOTOGRAFÍA CLARA Y LEGIBLE DE LA NOTA / BOLETA**.</w:t>
      </w:r>
    </w:p>
    <w:p>
      <w:pPr>
        <w:pStyle w:val="ListBullet"/>
        <w:spacing w:after="80" w:line="276" w:lineRule="auto"/>
      </w:pPr>
      <w:r>
        <w:rPr>
          <w:b/>
          <w:color w:val="222222"/>
        </w:rPr>
        <w:t xml:space="preserve">4. Conciliación Automática en Fénix: </w:t>
      </w:r>
      <w:r>
        <w:rPr>
          <w:color w:val="222222"/>
        </w:rPr>
        <w:t>El sistema Fénix cruza las toneladas emitidas por la Planta vs las toneladas recibidas en Obra vs las boletas amparadas en la factura del Sindicato/Transportista.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60" w:type="dxa"/>
              <w:right w:w="140" w:type="dxa"/>
            </w:tcMar>
            <w:tcBorders>
              <w:top w:val="single" w:sz="8" w:space="0" w:color="1B365D"/>
              <w:bottom w:val="single" w:sz="8" w:space="0" w:color="1B365D"/>
              <w:left w:val="single" w:sz="8" w:space="0" w:color="1B365D"/>
              <w:right w:val="single" w:sz="8" w:space="0" w:color="1B365D"/>
            </w:tcBorders>
          </w:tcPr>
          <w:p>
            <w:pPr>
              <w:spacing w:after="120"/>
            </w:pPr>
            <w:r>
              <w:rPr>
                <w:rFonts w:ascii="Segoe UI" w:hAnsi="Segoe UI"/>
                <w:b/>
                <w:color w:val="1B365D"/>
                <w:sz w:val="21"/>
              </w:rPr>
              <w:t>📐 DIAGRAMA ARQUITECTÓNICO: Flujo de Conciliación de Mezcla Asfáltica (Planta vs Obra + Foto Nota)</w:t>
              <w:br/>
            </w:r>
            <w:r>
              <w:rPr>
                <w:rFonts w:ascii="Consolas" w:hAnsi="Consolas"/>
                <w:color w:val="222222"/>
                <w:sz w:val="17"/>
              </w:rPr>
              <w:t xml:space="preserve"> ┌──────────────────────────┐         ┌──────────────────────────┐</w:t>
              <w:br/>
              <w:t xml:space="preserve"> │ PLANTA DE ASFALTO        │         │ INGENIERO DE OBRA        │</w:t>
              <w:br/>
              <w:t xml:space="preserve"> │ (Huixquilucan / Pegaso)  │         │ (Recepción en Tramo)     │</w:t>
              <w:br/>
              <w:t xml:space="preserve"> └────────────┬─────────────┘         └────────────┬─────────────┘</w:t>
              <w:br/>
              <w:t xml:space="preserve">              │                                    │</w:t>
              <w:br/>
              <w:t xml:space="preserve">              │ Emite Mezcla                       │ Recibe Camión</w:t>
              <w:br/>
              <w:t xml:space="preserve">              │ y Nota de Salida                   │ y Revisa Nota</w:t>
              <w:br/>
              <w:t xml:space="preserve">              ▼                                    ▼</w:t>
              <w:br/>
              <w:t xml:space="preserve"> ┌──────────────────────────┐         ┌──────────────────────────┐</w:t>
              <w:br/>
              <w:t xml:space="preserve"> │ REGISTRO DE PLANTA       │         │ CAPTURA EN PORTAL 5001   │</w:t>
              <w:br/>
              <w:t xml:space="preserve"> │ (Toneladas Producidas)   │         │ + FOTO OBLIGATORIA NOTA  │</w:t>
              <w:br/>
              <w:t xml:space="preserve"> └────────────┬─────────────┘         └────────────┬─────────────┘</w:t>
              <w:br/>
              <w:t xml:space="preserve">              │                                    │</w:t>
              <w:br/>
              <w:t xml:space="preserve">              └─────────────────┬──────────────────┘</w:t>
              <w:br/>
              <w:t xml:space="preserve">                                │</w:t>
              <w:br/>
              <w:t xml:space="preserve">                                ▼</w:t>
              <w:br/>
              <w:t xml:space="preserve"> ┌───────────────────────────────────────────────────────────────┐</w:t>
              <w:br/>
              <w:t xml:space="preserve"> │                  MOTOR DE CONCILIACIÓN FÉNIX                  │</w:t>
              <w:br/>
              <w:t xml:space="preserve"> │     [Valida: Toneladas Planta = Toneladas Obra + Foto Nota]   │</w:t>
              <w:br/>
              <w:t xml:space="preserve"> └──────────────────────────────┬────────────────────────────────┘</w:t>
              <w:br/>
              <w:t xml:space="preserve">                                │</w:t>
              <w:br/>
              <w:t xml:space="preserve">                                ▼</w:t>
              <w:br/>
              <w:t xml:space="preserve">               🔒 APROBACIÓN Y BLOQUEO CORPORATIVO</w:t>
            </w:r>
          </w:p>
        </w:tc>
      </w:tr>
    </w:tbl>
    <w:p>
      <w:pPr>
        <w:spacing w:after="120"/>
      </w:pPr>
    </w:p>
    <w:p>
      <w:pPr>
        <w:keepNext/>
        <w:spacing w:before="360" w:after="160"/>
      </w:pPr>
      <w:r>
        <w:rPr>
          <w:rFonts w:ascii="Segoe UI" w:hAnsi="Segoe UI"/>
          <w:b/>
          <w:color w:val="1B365D"/>
          <w:sz w:val="30"/>
        </w:rPr>
        <w:t>5. VISIÓN A FUTURO Y HOJA DE RUTA DE EVOLUCIÓN TECNOLÓGICA</w:t>
      </w:r>
    </w:p>
    <w:p>
      <w:pPr>
        <w:spacing w:after="120" w:line="276" w:lineRule="auto"/>
      </w:pPr>
      <w:r>
        <w:rPr>
          <w:color w:val="222222"/>
        </w:rPr>
        <w:t>El Sistema Fénix 2.0 sienta las bases para una transformación digital continua. La visión a futuro contempla convertir el sistema en una plataforma autónoma e inteligente respaldada por las siguientes innovaciones:</w:t>
      </w:r>
    </w:p>
    <w:p>
      <w:pPr>
        <w:keepNext/>
        <w:spacing w:before="280" w:after="120"/>
      </w:pPr>
      <w:r>
        <w:rPr>
          <w:rFonts w:ascii="Segoe UI" w:hAnsi="Segoe UI"/>
          <w:b/>
          <w:color w:val="3B629B"/>
          <w:sz w:val="25"/>
        </w:rPr>
        <w:t>5.1 Aplicación Móvil PWA y Cliente Nativo Offline-First</w:t>
      </w:r>
    </w:p>
    <w:p>
      <w:pPr>
        <w:spacing w:after="120" w:line="276" w:lineRule="auto"/>
      </w:pPr>
      <w:r>
        <w:rPr>
          <w:color w:val="222222"/>
        </w:rPr>
        <w:t>Dado que muchas obras de infraestructura se ejecutan en zonas con cobertura de red nula o intermitente, se desarrollará la evolución a una Progressive Web App (PWA) e integración nativa móvil con motor de base de datos local (IndexedDB / SQLite local en el dispositivo). Los operadores capturarán las transacciones localmente y los Service Workers sincronizarán automáticamente con el servidor PostgreSQL central tan pronto como el dispositivo detecte señal de red.</w:t>
      </w:r>
    </w:p>
    <w:p>
      <w:pPr>
        <w:keepNext/>
        <w:spacing w:before="280" w:after="120"/>
      </w:pPr>
      <w:r>
        <w:rPr>
          <w:rFonts w:ascii="Segoe UI" w:hAnsi="Segoe UI"/>
          <w:b/>
          <w:color w:val="3B629B"/>
          <w:sz w:val="25"/>
        </w:rPr>
        <w:t>5.2 Integración IoT y Telemetría Automática en Sensores</w:t>
      </w:r>
    </w:p>
    <w:p>
      <w:pPr>
        <w:pStyle w:val="ListBullet"/>
        <w:spacing w:after="80" w:line="276" w:lineRule="auto"/>
      </w:pPr>
      <w:r>
        <w:rPr>
          <w:b/>
          <w:color w:val="222222"/>
        </w:rPr>
        <w:t xml:space="preserve">Flujómetros Digitales en Pipas: </w:t>
      </w:r>
      <w:r>
        <w:rPr>
          <w:color w:val="222222"/>
        </w:rPr>
        <w:t>Instalación de flujómetros digitales calibrados conectados por IoT en la manguera de despacho de la pipa 'Marimba', registrando automáticamente cada descarga en la BD.</w:t>
      </w:r>
    </w:p>
    <w:p>
      <w:pPr>
        <w:pStyle w:val="ListBullet"/>
        <w:spacing w:after="80" w:line="276" w:lineRule="auto"/>
      </w:pPr>
      <w:r>
        <w:rPr>
          <w:b/>
          <w:color w:val="222222"/>
        </w:rPr>
        <w:t xml:space="preserve">Medición de Tanques Fijos: </w:t>
      </w:r>
      <w:r>
        <w:rPr>
          <w:color w:val="222222"/>
        </w:rPr>
        <w:t>Sensores ultrasónicos de nivel en el Tanque Pegaso (20,000 L) y Tanque Huixquilucan para monitoreo continuo de inventarios en tiempo real y detección automática de fugas.</w:t>
      </w:r>
    </w:p>
    <w:p>
      <w:pPr>
        <w:pStyle w:val="ListBullet"/>
        <w:spacing w:after="80" w:line="276" w:lineRule="auto"/>
      </w:pPr>
      <w:r>
        <w:rPr>
          <w:b/>
          <w:color w:val="222222"/>
        </w:rPr>
        <w:t xml:space="preserve">Telemetría de Maquinaria: </w:t>
      </w:r>
      <w:r>
        <w:rPr>
          <w:color w:val="222222"/>
        </w:rPr>
        <w:t>Conexión con dispositivos GPS/CAN-Bus en maquinaria pesada para correlacionar horómetros y kilómetros reales con los litros suministrados.</w:t>
      </w:r>
    </w:p>
    <w:p>
      <w:pPr>
        <w:keepNext/>
        <w:spacing w:before="280" w:after="120"/>
      </w:pPr>
      <w:r>
        <w:rPr>
          <w:rFonts w:ascii="Segoe UI" w:hAnsi="Segoe UI"/>
          <w:b/>
          <w:color w:val="3B629B"/>
          <w:sz w:val="25"/>
        </w:rPr>
        <w:t>5.3 Asistente Conversacional Ejecutivo con Inteligencia Artificial (IA)</w:t>
      </w:r>
    </w:p>
    <w:p>
      <w:pPr>
        <w:spacing w:after="120" w:line="276" w:lineRule="auto"/>
      </w:pPr>
      <w:r>
        <w:rPr>
          <w:color w:val="222222"/>
        </w:rPr>
        <w:t>Integración de agentes basados en el modelo Google Gemini 1.5 Flash y la arquitectura n8n. Los directivos y auditores podrán realizar consultas complejas en lenguaje natural desde WhatsApp o la plataforma web, tales como:</w:t>
      </w:r>
    </w:p>
    <w:p>
      <w:pPr>
        <w:pStyle w:val="ListBullet"/>
        <w:spacing w:after="80" w:line="276" w:lineRule="auto"/>
      </w:pPr>
      <w:r>
        <w:rPr>
          <w:b/>
          <w:color w:val="222222"/>
        </w:rPr>
        <w:t xml:space="preserve">Ejemplo de Consulta 1: </w:t>
      </w:r>
      <w:r>
        <w:rPr>
          <w:color w:val="222222"/>
        </w:rPr>
        <w:t>¿Cuál fue la obra con mayor rendimiento de diésel por hora trabajada en la Semana 34?</w:t>
      </w:r>
    </w:p>
    <w:p>
      <w:pPr>
        <w:pStyle w:val="ListBullet"/>
        <w:spacing w:after="80" w:line="276" w:lineRule="auto"/>
      </w:pPr>
      <w:r>
        <w:rPr>
          <w:b/>
          <w:color w:val="222222"/>
        </w:rPr>
        <w:t xml:space="preserve">Ejemplo de Consulta 2: </w:t>
      </w:r>
      <w:r>
        <w:rPr>
          <w:color w:val="222222"/>
        </w:rPr>
        <w:t>Muestra un comparativo entre las facturas pagadas a Gasolinera Huixquilucan y los litros ingresados al Tanque Pegaso.</w:t>
      </w:r>
    </w:p>
    <w:p>
      <w:pPr>
        <w:pStyle w:val="ListBullet"/>
        <w:spacing w:after="80" w:line="276" w:lineRule="auto"/>
      </w:pPr>
      <w:r>
        <w:rPr>
          <w:b/>
          <w:color w:val="222222"/>
        </w:rPr>
        <w:t xml:space="preserve">Ejemplo de Consulta 3: </w:t>
      </w:r>
      <w:r>
        <w:rPr>
          <w:color w:val="222222"/>
        </w:rPr>
        <w:t>Alerta si algún ingeniero sobrepasó su presupuesto autorizado diario durante los últimos 3 días.</w:t>
      </w:r>
    </w:p>
    <w:p>
      <w:pPr>
        <w:keepNext/>
        <w:spacing w:before="280" w:after="120"/>
      </w:pPr>
      <w:r>
        <w:rPr>
          <w:rFonts w:ascii="Segoe UI" w:hAnsi="Segoe UI"/>
          <w:b/>
          <w:color w:val="3B629B"/>
          <w:sz w:val="25"/>
        </w:rPr>
        <w:t>5.4 Reconocimiento Óptico de Caracteres (OCR) en Visión Artificial</w:t>
      </w:r>
    </w:p>
    <w:p>
      <w:pPr>
        <w:spacing w:after="120" w:line="276" w:lineRule="auto"/>
      </w:pPr>
      <w:r>
        <w:rPr>
          <w:color w:val="222222"/>
        </w:rPr>
        <w:t>Módulo de procesamiento de imágenes que permitirá a los choferes fotocopiar el ticket de la gasolinería o la boleta de acarreo con la cámara de su celular. El motor OCR extraerá automáticamente el folio, la fecha, los litros, el costo total y el número económico, eliminando el tecleo manual.</w:t>
      </w:r>
    </w:p>
    <w:p>
      <w:pPr>
        <w:keepNext/>
        <w:spacing w:before="360" w:after="160"/>
      </w:pPr>
      <w:r>
        <w:rPr>
          <w:rFonts w:ascii="Segoe UI" w:hAnsi="Segoe UI"/>
          <w:b/>
          <w:color w:val="1B365D"/>
          <w:sz w:val="30"/>
        </w:rPr>
        <w:t>6. ARQUITECTURA DE LA BASE DE DATOS RELACIONAL (`fenix_db`)</w:t>
      </w:r>
    </w:p>
    <w:p>
      <w:pPr>
        <w:spacing w:after="120" w:line="276" w:lineRule="auto"/>
      </w:pPr>
      <w:r>
        <w:rPr>
          <w:color w:val="222222"/>
        </w:rPr>
        <w:t>El soporte de almacenamiento persistente del Sistema Fénix 2.0 es una base de datos relacional PostgreSQL 16 alojada localmente (`localhost:5432`). Garantiza cumplimiento de propiedades ACID (Atomicidad, Consistencia, Aislamiento, Durabilidad) y un estricto esquema relacional dividido por dominios operacionales (schemas).</w:t>
      </w:r>
    </w:p>
    <w:p>
      <w:pPr>
        <w:keepNext/>
        <w:spacing w:before="280" w:after="120"/>
      </w:pPr>
      <w:r>
        <w:rPr>
          <w:rFonts w:ascii="Segoe UI" w:hAnsi="Segoe UI"/>
          <w:b/>
          <w:color w:val="3B629B"/>
          <w:sz w:val="25"/>
        </w:rPr>
        <w:t>6.1 Esquema Relacional de Tablas Maestras</w:t>
      </w:r>
    </w:p>
    <w:p>
      <w:pPr>
        <w:keepNext/>
        <w:spacing w:before="200" w:after="80"/>
      </w:pPr>
      <w:r>
        <w:rPr>
          <w:rFonts w:ascii="Calibri" w:hAnsi="Calibri"/>
          <w:b/>
          <w:color w:val="1B365D"/>
          <w:sz w:val="22"/>
        </w:rPr>
        <w:t>A) Esquema Diésel (`diesel`)</w:t>
      </w:r>
    </w:p>
    <w:p>
      <w:pPr>
        <w:spacing w:after="120" w:line="276" w:lineRule="auto"/>
      </w:pPr>
      <w:r>
        <w:rPr>
          <w:color w:val="222222"/>
        </w:rPr>
        <w:t>Concentra la gestión de solicitudes, despachos, facturas y complementos de pago para combustible pesado.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Nombre de Tabla</w:t>
            </w:r>
          </w:p>
        </w:tc>
        <w:tc>
          <w:tcPr>
            <w:tcW w:type="dxa" w:w="172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Columna / Campo</w:t>
            </w:r>
          </w:p>
        </w:tc>
        <w:tc>
          <w:tcPr>
            <w:tcW w:type="dxa" w:w="144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Tipo de Dato</w:t>
            </w:r>
          </w:p>
        </w:tc>
        <w:tc>
          <w:tcPr>
            <w:tcW w:type="dxa" w:w="360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Restricciones / Descripción</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BIGINT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folio_conciliacion</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UNIQUE, NOT NULL. Identificador de cruce</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fecha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DATE / 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Fecha del despacho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semana</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Semana ISO del año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origen</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Punto de emisión (ej. Gasolinera / Tanque Pegaso)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obra_destino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FK -&gt; catalogos.obras(nombre)</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equipo_economico</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FK -&gt; catalogos.equipos(numero_economico)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litros</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NUMERIC(12,2)</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Cantidad suministrada</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costo_por_litro</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NUMERIC(10,2)</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Precio unitario del diésel</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importe_total</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NUMERIC(14,2)</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Litros × Costo/L</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responsable</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Ingeniero a cargo de la obra</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diesel.solicitudes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diesel.solicitudes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semana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Semana solicitada</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diesel.solicitudes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litros_solicitados</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NUMERIC(12,2)</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Volumen requerido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diesel.solicitudes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estatus</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DEFAULT 'Pendiente' (Aprobado / Rechazado)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diesel.facturas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diesel.facturas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folio_factura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Folio impreso del proveedor</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diesel.facturas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uuid_cfdi</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UUID de 36 caracteres del SAT</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diesel.facturas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importe_total</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NUMERIC(14,2)</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Monto total con IVA</w:t>
            </w:r>
          </w:p>
        </w:tc>
      </w:tr>
    </w:tbl>
    <w:p>
      <w:pPr>
        <w:spacing w:after="120"/>
      </w:pPr>
    </w:p>
    <w:p>
      <w:pPr>
        <w:keepNext/>
        <w:spacing w:before="200" w:after="80"/>
      </w:pPr>
      <w:r>
        <w:rPr>
          <w:rFonts w:ascii="Calibri" w:hAnsi="Calibri"/>
          <w:b/>
          <w:color w:val="1B365D"/>
          <w:sz w:val="22"/>
        </w:rPr>
        <w:t>B) Esquema Gasolina (`gasolina`)</w:t>
      </w:r>
    </w:p>
    <w:p>
      <w:pPr>
        <w:spacing w:after="120" w:line="276" w:lineRule="auto"/>
      </w:pPr>
      <w:r>
        <w:rPr>
          <w:color w:val="222222"/>
        </w:rPr>
        <w:t>Controla la flotilla ligera, el autocompletado en 0ms y el concilio masivo desde archivos Excel.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Nombre de Tabla</w:t>
            </w:r>
          </w:p>
        </w:tc>
        <w:tc>
          <w:tcPr>
            <w:tcW w:type="dxa" w:w="172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Columna / Campo</w:t>
            </w:r>
          </w:p>
        </w:tc>
        <w:tc>
          <w:tcPr>
            <w:tcW w:type="dxa" w:w="144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Tipo de Dato</w:t>
            </w:r>
          </w:p>
        </w:tc>
        <w:tc>
          <w:tcPr>
            <w:tcW w:type="dxa" w:w="360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Restricciones / Descripción</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BIGINT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folio_conciliacion</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UNIQUE, NOT NULL</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fecha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DATE / 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semana</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Semana ISO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placa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Placa del vehículo o 'S/P'</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vehiculo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Marca, modelo y número económico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conductor</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Conductor responsable asignado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obra_destino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Obra o centro de costo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litros</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NUMERIC(10,2)</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Litros despachados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gasolina.consumos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importe_total</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NUMERIC(12,2)</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Importe cobrado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gasolina.autorizaciones_maestro</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placa</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Utilizada para autocompletado 0ms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gasolina.autorizaciones_maestro</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vehiculo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 registrado del vehículo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gasolina.autorizaciones_maestro</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conductor</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Conductor habitual</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gasolina.autorizaciones_maestro</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obra_asignada</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Obra por defecto</w:t>
            </w:r>
          </w:p>
        </w:tc>
      </w:tr>
    </w:tbl>
    <w:p>
      <w:pPr>
        <w:spacing w:after="120"/>
      </w:pPr>
    </w:p>
    <w:p>
      <w:pPr>
        <w:keepNext/>
        <w:spacing w:before="200" w:after="80"/>
      </w:pPr>
      <w:r>
        <w:rPr>
          <w:rFonts w:ascii="Calibri" w:hAnsi="Calibri"/>
          <w:b/>
          <w:color w:val="1B365D"/>
          <w:sz w:val="22"/>
        </w:rPr>
        <w:t>C) Esquema Catálogos y Auditoría (`catalogos`)</w:t>
      </w:r>
    </w:p>
    <w:p>
      <w:pPr>
        <w:spacing w:after="120" w:line="276" w:lineRule="auto"/>
      </w:pPr>
      <w:r>
        <w:rPr>
          <w:color w:val="222222"/>
        </w:rPr>
        <w:t>Mantiene el padrón maestro corporativo y la bitácora inalterable de cambios.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Nombre de Tabla</w:t>
            </w:r>
          </w:p>
        </w:tc>
        <w:tc>
          <w:tcPr>
            <w:tcW w:type="dxa" w:w="172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Columna / Campo</w:t>
            </w:r>
          </w:p>
        </w:tc>
        <w:tc>
          <w:tcPr>
            <w:tcW w:type="dxa" w:w="144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Tipo de Dato</w:t>
            </w:r>
          </w:p>
        </w:tc>
        <w:tc>
          <w:tcPr>
            <w:tcW w:type="dxa" w:w="360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Restricciones / Descripción</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catalogos.responsables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catalogos.responsables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UNIQUE. Nombre del Ingeniero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catalogos.responsables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dias_trabajados</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INTEGER</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Regla de negocio (6 ó 5 Días)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catalogos.responsables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autorizado_diario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NUMERIC(10,2)</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Cuota diaria en Litros</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catalogos.obras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codigo</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Clave corta de la obra</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catalogos.obras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NOT NULL, UNIQUE. Nombre oficial</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catalogos.equipos</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numero_economico</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Ej. 'EX-01'</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catalogos.equipos</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descripcion</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Descripción de la máquina / vehículo</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BIGINT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PRIMARY KEY, AUTOINCREMENT</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tabla_afectada</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Nombre de la tabla modificada</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registro_id</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ID del registro alterado</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usuario</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Usuario que ejecutó la acción</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accion</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'INSERT', 'UPDATE' o 'DELETE'</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valor_anterior</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 / JSON</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Estado previo a la modificación</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valor_nuevo</w:t>
            </w:r>
          </w:p>
        </w:tc>
        <w:tc>
          <w:tcPr>
            <w:tcW w:type="dxa" w:w="144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TEXT / JSON</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Estado posterior a la modificación</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catalogos.audit_log</w:t>
            </w:r>
          </w:p>
        </w:tc>
        <w:tc>
          <w:tcPr>
            <w:tcW w:type="dxa" w:w="172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fecha_hora</w:t>
            </w:r>
          </w:p>
        </w:tc>
        <w:tc>
          <w:tcPr>
            <w:tcW w:type="dxa" w:w="144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TIMESTAMP</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DEFAULT CURRENT_TIMESTAMP. Inalterable</w:t>
            </w:r>
          </w:p>
        </w:tc>
      </w:tr>
    </w:tbl>
    <w:p>
      <w:pPr>
        <w:spacing w:after="120"/>
      </w:pPr>
    </w:p>
    <w:p>
      <w:pPr>
        <w:keepNext/>
        <w:spacing w:before="360" w:after="160"/>
      </w:pPr>
      <w:r>
        <w:rPr>
          <w:rFonts w:ascii="Segoe UI" w:hAnsi="Segoe UI"/>
          <w:b/>
          <w:color w:val="1B365D"/>
          <w:sz w:val="30"/>
        </w:rPr>
        <w:t>7. ARQUITECTURA DE SOFTWARE Y CÓDIGO FUENTE</w:t>
      </w:r>
    </w:p>
    <w:p>
      <w:pPr>
        <w:spacing w:after="120" w:line="276" w:lineRule="auto"/>
      </w:pPr>
      <w:r>
        <w:rPr>
          <w:color w:val="222222"/>
        </w:rPr>
        <w:t>El Sistema Fénix 2.0 utiliza una arquitectura desacoplada de doble portal que separa las tareas de alta velocidad en campo de las funciones de auditoría contable y dirección en oficina.</w:t>
      </w:r>
    </w:p>
    <w:p>
      <w:pPr>
        <w:keepNext/>
        <w:spacing w:before="280" w:after="120"/>
      </w:pPr>
      <w:r>
        <w:rPr>
          <w:rFonts w:ascii="Segoe UI" w:hAnsi="Segoe UI"/>
          <w:b/>
          <w:color w:val="3B629B"/>
          <w:sz w:val="25"/>
        </w:rPr>
        <w:t>7.1 Stack Tecnológico Seleccionado</w:t>
      </w:r>
    </w:p>
    <w:p>
      <w:pPr>
        <w:pStyle w:val="ListBullet"/>
        <w:spacing w:after="80" w:line="276" w:lineRule="auto"/>
      </w:pPr>
      <w:r>
        <w:rPr>
          <w:b/>
          <w:color w:val="222222"/>
        </w:rPr>
        <w:t xml:space="preserve">Lenguaje de Backend: </w:t>
      </w:r>
      <w:r>
        <w:rPr>
          <w:color w:val="222222"/>
        </w:rPr>
        <w:t>Python 3.12 como lenguaje central, elegido por su robustness, velocidad de procesamiento analítico y ecosistema de datos.</w:t>
      </w:r>
    </w:p>
    <w:p>
      <w:pPr>
        <w:pStyle w:val="ListBullet"/>
        <w:spacing w:after="80" w:line="276" w:lineRule="auto"/>
      </w:pPr>
      <w:r>
        <w:rPr>
          <w:b/>
          <w:color w:val="222222"/>
        </w:rPr>
        <w:t xml:space="preserve">Framework Web: </w:t>
      </w:r>
      <w:r>
        <w:rPr>
          <w:color w:val="222222"/>
        </w:rPr>
        <w:t>Flask (micro-framework WSGI) administrando rutas REST API, renderización de plantillas y middlewares de autenticación.</w:t>
      </w:r>
    </w:p>
    <w:p>
      <w:pPr>
        <w:pStyle w:val="ListBullet"/>
        <w:spacing w:after="80" w:line="276" w:lineRule="auto"/>
      </w:pPr>
      <w:r>
        <w:rPr>
          <w:b/>
          <w:color w:val="222222"/>
        </w:rPr>
        <w:t xml:space="preserve">Frontend / UI: </w:t>
      </w:r>
      <w:r>
        <w:rPr>
          <w:color w:val="222222"/>
        </w:rPr>
        <w:t>HTML5 semántico, CSS3 con diseño 'Aesthetic Glassmorphism' (modo oscuro de alto contraste) y JavaScript puro (Vanilla JS).</w:t>
      </w:r>
    </w:p>
    <w:p>
      <w:pPr>
        <w:pStyle w:val="ListBullet"/>
        <w:spacing w:after="80" w:line="276" w:lineRule="auto"/>
      </w:pPr>
      <w:r>
        <w:rPr>
          <w:b/>
          <w:color w:val="222222"/>
        </w:rPr>
        <w:t xml:space="preserve">Generación Excel: </w:t>
      </w:r>
      <w:r>
        <w:rPr>
          <w:color w:val="222222"/>
        </w:rPr>
        <w:t>Librería OpenPyXL para lectura y construcción de hojas de cálculo con fórmulas dinámicas y estilos corporativos.</w:t>
      </w:r>
    </w:p>
    <w:p>
      <w:pPr>
        <w:pStyle w:val="ListBullet"/>
        <w:spacing w:after="80" w:line="276" w:lineRule="auto"/>
      </w:pPr>
      <w:r>
        <w:rPr>
          <w:b/>
          <w:color w:val="222222"/>
        </w:rPr>
        <w:t xml:space="preserve">Generación PDF: </w:t>
      </w:r>
      <w:r>
        <w:rPr>
          <w:color w:val="222222"/>
        </w:rPr>
        <w:t>Librería ReportLab para la maquetación de reportes ejecutivos en PDF en formato horizontal landscape con firmas.</w:t>
      </w:r>
    </w:p>
    <w:p>
      <w:pPr>
        <w:pStyle w:val="ListBullet"/>
        <w:spacing w:after="80" w:line="276" w:lineRule="auto"/>
      </w:pPr>
      <w:r>
        <w:rPr>
          <w:b/>
          <w:color w:val="222222"/>
        </w:rPr>
        <w:t xml:space="preserve">Lectura de Documentos: </w:t>
      </w:r>
      <w:r>
        <w:rPr>
          <w:color w:val="222222"/>
        </w:rPr>
        <w:t>Librería pdfplumber para la extracción inteligente de datos tabulares desde archivos PDF de bitácoras de campo.</w:t>
      </w:r>
    </w:p>
    <w:p>
      <w:pPr>
        <w:keepNext/>
        <w:spacing w:before="280" w:after="120"/>
      </w:pPr>
      <w:r>
        <w:rPr>
          <w:rFonts w:ascii="Segoe UI" w:hAnsi="Segoe UI"/>
          <w:b/>
          <w:color w:val="3B629B"/>
          <w:sz w:val="25"/>
        </w:rPr>
        <w:t>7.2 Módulos y Archivos del Código Fuente Principal</w:t>
      </w:r>
    </w:p>
    <w:p>
      <w:pPr>
        <w:spacing w:after="120" w:line="276" w:lineRule="auto"/>
      </w:pPr>
      <w:r>
        <w:rPr>
          <w:color w:val="222222"/>
        </w:rPr>
        <w:t>Desglose de los scripts principales que integran el sistema:</w:t>
      </w:r>
    </w:p>
    <w:p>
      <w:pPr>
        <w:pStyle w:val="ListBullet"/>
        <w:spacing w:after="80" w:line="276" w:lineRule="auto"/>
      </w:pPr>
      <w:r>
        <w:rPr>
          <w:b/>
          <w:color w:val="222222"/>
        </w:rPr>
        <w:t xml:space="preserve">app_captura.py: </w:t>
      </w:r>
      <w:r>
        <w:rPr>
          <w:color w:val="222222"/>
        </w:rPr>
        <w:t>Servidor de Captura Operativa (Puerto 5001). Contiene 2,484 líneas de código Python. Maneja los endpoints para la captura de Diésel, Gasolina, Jalisco, Solicitudes y Acarreos. Incluye los algoritmos de normalización de textos y la interfaz de lectura masiva de Excel.</w:t>
      </w:r>
    </w:p>
    <w:p>
      <w:pPr>
        <w:pStyle w:val="ListBullet"/>
        <w:spacing w:after="80" w:line="276" w:lineRule="auto"/>
      </w:pPr>
      <w:r>
        <w:rPr>
          <w:b/>
          <w:color w:val="222222"/>
        </w:rPr>
        <w:t xml:space="preserve">app_admin.py: </w:t>
      </w:r>
      <w:r>
        <w:rPr>
          <w:color w:val="222222"/>
        </w:rPr>
        <w:t>Centro de Mando Administrativo (Puerto 5002). Núcleo de control de 12,954 líneas de código. Gestiona la consolidación de dashboards, el cálculo presupuestal semanal (6D vs 5D), la validación de facturas CFDI/XML, el módulo de telepeaje Tags, la edición de catálogos maestras y la generación de reportes ejecutivos.</w:t>
      </w:r>
    </w:p>
    <w:p>
      <w:pPr>
        <w:pStyle w:val="ListBullet"/>
        <w:spacing w:after="80" w:line="276" w:lineRule="auto"/>
      </w:pPr>
      <w:r>
        <w:rPr>
          <w:b/>
          <w:color w:val="222222"/>
        </w:rPr>
        <w:t xml:space="preserve">bitacora_pdf_service.py: </w:t>
      </w:r>
      <w:r>
        <w:rPr>
          <w:color w:val="222222"/>
        </w:rPr>
        <w:t>Servicio de extracción de datos en PDF de bitácoras diarias. Parsea automáticamente columnas de obra, equipo, litros y kilometraje desde archivos PDF adjuntos, validando duplicados contra la base de datos.</w:t>
      </w:r>
    </w:p>
    <w:p>
      <w:pPr>
        <w:pStyle w:val="ListBullet"/>
        <w:spacing w:after="80" w:line="276" w:lineRule="auto"/>
      </w:pPr>
      <w:r>
        <w:rPr>
          <w:b/>
          <w:color w:val="222222"/>
        </w:rPr>
        <w:t xml:space="preserve">motor_agente_conciliacion.py: </w:t>
      </w:r>
      <w:r>
        <w:rPr>
          <w:color w:val="222222"/>
        </w:rPr>
        <w:t>Motor de conciliación O(1). Carga los consumos registrados y efectúa comparativos masivos contra los estados de cuenta presentados por los proveedores de combustible (Levet / JDJ / Mobil).</w:t>
      </w:r>
    </w:p>
    <w:p>
      <w:pPr>
        <w:pStyle w:val="ListBullet"/>
        <w:spacing w:after="80" w:line="276" w:lineRule="auto"/>
      </w:pPr>
      <w:r>
        <w:rPr>
          <w:b/>
          <w:color w:val="222222"/>
        </w:rPr>
        <w:t xml:space="preserve">generador_acta_conciliacion.py: </w:t>
      </w:r>
      <w:r>
        <w:rPr>
          <w:color w:val="222222"/>
        </w:rPr>
        <w:t>Generador especializado de reportes formales en PDF ('Acta de Conciliación Semanal') con tablas alineadas, cabeceras en color corporativo y secciones de firmas para los auditores.</w:t>
      </w:r>
    </w:p>
    <w:p>
      <w:pPr>
        <w:pStyle w:val="ListBullet"/>
        <w:spacing w:after="80" w:line="276" w:lineRule="auto"/>
      </w:pPr>
      <w:r>
        <w:rPr>
          <w:b/>
          <w:color w:val="222222"/>
        </w:rPr>
        <w:t xml:space="preserve">Lanzadores BAT: </w:t>
      </w:r>
      <w:r>
        <w:rPr>
          <w:color w:val="222222"/>
        </w:rPr>
        <w:t>Archivos de procesamiento por lotes para el arranque simultáneo de los servicios en el servidor: INICIAR_FENIX.bat (Lanzador principal), INICIAR_ADMIN.bat (Portal 5002), INICIAR_CAPTURA.bat (Portal 5001) e INICIAR_N8N.bat (Motor de automatización).</w:t>
      </w:r>
    </w:p>
    <w:p>
      <w:pPr>
        <w:keepNext/>
        <w:spacing w:before="360" w:after="160"/>
      </w:pPr>
      <w:r>
        <w:rPr>
          <w:rFonts w:ascii="Segoe UI" w:hAnsi="Segoe UI"/>
          <w:b/>
          <w:color w:val="1B365D"/>
          <w:sz w:val="30"/>
        </w:rPr>
        <w:t>8. MANUAL OPERATIVO Y FUNCIONAMIENTO PASO A PASO</w:t>
      </w:r>
    </w:p>
    <w:p>
      <w:pPr>
        <w:spacing w:after="120" w:line="276" w:lineRule="auto"/>
      </w:pPr>
      <w:r>
        <w:rPr>
          <w:color w:val="222222"/>
        </w:rPr>
        <w:t>El sistema opera bajo un entorno multimodular accesible mediante navegador web. A continuación se documenta el funcionamiento paso a paso de cada portal y pestaña.</w:t>
      </w:r>
    </w:p>
    <w:p>
      <w:pPr>
        <w:keepNext/>
        <w:spacing w:before="280" w:after="120"/>
      </w:pPr>
      <w:r>
        <w:rPr>
          <w:rFonts w:ascii="Segoe UI" w:hAnsi="Segoe UI"/>
          <w:b/>
          <w:color w:val="3B629B"/>
          <w:sz w:val="25"/>
        </w:rPr>
        <w:t>8.1 Portal de Captura Operativa (`http://localhost:5001`)</w:t>
      </w:r>
    </w:p>
    <w:p>
      <w:pPr>
        <w:keepNext/>
        <w:spacing w:before="200" w:after="80"/>
      </w:pPr>
      <w:r>
        <w:rPr>
          <w:rFonts w:ascii="Calibri" w:hAnsi="Calibri"/>
          <w:b/>
          <w:color w:val="1B365D"/>
          <w:sz w:val="22"/>
        </w:rPr>
        <w:t>1. Pestaña Diésel (`captura_diesel.html`)</w:t>
      </w:r>
    </w:p>
    <w:p>
      <w:pPr>
        <w:spacing w:after="120" w:line="276" w:lineRule="auto"/>
      </w:pPr>
      <w:r>
        <w:rPr>
          <w:color w:val="222222"/>
        </w:rPr>
        <w:t>Permite el registro de despachos de diésel entregados por la pipa 'Marimba' o tanques fijos a la maquinaria.</w:t>
      </w:r>
    </w:p>
    <w:p>
      <w:pPr>
        <w:pStyle w:val="ListBullet"/>
        <w:spacing w:after="80" w:line="276" w:lineRule="auto"/>
      </w:pPr>
      <w:r>
        <w:rPr>
          <w:b/>
          <w:color w:val="222222"/>
        </w:rPr>
        <w:t xml:space="preserve">Captura Individual: </w:t>
      </w:r>
      <w:r>
        <w:rPr>
          <w:color w:val="222222"/>
        </w:rPr>
        <w:t>El usuario selecciona la fecha, la obra de destino, el equipo económico (ej. EX-01) y los litros despachados.</w:t>
      </w:r>
    </w:p>
    <w:p>
      <w:pPr>
        <w:pStyle w:val="ListBullet"/>
        <w:spacing w:after="80" w:line="276" w:lineRule="auto"/>
      </w:pPr>
      <w:r>
        <w:rPr>
          <w:b/>
          <w:color w:val="222222"/>
        </w:rPr>
        <w:t xml:space="preserve">Lectura Inteligente de PDF: </w:t>
      </w:r>
      <w:r>
        <w:rPr>
          <w:color w:val="222222"/>
        </w:rPr>
        <w:t>El usuario arrastra un archivo PDF de bitácora diaria. El sistema invoca `bitacora_pdf_service.py`, lee las filas automáticamente y las muestra en pantalla pre-llenadas para su confirmación inmediata.</w:t>
      </w:r>
    </w:p>
    <w:p>
      <w:pPr>
        <w:keepNext/>
        <w:spacing w:before="200" w:after="80"/>
      </w:pPr>
      <w:r>
        <w:rPr>
          <w:rFonts w:ascii="Calibri" w:hAnsi="Calibri"/>
          <w:b/>
          <w:color w:val="1B365D"/>
          <w:sz w:val="22"/>
        </w:rPr>
        <w:t>2. Pestaña Gasolina (`captura_gasolina.html`)</w:t>
      </w:r>
    </w:p>
    <w:p>
      <w:pPr>
        <w:pStyle w:val="ListBullet"/>
        <w:spacing w:after="80" w:line="276" w:lineRule="auto"/>
      </w:pPr>
      <w:r>
        <w:rPr>
          <w:b/>
          <w:color w:val="222222"/>
        </w:rPr>
        <w:t xml:space="preserve">Sub-pestaña 1 (Individual con Autocompletado 0ms): </w:t>
      </w:r>
      <w:r>
        <w:rPr>
          <w:color w:val="222222"/>
        </w:rPr>
        <w:t>Al ingresar la placa del vehículo, un script en Vanilla JS consulta en memoria el padrón `gasolina.autorizaciones_maestro` y rellena al instante (0ms) el Vehículo, el Conductor y la Obra por defecto.</w:t>
      </w:r>
    </w:p>
    <w:p>
      <w:pPr>
        <w:pStyle w:val="ListBullet"/>
        <w:spacing w:after="80" w:line="276" w:lineRule="auto"/>
      </w:pPr>
      <w:r>
        <w:rPr>
          <w:b/>
          <w:color w:val="222222"/>
        </w:rPr>
        <w:t xml:space="preserve">Sub-pestaña 2 (Captura Masiva Excel Levet/JDJ): </w:t>
      </w:r>
      <w:r>
        <w:rPr>
          <w:color w:val="222222"/>
        </w:rPr>
        <w:t>Permite arrastrar archivos Excel mensuales suministrados por gasolinerías (ej. CONTROL JDJ). El sistema separa los registros en semanas ISO (Semana 26 a 31), realiza una búsqueda $O(1)$ de duplicados y marca cada fila como '✔ CONCILIADO' (ya existente) o '🆕 NUEVO' (pendiente). Al hacer clic en 'Guardar Masivo', inserta cientos de registros en lote en menos de 1 segundo.</w:t>
      </w:r>
    </w:p>
    <w:p>
      <w:pPr>
        <w:keepNext/>
        <w:spacing w:before="200" w:after="80"/>
      </w:pPr>
      <w:r>
        <w:rPr>
          <w:rFonts w:ascii="Calibri" w:hAnsi="Calibri"/>
          <w:b/>
          <w:color w:val="1B365D"/>
          <w:sz w:val="22"/>
        </w:rPr>
        <w:t>3. Pestañas Jalisco, Solicitudes, Acarreos y Mezcla</w:t>
      </w:r>
    </w:p>
    <w:p>
      <w:pPr>
        <w:pStyle w:val="ListBullet"/>
        <w:spacing w:after="80" w:line="276" w:lineRule="auto"/>
      </w:pPr>
      <w:r>
        <w:rPr>
          <w:b/>
          <w:color w:val="222222"/>
        </w:rPr>
        <w:t xml:space="preserve">Jalisco: </w:t>
      </w:r>
      <w:r>
        <w:rPr>
          <w:color w:val="222222"/>
        </w:rPr>
        <w:t>Captura de vales de combustible y vales de caja para obras en Jalisco con carga de evidencia fotográfica.</w:t>
      </w:r>
    </w:p>
    <w:p>
      <w:pPr>
        <w:pStyle w:val="ListBullet"/>
        <w:spacing w:after="80" w:line="276" w:lineRule="auto"/>
      </w:pPr>
      <w:r>
        <w:rPr>
          <w:b/>
          <w:color w:val="222222"/>
        </w:rPr>
        <w:t xml:space="preserve">Solicitudes: </w:t>
      </w:r>
      <w:r>
        <w:rPr>
          <w:color w:val="222222"/>
        </w:rPr>
        <w:t>Formulario de petición de saldo en el cual los ingenieros solicitan volumen semanal antes de surtir.</w:t>
      </w:r>
    </w:p>
    <w:p>
      <w:pPr>
        <w:pStyle w:val="ListBullet"/>
        <w:spacing w:after="80" w:line="276" w:lineRule="auto"/>
      </w:pPr>
      <w:r>
        <w:rPr>
          <w:b/>
          <w:color w:val="222222"/>
        </w:rPr>
        <w:t xml:space="preserve">Acarreos: </w:t>
      </w:r>
      <w:r>
        <w:rPr>
          <w:color w:val="222222"/>
        </w:rPr>
        <w:t>Registro de viajes de acarreo calculando el cubicaje ($m^3$) según el camión y material transportado.</w:t>
      </w:r>
    </w:p>
    <w:p>
      <w:pPr>
        <w:pStyle w:val="ListBullet"/>
        <w:spacing w:after="80" w:line="276" w:lineRule="auto"/>
      </w:pPr>
      <w:r>
        <w:rPr>
          <w:b/>
          <w:color w:val="222222"/>
        </w:rPr>
        <w:t xml:space="preserve">Mezcla: </w:t>
      </w:r>
      <w:r>
        <w:rPr>
          <w:color w:val="222222"/>
        </w:rPr>
        <w:t>Monitoreo de toneladas de mezcla asfáltica producidas en planta y aplicadas en tramos carreteros.</w:t>
      </w:r>
    </w:p>
    <w:p>
      <w:pPr>
        <w:keepNext/>
        <w:spacing w:before="280" w:after="120"/>
      </w:pPr>
      <w:r>
        <w:rPr>
          <w:rFonts w:ascii="Segoe UI" w:hAnsi="Segoe UI"/>
          <w:b/>
          <w:color w:val="3B629B"/>
          <w:sz w:val="25"/>
        </w:rPr>
        <w:t>8.2 Centro de Mando Administrativo (`http://localhost:5002`)</w:t>
      </w:r>
    </w:p>
    <w:p>
      <w:pPr>
        <w:keepNext/>
        <w:spacing w:before="200" w:after="80"/>
      </w:pPr>
      <w:r>
        <w:rPr>
          <w:rFonts w:ascii="Calibri" w:hAnsi="Calibri"/>
          <w:b/>
          <w:color w:val="1B365D"/>
          <w:sz w:val="22"/>
        </w:rPr>
        <w:t>1. Pestaña Resumen / Dashboard (`admin_resumen.html`)</w:t>
      </w:r>
    </w:p>
    <w:p>
      <w:pPr>
        <w:spacing w:after="120" w:line="276" w:lineRule="auto"/>
      </w:pPr>
      <w:r>
        <w:rPr>
          <w:color w:val="222222"/>
        </w:rPr>
        <w:t>Panel ejecutivo que consolida en tiempo real los indicadores clave (KPIs): litros totales consumidos, gasto financiero acumulado, porcentaje de facturación conciliada y desglose por obra.</w:t>
      </w:r>
    </w:p>
    <w:p>
      <w:pPr>
        <w:keepNext/>
        <w:spacing w:before="200" w:after="80"/>
      </w:pPr>
      <w:r>
        <w:rPr>
          <w:rFonts w:ascii="Calibri" w:hAnsi="Calibri"/>
          <w:b/>
          <w:color w:val="1B365D"/>
          <w:sz w:val="22"/>
        </w:rPr>
        <w:t>2. Pestaña Reporte Semanal por Ingeniero (`admin_diesel.html`)</w:t>
      </w:r>
    </w:p>
    <w:p>
      <w:pPr>
        <w:spacing w:after="120" w:line="276" w:lineRule="auto"/>
      </w:pPr>
      <w:r>
        <w:rPr>
          <w:color w:val="222222"/>
        </w:rPr>
        <w:t>Genera el reporte normado de consumo presupuestal. El sistema aplica estrictamente la distinción de días trabajados según la configuración del catálogo `catalogos.responsables`:</w:t>
      </w:r>
    </w:p>
    <w:tbl>
      <w:tblPr>
        <w:tblW w:type="auto" w:w="0"/>
        <w:jc w:val="center"/>
        <w:tblLayout w:type="fixed"/>
        <w:tblLook w:firstColumn="1" w:firstRow="1" w:lastColumn="0" w:lastRow="0" w:noHBand="0" w:noVBand="1" w:val="04A0"/>
      </w:tblPr>
      <w:tblGrid>
        <w:gridCol w:w="9360"/>
      </w:tblGrid>
      <w:tr>
        <w:tc>
          <w:tcPr>
            <w:tcW w:type="dxa" w:w="9360"/>
            <w:shd w:fill="EBF2F7"/>
            <w:tcMar>
              <w:top w:w="140" w:type="dxa"/>
              <w:bottom w:w="140" w:type="dxa"/>
              <w:left w:w="180" w:type="dxa"/>
              <w:right w:w="140" w:type="dxa"/>
            </w:tcMar>
            <w:tcBorders>
              <w:left w:val="single" w:sz="24" w:space="0" w:color="1B365D"/>
              <w:top w:val="none" w:sz="0" w:space="0" w:color="auto"/>
              <w:bottom w:val="none" w:sz="0" w:space="0" w:color="auto"/>
              <w:right w:val="none" w:sz="0" w:space="0" w:color="auto"/>
            </w:tcBorders>
          </w:tcPr>
          <w:p>
            <w:pPr>
              <w:spacing w:after="80"/>
            </w:pPr>
            <w:r>
              <w:rPr>
                <w:rFonts w:ascii="Segoe UI" w:hAnsi="Segoe UI"/>
                <w:b/>
                <w:color w:val="1B365D"/>
                <w:sz w:val="22"/>
              </w:rPr>
              <w:t>📌 Fórmula Normada de Presupuesto Semanal (Regla de Días Trabajados)</w:t>
              <w:br/>
            </w:r>
            <w:r>
              <w:rPr>
                <w:rFonts w:ascii="Calibri" w:hAnsi="Calibri"/>
                <w:color w:val="222222"/>
                <w:sz w:val="20"/>
              </w:rPr>
              <w:t>• SECCIÓN 1: INGENIEROS DE 6 DÍAS (Apolinar, Francisco Javier, Ing. Diego Carreola, Jack, Luis)</w:t>
              <w:br/>
              <w:t xml:space="preserve">  Fórmula: Autorización Semanal = Autorizado Diario × 6 Días</w:t>
              <w:br/>
              <w:br/>
              <w:t>• SECCIÓN 2: INGENIEROS DE 5 DÍAS (Dayanne, Edgar, Samuel)</w:t>
              <w:br/>
              <w:t xml:space="preserve">  Fórmula: Autorización Semanal = Autorizado Diario × 5 Días</w:t>
              <w:br/>
              <w:br/>
              <w:t>El sistema calcula el Consumo Real vs la Autorización Semanal y determina la Variación / Excedente. Permite exportar el informe oficial en Excel con fórmulas vivas y en PDF horizontal con firmas autorizadas.</w:t>
            </w:r>
          </w:p>
        </w:tc>
      </w:tr>
    </w:tbl>
    <w:p>
      <w:pPr>
        <w:spacing w:after="120"/>
      </w:pPr>
    </w:p>
    <w:p>
      <w:pPr>
        <w:keepNext/>
        <w:spacing w:before="200" w:after="80"/>
      </w:pPr>
      <w:r>
        <w:rPr>
          <w:rFonts w:ascii="Calibri" w:hAnsi="Calibri"/>
          <w:b/>
          <w:color w:val="1B365D"/>
          <w:sz w:val="22"/>
        </w:rPr>
        <w:t>3. Pestaña Facturas &amp; Conciliación SAT (`admin_subir_facturas.html`)</w:t>
      </w:r>
    </w:p>
    <w:p>
      <w:pPr>
        <w:spacing w:after="120" w:line="276" w:lineRule="auto"/>
      </w:pPr>
      <w:r>
        <w:rPr>
          <w:color w:val="222222"/>
        </w:rPr>
        <w:t>Módulo contable para la carga de archivos XML (CFDI 4.0) y PDF de facturas y Complementos de Pago del SAT (ej. Complemento Folio 58914 por $316,944.71 MXN). Actualiza automáticamente el estatus del pago a 'PAGADA', 'PARCIAL' o 'PENDIENTE'.</w:t>
      </w:r>
    </w:p>
    <w:p>
      <w:pPr>
        <w:keepNext/>
        <w:spacing w:before="200" w:after="80"/>
      </w:pPr>
      <w:r>
        <w:rPr>
          <w:rFonts w:ascii="Calibri" w:hAnsi="Calibri"/>
          <w:b/>
          <w:color w:val="1B365D"/>
          <w:sz w:val="22"/>
        </w:rPr>
        <w:t>4. Pestañas Telepeaje Tags y Catálogos Maestros</w:t>
      </w:r>
    </w:p>
    <w:p>
      <w:pPr>
        <w:pStyle w:val="ListBullet"/>
        <w:spacing w:after="80" w:line="276" w:lineRule="auto"/>
      </w:pPr>
      <w:r>
        <w:rPr>
          <w:b/>
          <w:color w:val="222222"/>
        </w:rPr>
        <w:t xml:space="preserve">Telepeaje Tags: </w:t>
      </w:r>
      <w:r>
        <w:rPr>
          <w:color w:val="222222"/>
        </w:rPr>
        <w:t>Conciliación de pases por casetas de cobro asignando el importe exacto a la obra correspondiente.</w:t>
      </w:r>
    </w:p>
    <w:p>
      <w:pPr>
        <w:pStyle w:val="ListBullet"/>
        <w:spacing w:after="80" w:line="276" w:lineRule="auto"/>
      </w:pPr>
      <w:r>
        <w:rPr>
          <w:b/>
          <w:color w:val="222222"/>
        </w:rPr>
        <w:t xml:space="preserve">Catálogos Maestros: </w:t>
      </w:r>
      <w:r>
        <w:rPr>
          <w:color w:val="222222"/>
        </w:rPr>
        <w:t>Gestión del padrón de Responsables (configurando cuotas y días 6D/5D), Obras, Equipos y consulta del log inalterable de auditoría catalogos.audit_log.</w:t>
      </w:r>
    </w:p>
    <w:p>
      <w:pPr>
        <w:keepNext/>
        <w:spacing w:before="280" w:after="120"/>
      </w:pPr>
      <w:r>
        <w:rPr>
          <w:rFonts w:ascii="Segoe UI" w:hAnsi="Segoe UI"/>
          <w:b/>
          <w:color w:val="3B629B"/>
          <w:sz w:val="25"/>
        </w:rPr>
        <w:t>8.3 Flujo Operativo Completo en 6 Etapas (Del WhatsApp al Martes de Conciliación)</w:t>
      </w:r>
    </w:p>
    <w:p>
      <w:pPr>
        <w:spacing w:after="120" w:line="276" w:lineRule="auto"/>
      </w:pPr>
      <w:r>
        <w:rPr>
          <w:color w:val="222222"/>
        </w:rPr>
        <w:t>La operación regular de combustible sigue un flujo secuencial normado:</w:t>
      </w:r>
    </w:p>
    <w:p>
      <w:pPr>
        <w:pStyle w:val="ListBullet"/>
        <w:spacing w:after="80" w:line="276" w:lineRule="auto"/>
      </w:pPr>
      <w:r>
        <w:rPr>
          <w:b/>
          <w:color w:val="222222"/>
        </w:rPr>
        <w:t xml:space="preserve">Etapa 1 (Solicitud): </w:t>
      </w:r>
      <w:r>
        <w:rPr>
          <w:color w:val="222222"/>
        </w:rPr>
        <w:t>El ingeniero o responsable de obra envía su petición en el grupo de WhatsApp o el portal de solicitudes.</w:t>
      </w:r>
    </w:p>
    <w:p>
      <w:pPr>
        <w:pStyle w:val="ListBullet"/>
        <w:spacing w:after="80" w:line="276" w:lineRule="auto"/>
      </w:pPr>
      <w:r>
        <w:rPr>
          <w:b/>
          <w:color w:val="222222"/>
        </w:rPr>
        <w:t xml:space="preserve">Etapa 2 (Validación Presupuestal): </w:t>
      </w:r>
      <w:r>
        <w:rPr>
          <w:color w:val="222222"/>
        </w:rPr>
        <w:t>La administración verifica en Fénix que el volumen no exceda la cuota del responsable según sus días trabajados (6D vs 5D).</w:t>
      </w:r>
    </w:p>
    <w:p>
      <w:pPr>
        <w:pStyle w:val="ListBullet"/>
        <w:spacing w:after="80" w:line="276" w:lineRule="auto"/>
      </w:pPr>
      <w:r>
        <w:rPr>
          <w:b/>
          <w:color w:val="222222"/>
        </w:rPr>
        <w:t xml:space="preserve">Etapa 3 (Surtimiento y Facturación): </w:t>
      </w:r>
      <w:r>
        <w:rPr>
          <w:color w:val="222222"/>
        </w:rPr>
        <w:t>La gasolinería surte al camión cisterna ('La Marimba') y emite la factura CFDI correspondiente.</w:t>
      </w:r>
    </w:p>
    <w:p>
      <w:pPr>
        <w:pStyle w:val="ListBullet"/>
        <w:spacing w:after="80" w:line="276" w:lineRule="auto"/>
      </w:pPr>
      <w:r>
        <w:rPr>
          <w:b/>
          <w:color w:val="222222"/>
        </w:rPr>
        <w:t xml:space="preserve">Etapa 4 (Reparto en Obra): </w:t>
      </w:r>
      <w:r>
        <w:rPr>
          <w:color w:val="222222"/>
        </w:rPr>
        <w:t>La Marimba traslada el diésel a la obra y abastece tanque por tanque a la maquinaria pesada.</w:t>
      </w:r>
    </w:p>
    <w:p>
      <w:pPr>
        <w:pStyle w:val="ListBullet"/>
        <w:spacing w:after="80" w:line="276" w:lineRule="auto"/>
      </w:pPr>
      <w:r>
        <w:rPr>
          <w:b/>
          <w:color w:val="222222"/>
        </w:rPr>
        <w:t xml:space="preserve">Etapa 5 (Captura en Fénix): </w:t>
      </w:r>
      <w:r>
        <w:rPr>
          <w:color w:val="222222"/>
        </w:rPr>
        <w:t>El capturista registra en el Portal 5001 los litros recibidos por cada equipo económico.</w:t>
      </w:r>
    </w:p>
    <w:p>
      <w:pPr>
        <w:pStyle w:val="ListBullet"/>
        <w:spacing w:after="80" w:line="276" w:lineRule="auto"/>
      </w:pPr>
      <w:r>
        <w:rPr>
          <w:b/>
          <w:color w:val="222222"/>
        </w:rPr>
        <w:t xml:space="preserve">Etapa 6 (Conciliación del Martes): </w:t>
      </w:r>
      <w:r>
        <w:rPr>
          <w:color w:val="222222"/>
        </w:rPr>
        <w:t>Todos los martes se ejecuta el cruce obligatorio de 3 columnas ('Tríptico de Diésel'): Columna A (Lo Autorizado) vs Columna B (Lo Facturado por Gasolinería) vs Columna C (Lo Repartido y Registrado en Máquinas).</w:t>
      </w:r>
    </w:p>
    <w:p>
      <w:pPr>
        <w:keepNext/>
        <w:spacing w:before="360" w:after="160"/>
      </w:pPr>
      <w:r>
        <w:rPr>
          <w:rFonts w:ascii="Segoe UI" w:hAnsi="Segoe UI"/>
          <w:b/>
          <w:color w:val="1B365D"/>
          <w:sz w:val="30"/>
        </w:rPr>
        <w:t>9. EVOLUCIÓN HISTÓRICA, VERSIONES Y LOGROS ALCANZADOS</w:t>
      </w:r>
    </w:p>
    <w:p>
      <w:pPr>
        <w:spacing w:after="120" w:line="276" w:lineRule="auto"/>
      </w:pPr>
      <w:r>
        <w:rPr>
          <w:color w:val="222222"/>
        </w:rPr>
        <w:t>El proyecto ha transitado por dos etapas fundamentales de desarrollo que transformaron un prototipo inicial en un sistema de clase empresarial.</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Atributo / Característica</w:t>
            </w:r>
          </w:p>
        </w:tc>
        <w:tc>
          <w:tcPr>
            <w:tcW w:type="dxa" w:w="316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Versión 1.0 (Prototipo Legacy)</w:t>
            </w:r>
          </w:p>
        </w:tc>
        <w:tc>
          <w:tcPr>
            <w:tcW w:type="dxa" w:w="403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Versión 2.0 (Producción Actual)</w:t>
            </w:r>
          </w:p>
        </w:tc>
      </w:tr>
      <w:tr>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Motor de Base de Datos</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Supabase (Cloud) / SQLite estático</w:t>
            </w:r>
          </w:p>
        </w:tc>
        <w:tc>
          <w:tcPr>
            <w:tcW w:type="dxa" w:w="403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PostgreSQL 16 On-Premise (fenix_db)</w:t>
            </w:r>
          </w:p>
        </w:tc>
      </w:tr>
      <w:tr>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Velocidad de Captura</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Búsqueda manual en listas desplegables</w:t>
            </w:r>
          </w:p>
        </w:tc>
        <w:tc>
          <w:tcPr>
            <w:tcW w:type="dxa" w:w="403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Autocompletado instantáneo en 0ms</w:t>
            </w:r>
          </w:p>
        </w:tc>
      </w:tr>
      <w:tr>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Conciliación con Proveedores</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Revisión manual renglón por renglón</w:t>
            </w:r>
          </w:p>
        </w:tc>
        <w:tc>
          <w:tcPr>
            <w:tcW w:type="dxa" w:w="403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Motor de conciliación masiva Excel O(1)</w:t>
            </w:r>
          </w:p>
        </w:tc>
      </w:tr>
      <w:tr>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Regla de Días Trabajados</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Tratamiento homogéneo sin distinción</w:t>
            </w:r>
          </w:p>
        </w:tc>
        <w:tc>
          <w:tcPr>
            <w:tcW w:type="dxa" w:w="403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División estricta en 6 Días vs 5 Días</w:t>
            </w:r>
          </w:p>
        </w:tc>
      </w:tr>
      <w:tr>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Lectura de Documentos</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Sin procesamiento de archivos</w:t>
            </w:r>
          </w:p>
        </w:tc>
        <w:tc>
          <w:tcPr>
            <w:tcW w:type="dxa" w:w="403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Servicio de lectura inteligente de PDF</w:t>
            </w:r>
          </w:p>
        </w:tc>
      </w:tr>
      <w:tr>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Facturación y SAT</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Manejo básico de facturas simples</w:t>
            </w:r>
          </w:p>
        </w:tc>
        <w:tc>
          <w:tcPr>
            <w:tcW w:type="dxa" w:w="403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Soporte de CFDI XML y Complementos de Pago</w:t>
            </w:r>
          </w:p>
        </w:tc>
      </w:tr>
      <w:tr>
        <w:tc>
          <w:tcPr>
            <w:tcW w:type="dxa" w:w="216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Módulos Especiales</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Solo Diésel y Gasolina básica</w:t>
            </w:r>
          </w:p>
        </w:tc>
        <w:tc>
          <w:tcPr>
            <w:tcW w:type="dxa" w:w="403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Integración de Jalisco, Acarreos, Mezcla y Tags</w:t>
            </w:r>
          </w:p>
        </w:tc>
      </w:tr>
      <w:tr>
        <w:tc>
          <w:tcPr>
            <w:tcW w:type="dxa" w:w="216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Normatividad y Auditoría</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Sin registro de cambios</w:t>
            </w:r>
          </w:p>
        </w:tc>
        <w:tc>
          <w:tcPr>
            <w:tcW w:type="dxa" w:w="403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Log inalterable catalogos.audit_log (ISO 9001)</w:t>
            </w:r>
          </w:p>
        </w:tc>
      </w:tr>
    </w:tbl>
    <w:p>
      <w:pPr>
        <w:spacing w:after="120"/>
      </w:pPr>
    </w:p>
    <w:p>
      <w:pPr>
        <w:keepNext/>
        <w:spacing w:before="360" w:after="160"/>
      </w:pPr>
      <w:r>
        <w:rPr>
          <w:rFonts w:ascii="Segoe UI" w:hAnsi="Segoe UI"/>
          <w:b/>
          <w:color w:val="1B365D"/>
          <w:sz w:val="30"/>
        </w:rPr>
        <w:t>10. PROBLEMAS PRESENTADOS Y SOLUCIONES DE INGENIERÍA APLICADAS</w:t>
      </w:r>
    </w:p>
    <w:p>
      <w:pPr>
        <w:spacing w:after="120" w:line="276" w:lineRule="auto"/>
      </w:pPr>
      <w:r>
        <w:rPr>
          <w:color w:val="222222"/>
        </w:rPr>
        <w:t>Durante el diseño, desarrollo y despliegue del Sistema Fénix 2.0 se resolvieron desafíos complejos de software y datos. A continuación se documenta la matriz de problemas e ingeniería aplicada:</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Problema Presentado</w:t>
            </w:r>
          </w:p>
        </w:tc>
        <w:tc>
          <w:tcPr>
            <w:tcW w:type="dxa" w:w="3168"/>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Causa Raíz / Desafío</w:t>
            </w:r>
          </w:p>
        </w:tc>
        <w:tc>
          <w:tcPr>
            <w:tcW w:type="dxa" w:w="3600"/>
            <w:shd w:fill="1B365D"/>
            <w:tcMar>
              <w:top w:w="120" w:type="dxa"/>
              <w:bottom w:w="120" w:type="dxa"/>
              <w:left w:w="120" w:type="dxa"/>
              <w:right w:w="120" w:type="dxa"/>
            </w:tcMar>
            <w:tcBorders>
              <w:bottom w:val="single" w:sz="12" w:space="0" w:color="1B365D"/>
            </w:tcBorders>
          </w:tcPr>
          <w:p>
            <w:pPr>
              <w:spacing w:after="0"/>
              <w:jc w:val="left"/>
            </w:pPr>
            <w:r>
              <w:rPr>
                <w:rFonts w:ascii="Segoe UI" w:hAnsi="Segoe UI"/>
                <w:b/>
                <w:color w:val="FFFFFF"/>
                <w:sz w:val="20"/>
              </w:rPr>
              <w:t>Solución de Ingeniería Implementada</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Duplicidad de Cargas de Gasolina</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Estados de cuenta mensuales presentaban cargas repetidas o dobles capturas de choferes.</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Creación del algoritmo de hashing O(1) en 'motor_agente_conciliacion.py' que compara folios, fechas y montos en tiempo récord, bloqueando duplicados.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Incoherencia en Presupuestos de Ingenieros</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Ingenieros con jornadas de 5 días recibían presupuesto de 6 días, generando falsos faltantes.</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Parametrización del campo 'dias_trabajados' en 'catalogos.responsables' y reescritura de los generadores de Excel/PDF en 'app_admin.py'.</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Dificultad de Lectura en Bitácoras PDF</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Formato de PDF escaneado con tablas desalineadas impedía la extracción de datos.</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Desarrollo de 'bitacora_pdf_service.py' utilizando 'pdfplumber' y expresiones regulares adaptativas para extraer celdas desalineadas.</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Discrepancia en Nombres de Obras y Placas</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Capturistas escribían nombres con variaciones (ej. 'Toluca', 'MÉXICO-TOLUCA', 'Obra Toluca').</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Implementación de funciones de normalización de cadenas ('normalizar_obra_nombre') en Python y conversión automática a mayúsculas.</w:t>
            </w:r>
          </w:p>
        </w:tc>
      </w:tr>
      <w:tr>
        <w:tc>
          <w:tcPr>
            <w:tcW w:type="dxa" w:w="2592"/>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Gestión de Complementos de Pago SAT</w:t>
            </w:r>
          </w:p>
        </w:tc>
        <w:tc>
          <w:tcPr>
            <w:tcW w:type="dxa" w:w="3168"/>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Facturas liquidadas en varios pagos no reflejaban el saldo real en la contabilidad.</w:t>
            </w:r>
          </w:p>
        </w:tc>
        <w:tc>
          <w:tcPr>
            <w:tcW w:type="dxa" w:w="3600"/>
            <w:shd w:fill="FFFFFF"/>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Incorporación de la tabla 'diesel.complementos_pago' y parser XML para vincular UUIDs del SAT y actualizar estatus a 'PAGADA' o 'PARCIAL'.</w:t>
            </w:r>
          </w:p>
        </w:tc>
      </w:tr>
      <w:tr>
        <w:tc>
          <w:tcPr>
            <w:tcW w:type="dxa" w:w="2592"/>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Lentitud en la Interfaz Web con Miles de Filas</w:t>
            </w:r>
          </w:p>
        </w:tc>
        <w:tc>
          <w:tcPr>
            <w:tcW w:type="dxa" w:w="3168"/>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Carga masiva de datos congelaba el navegador en la pestaña de gasolina.</w:t>
            </w:r>
          </w:p>
        </w:tc>
        <w:tc>
          <w:tcPr>
            <w:tcW w:type="dxa" w:w="3600"/>
            <w:shd w:fill="F8FAFC"/>
            <w:tcMar>
              <w:top w:w="80" w:type="dxa"/>
              <w:bottom w:w="80" w:type="dxa"/>
              <w:left w:w="100" w:type="dxa"/>
              <w:right w:w="100" w:type="dxa"/>
            </w:tcMar>
            <w:tcBorders>
              <w:bottom w:val="single" w:sz="4" w:space="0" w:color="CBD5E1"/>
            </w:tcBorders>
          </w:tcPr>
          <w:p>
            <w:pPr>
              <w:spacing w:after="0" w:line="276" w:lineRule="auto"/>
              <w:jc w:val="left"/>
            </w:pPr>
            <w:r>
              <w:rPr>
                <w:rFonts w:ascii="Calibri" w:hAnsi="Calibri"/>
                <w:color w:val="222222"/>
                <w:sz w:val="19"/>
              </w:rPr>
              <w:t>Migración a renderizado eficiente en cliente con Vanilla JS y búsquedas pre-indexadas en memoria.</w:t>
            </w:r>
          </w:p>
        </w:tc>
      </w:tr>
    </w:tbl>
    <w:p>
      <w:pPr>
        <w:spacing w:after="120"/>
      </w:pPr>
    </w:p>
    <w:p>
      <w:pPr>
        <w:keepNext/>
        <w:spacing w:before="360" w:after="160"/>
      </w:pPr>
      <w:r>
        <w:rPr>
          <w:rFonts w:ascii="Segoe UI" w:hAnsi="Segoe UI"/>
          <w:b/>
          <w:color w:val="1B365D"/>
          <w:sz w:val="30"/>
        </w:rPr>
        <w:t>11. ALINEACIÓN NORMATIVA ISO 9001 (CALIDAD) E ISO 14001 (AMBIENTAL)</w:t>
      </w:r>
    </w:p>
    <w:p>
      <w:pPr>
        <w:spacing w:after="120" w:line="276" w:lineRule="auto"/>
      </w:pPr>
      <w:r>
        <w:rPr>
          <w:color w:val="222222"/>
        </w:rPr>
        <w:t>El Sistema Fénix 2.0 constituye la evidencia técnica y documental ante auditores externos para sostener la certificación de Grupo Trujano en los estándares internacionales de calidad y medio ambiente.</w:t>
      </w:r>
    </w:p>
    <w:p>
      <w:pPr>
        <w:keepNext/>
        <w:spacing w:before="280" w:after="120"/>
      </w:pPr>
      <w:r>
        <w:rPr>
          <w:rFonts w:ascii="Segoe UI" w:hAnsi="Segoe UI"/>
          <w:b/>
          <w:color w:val="3B629B"/>
          <w:sz w:val="25"/>
        </w:rPr>
        <w:t>11.1 Puntos de Control para ISO 9001:2015 (Sistema de Gestión de Calidad)</w:t>
      </w:r>
    </w:p>
    <w:p>
      <w:pPr>
        <w:pStyle w:val="ListBullet"/>
        <w:spacing w:after="80" w:line="276" w:lineRule="auto"/>
      </w:pPr>
      <w:r>
        <w:rPr>
          <w:b/>
          <w:color w:val="222222"/>
        </w:rPr>
        <w:t xml:space="preserve">Sección 8.4 (Control de Procesos y Servicios Suministrados Externamente): </w:t>
      </w:r>
      <w:r>
        <w:rPr>
          <w:color w:val="222222"/>
        </w:rPr>
        <w:t>Validación matemática en el 'Tríptico de Diésel' asegurando cero diferencias entre lo facturado y lo suministrado.</w:t>
      </w:r>
    </w:p>
    <w:p>
      <w:pPr>
        <w:pStyle w:val="ListBullet"/>
        <w:spacing w:after="80" w:line="276" w:lineRule="auto"/>
      </w:pPr>
      <w:r>
        <w:rPr>
          <w:b/>
          <w:color w:val="222222"/>
        </w:rPr>
        <w:t xml:space="preserve">Sección 8.5.2 (Identificación y Trazabilidad): </w:t>
      </w:r>
      <w:r>
        <w:rPr>
          <w:color w:val="222222"/>
        </w:rPr>
        <w:t>Trazabilidad total desde el folio de la gasolinería hasta la máquina individual que consumió el insumo.</w:t>
      </w:r>
    </w:p>
    <w:p>
      <w:pPr>
        <w:pStyle w:val="ListBullet"/>
        <w:spacing w:after="80" w:line="276" w:lineRule="auto"/>
      </w:pPr>
      <w:r>
        <w:rPr>
          <w:b/>
          <w:color w:val="222222"/>
        </w:rPr>
        <w:t xml:space="preserve">Sección 7.5 (Información Documentada): </w:t>
      </w:r>
      <w:r>
        <w:rPr>
          <w:color w:val="222222"/>
        </w:rPr>
        <w:t>Registro inalterable de auditoría en la tabla 'catalogos.audit_log' que cumple con los requerimientos de información documentada inalterable.</w:t>
      </w:r>
    </w:p>
    <w:p>
      <w:pPr>
        <w:keepNext/>
        <w:spacing w:before="280" w:after="120"/>
      </w:pPr>
      <w:r>
        <w:rPr>
          <w:rFonts w:ascii="Segoe UI" w:hAnsi="Segoe UI"/>
          <w:b/>
          <w:color w:val="3B629B"/>
          <w:sz w:val="25"/>
        </w:rPr>
        <w:t>11.2 Puntos de Control para ISO 14001:2015 (Sistema de Gestión Ambiental)</w:t>
      </w:r>
    </w:p>
    <w:p>
      <w:pPr>
        <w:pStyle w:val="ListBullet"/>
        <w:spacing w:after="80" w:line="276" w:lineRule="auto"/>
      </w:pPr>
      <w:r>
        <w:rPr>
          <w:b/>
          <w:color w:val="222222"/>
        </w:rPr>
        <w:t xml:space="preserve">Sección 8.1 (Planificación y Control Operativo): </w:t>
      </w:r>
      <w:r>
        <w:rPr>
          <w:color w:val="222222"/>
        </w:rPr>
        <w:t>Monitoreo continuo de trasvases entre tanques fijos, pipas 'Marimba' y maquinaria para detectar mermas o fugas en tuberías/mangueras.</w:t>
      </w:r>
    </w:p>
    <w:p>
      <w:pPr>
        <w:pStyle w:val="ListBullet"/>
        <w:spacing w:after="80" w:line="276" w:lineRule="auto"/>
      </w:pPr>
      <w:r>
        <w:rPr>
          <w:b/>
          <w:color w:val="222222"/>
        </w:rPr>
        <w:t xml:space="preserve">Sección 6.1.2 (Aspectos Ambientales): </w:t>
      </w:r>
      <w:r>
        <w:rPr>
          <w:color w:val="222222"/>
        </w:rPr>
        <w:t>Control estricto de cuotas diarias de combustible por obra, promoviendo el consumo eficiente y la reducción de huella de carbono.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