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Estimación de Costos de Infraestructura IA</w:t>
      </w:r>
    </w:p>
    <w:p>
      <w:pPr>
        <w:jc w:val="center"/>
      </w:pPr>
      <w:r>
        <w:rPr>
          <w:b/>
          <w:sz w:val="28"/>
        </w:rPr>
        <w:t>Grupo Trujano</w:t>
        <w:br/>
        <w:t>Modelo Pay-as-you-go</w:t>
      </w:r>
    </w:p>
    <w:p/>
    <w:p>
      <w:pPr>
        <w:jc w:val="both"/>
      </w:pPr>
      <w:r>
        <w:t>El siguiente documento detalla la proyección de costos operativos para la infraestructura de inteligencia artificial. La estrategia se basa en aprovechar la membresía Google Workspace Business Standard existente y habilitar únicamente un esquema de cobro por consumo (Pay-as-you-go) mediante Google Cloud Platform (GCP) para los agentes orquestados con n8n.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Fase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Concepto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Descripción / Justificación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Costo Estimado Mensual</w:t>
            </w:r>
          </w:p>
        </w:tc>
      </w:tr>
      <w:tr>
        <w:tc>
          <w:tcPr>
            <w:tcW w:type="dxa" w:w="1984"/>
          </w:tcPr>
          <w:p>
            <w:r>
              <w:t>Infraestructura Base</w:t>
            </w:r>
          </w:p>
        </w:tc>
        <w:tc>
          <w:tcPr>
            <w:tcW w:type="dxa" w:w="2551"/>
          </w:tcPr>
          <w:p>
            <w:r>
              <w:t>Google Workspace Business Standard</w:t>
            </w:r>
          </w:p>
        </w:tc>
        <w:tc>
          <w:tcPr>
            <w:tcW w:type="dxa" w:w="3402"/>
          </w:tcPr>
          <w:p>
            <w:r>
              <w:t>Membresía actual de la empresa. Proporciona identidad segura y almacenamiento para las bases de datos. No requiere aumento de nivel.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t>$0.00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Infraestructura Base</w:t>
            </w:r>
          </w:p>
        </w:tc>
        <w:tc>
          <w:tcPr>
            <w:tcW w:type="dxa" w:w="2551"/>
          </w:tcPr>
          <w:p>
            <w:r>
              <w:rPr>
                <w:b/>
              </w:rPr>
              <w:t>Subtotal Infraestructura Base</w:t>
            </w:r>
          </w:p>
        </w:tc>
        <w:tc>
          <w:tcPr>
            <w:tcW w:type="dxa" w:w="3402"/>
          </w:tcPr>
          <w:p>
            <w:r>
              <w:rPr>
                <w:b/>
              </w:rPr>
              <w:t>Costo ya absorbido por la empresa.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/>
              </w:rPr>
              <w:t>$0.00</w:t>
            </w:r>
          </w:p>
        </w:tc>
      </w:tr>
      <w:tr>
        <w:tc>
          <w:tcPr>
            <w:tcW w:type="dxa" w:w="1984"/>
          </w:tcPr>
          <w:p>
            <w:r>
              <w:t>Mes 1: Desarrollo y Pruebas</w:t>
            </w:r>
          </w:p>
        </w:tc>
        <w:tc>
          <w:tcPr>
            <w:tcW w:type="dxa" w:w="2551"/>
          </w:tcPr>
          <w:p>
            <w:r>
              <w:t>GCP Pay-as-you-go: Consumo inicial</w:t>
            </w:r>
          </w:p>
        </w:tc>
        <w:tc>
          <w:tcPr>
            <w:tcW w:type="dxa" w:w="3402"/>
          </w:tcPr>
          <w:p>
            <w:r>
              <w:t>Habilitación de facturación por consumo en Google Cloud para pruebas iniciales de agentes. Uso estimado ajustado para diseño y pruebas de estrés.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t>$10.00</w:t>
            </w:r>
          </w:p>
        </w:tc>
      </w:tr>
      <w:tr>
        <w:tc>
          <w:tcPr>
            <w:tcW w:type="dxa" w:w="1984"/>
          </w:tcPr>
          <w:p>
            <w:r>
              <w:t>Mes 1: Desarrollo y Pruebas</w:t>
            </w:r>
          </w:p>
        </w:tc>
        <w:tc>
          <w:tcPr>
            <w:tcW w:type="dxa" w:w="2551"/>
          </w:tcPr>
          <w:p>
            <w:r>
              <w:t>Orquestación local (n8n)</w:t>
            </w:r>
          </w:p>
        </w:tc>
        <w:tc>
          <w:tcPr>
            <w:tcW w:type="dxa" w:w="3402"/>
          </w:tcPr>
          <w:p>
            <w:r>
              <w:t>El desarrollo del modelo conceptual orientado a objetos se apoya en el servidor local.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t>$0.00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Mes 1: Desarrollo y Pruebas</w:t>
            </w:r>
          </w:p>
        </w:tc>
        <w:tc>
          <w:tcPr>
            <w:tcW w:type="dxa" w:w="2551"/>
          </w:tcPr>
          <w:p>
            <w:r>
              <w:rPr>
                <w:b/>
              </w:rPr>
              <w:t>Subtotal Mes 1 (Desarrollo)</w:t>
            </w:r>
          </w:p>
        </w:tc>
        <w:tc>
          <w:tcPr>
            <w:tcW w:type="dxa" w:w="3402"/>
          </w:tcPr>
          <w:p>
            <w:r>
              <w:rPr>
                <w:b/>
              </w:rPr>
              <w:t>Gasto esperado durante la configuración inicial de la arquitectura.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/>
              </w:rPr>
              <w:t>$10.00</w:t>
            </w:r>
          </w:p>
        </w:tc>
      </w:tr>
      <w:tr>
        <w:tc>
          <w:tcPr>
            <w:tcW w:type="dxa" w:w="1984"/>
          </w:tcPr>
          <w:p>
            <w:r>
              <w:t>Mes 2+: Producción</w:t>
            </w:r>
          </w:p>
        </w:tc>
        <w:tc>
          <w:tcPr>
            <w:tcW w:type="dxa" w:w="2551"/>
          </w:tcPr>
          <w:p>
            <w:r>
              <w:t>Orquestación local (n8n)</w:t>
            </w:r>
          </w:p>
        </w:tc>
        <w:tc>
          <w:tcPr>
            <w:tcW w:type="dxa" w:w="3402"/>
          </w:tcPr>
          <w:p>
            <w:r>
              <w:t>Costo de infraestructura propio, sin licenciamiento mensual.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t>$0.00</w:t>
            </w:r>
          </w:p>
        </w:tc>
      </w:tr>
      <w:tr>
        <w:tc>
          <w:tcPr>
            <w:tcW w:type="dxa" w:w="1984"/>
          </w:tcPr>
          <w:p>
            <w:r>
              <w:t>Mes 2+: Producción</w:t>
            </w:r>
          </w:p>
        </w:tc>
        <w:tc>
          <w:tcPr>
            <w:tcW w:type="dxa" w:w="2551"/>
          </w:tcPr>
          <w:p>
            <w:r>
              <w:t>GCP Pay-as-you-go - Entrada</w:t>
            </w:r>
          </w:p>
        </w:tc>
        <w:tc>
          <w:tcPr>
            <w:tcW w:type="dxa" w:w="3402"/>
          </w:tcPr>
          <w:p>
            <w:r>
              <w:t>Lectura intensiva de bases de datos, logística y trazabilidad de diésel. (Costo aprox: $2.50 USD por cada 1 millón de tokens).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t>$15.00</w:t>
            </w:r>
          </w:p>
        </w:tc>
      </w:tr>
      <w:tr>
        <w:tc>
          <w:tcPr>
            <w:tcW w:type="dxa" w:w="1984"/>
          </w:tcPr>
          <w:p>
            <w:r>
              <w:t>Mes 2+: Producción</w:t>
            </w:r>
          </w:p>
        </w:tc>
        <w:tc>
          <w:tcPr>
            <w:tcW w:type="dxa" w:w="2551"/>
          </w:tcPr>
          <w:p>
            <w:r>
              <w:t>GCP Pay-as-you-go - Salida</w:t>
            </w:r>
          </w:p>
        </w:tc>
        <w:tc>
          <w:tcPr>
            <w:tcW w:type="dxa" w:w="3402"/>
          </w:tcPr>
          <w:p>
            <w:r>
              <w:t>Generación de reportes, alertas y toma de decisiones de agentes. (Costo aprox: $7.50 USD por cada 1 millón de tokens).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t>$20.00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Mes 2+: Producción</w:t>
            </w:r>
          </w:p>
        </w:tc>
        <w:tc>
          <w:tcPr>
            <w:tcW w:type="dxa" w:w="2551"/>
          </w:tcPr>
          <w:p>
            <w:r>
              <w:rPr>
                <w:b/>
              </w:rPr>
              <w:t>Subtotal Mes 2 (Producción)</w:t>
            </w:r>
          </w:p>
        </w:tc>
        <w:tc>
          <w:tcPr>
            <w:tcW w:type="dxa" w:w="3402"/>
          </w:tcPr>
          <w:p>
            <w:r>
              <w:rPr>
                <w:b/>
              </w:rPr>
              <w:t>Presupuesto estimado operativo. Se recomienda configurar una alerta de límite de gasto en GCP.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/>
              </w:rPr>
              <w:t>$35.00</w:t>
            </w:r>
          </w:p>
        </w:tc>
      </w:tr>
    </w:tbl>
    <w:p/>
    <w:p>
      <w:r>
        <w:rPr>
          <w:i/>
          <w:sz w:val="18"/>
        </w:rPr>
        <w:t>Nota: Los costos del Mes 2 en adelante son estimaciones basadas en un volumen proyectado de 5 millones de tokens de entrada y 2 millones de tokens de salida. El monto real dependerá del uso exacto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