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Segoe UI" w:hAnsi="Segoe UI"/>
          <w:b/>
          <w:color w:val="1B365D"/>
          <w:sz w:val="44"/>
        </w:rPr>
        <w:t>DOCUMENTACIÓN TÉCNICA, AUTOMATIZACIÓN n8n Y GUÍA DE HOMOLOGACIÓN: SISTEMA FÉNIX 2.0</w:t>
      </w:r>
    </w:p>
    <w:p>
      <w:pPr>
        <w:spacing w:before="0" w:after="480"/>
        <w:jc w:val="center"/>
      </w:pPr>
      <w:r>
        <w:rPr>
          <w:rFonts w:ascii="Segoe UI" w:hAnsi="Segoe UI"/>
          <w:i/>
          <w:color w:val="3B629B"/>
          <w:sz w:val="24"/>
        </w:rPr>
        <w:t>Manual de Arquitectura de Software, Motor de Automatizaciones n8n con IA (Gemini 1.5 Flash), Sistema de Conciliación de 2 Vías, Matriz RBAC, Plan de Trabajo con Metas y Guía Estratégica para Junta Técnica</w:t>
      </w:r>
    </w:p>
    <w:tbl>
      <w:tblPr>
        <w:tblW w:type="auto" w:w="0"/>
        <w:jc w:val="center"/>
        <w:tblLayout w:type="fixed"/>
        <w:tblLook w:firstColumn="1" w:firstRow="1" w:lastColumn="0" w:lastRow="0" w:noHBand="0" w:noVBand="1" w:val="04A0"/>
      </w:tblPr>
      <w:tblGrid>
        <w:gridCol w:w="4680"/>
        <w:gridCol w:w="4680"/>
      </w:tblGrid>
      <w:tr>
        <w:tc>
          <w:tcPr>
            <w:tcW w:type="dxa" w:w="3168"/>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Parámetro de Control</w:t>
            </w:r>
          </w:p>
        </w:tc>
        <w:tc>
          <w:tcPr>
            <w:tcW w:type="dxa" w:w="6192"/>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Detalle Institucional</w:t>
            </w:r>
          </w:p>
        </w:tc>
      </w:tr>
      <w:tr>
        <w:tc>
          <w:tcPr>
            <w:tcW w:type="dxa" w:w="316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Código del Documento</w:t>
            </w:r>
          </w:p>
        </w:tc>
        <w:tc>
          <w:tcPr>
            <w:tcW w:type="dxa" w:w="61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PR-IT-001-FENIX (Documento Maestro)</w:t>
            </w:r>
          </w:p>
        </w:tc>
      </w:tr>
      <w:tr>
        <w:tc>
          <w:tcPr>
            <w:tcW w:type="dxa" w:w="316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Nombre del Sistema</w:t>
            </w:r>
          </w:p>
        </w:tc>
        <w:tc>
          <w:tcPr>
            <w:tcW w:type="dxa" w:w="61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Sistema Fénix 2.0 — Control Operativo, Automatización y Finanzas</w:t>
            </w:r>
          </w:p>
        </w:tc>
      </w:tr>
      <w:tr>
        <w:tc>
          <w:tcPr>
            <w:tcW w:type="dxa" w:w="316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Versión del Sistema</w:t>
            </w:r>
          </w:p>
        </w:tc>
        <w:tc>
          <w:tcPr>
            <w:tcW w:type="dxa" w:w="61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2.0 (Snapshot Producción - Agosto 2026)</w:t>
            </w:r>
          </w:p>
        </w:tc>
      </w:tr>
      <w:tr>
        <w:tc>
          <w:tcPr>
            <w:tcW w:type="dxa" w:w="316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Empresa / Organización</w:t>
            </w:r>
          </w:p>
        </w:tc>
        <w:tc>
          <w:tcPr>
            <w:tcW w:type="dxa" w:w="61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Grupo Trujano</w:t>
            </w:r>
          </w:p>
        </w:tc>
      </w:tr>
      <w:tr>
        <w:tc>
          <w:tcPr>
            <w:tcW w:type="dxa" w:w="316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Motor de Automatización</w:t>
            </w:r>
          </w:p>
        </w:tc>
        <w:tc>
          <w:tcPr>
            <w:tcW w:type="dxa" w:w="61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n8n (Workflows Email IMAP, Drive, Webhooks, Gemini 1.5 Flash AI)</w:t>
            </w:r>
          </w:p>
        </w:tc>
      </w:tr>
      <w:tr>
        <w:tc>
          <w:tcPr>
            <w:tcW w:type="dxa" w:w="316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Modelo de Conciliación</w:t>
            </w:r>
          </w:p>
        </w:tc>
        <w:tc>
          <w:tcPr>
            <w:tcW w:type="dxa" w:w="61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Conciliación Multinivel de 2 Vías (Distribuidor / Marimba / Obra)</w:t>
            </w:r>
          </w:p>
        </w:tc>
      </w:tr>
      <w:tr>
        <w:tc>
          <w:tcPr>
            <w:tcW w:type="dxa" w:w="316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Seguridad y Acceso</w:t>
            </w:r>
          </w:p>
        </w:tc>
        <w:tc>
          <w:tcPr>
            <w:tcW w:type="dxa" w:w="61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Gobierno Corporativo con Cierre y Bloqueo Definitivo de Datos</w:t>
            </w:r>
          </w:p>
        </w:tc>
      </w:tr>
      <w:tr>
        <w:tc>
          <w:tcPr>
            <w:tcW w:type="dxa" w:w="316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Guía de Homologación</w:t>
            </w:r>
          </w:p>
        </w:tc>
        <w:tc>
          <w:tcPr>
            <w:tcW w:type="dxa" w:w="61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Respuestas Preparadas para la Junta e Interrogatorio Estratégico</w:t>
            </w:r>
          </w:p>
        </w:tc>
      </w:tr>
      <w:tr>
        <w:tc>
          <w:tcPr>
            <w:tcW w:type="dxa" w:w="316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Alcance Normativo</w:t>
            </w:r>
          </w:p>
        </w:tc>
        <w:tc>
          <w:tcPr>
            <w:tcW w:type="dxa" w:w="61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Certificación ISO 9001:2015 (Calidad) e ISO 14001:2015 (Ambiental)</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EBF2F7"/>
            <w:tcMar>
              <w:top w:w="140" w:type="dxa"/>
              <w:bottom w:w="140" w:type="dxa"/>
              <w:left w:w="180" w:type="dxa"/>
              <w:right w:w="140" w:type="dxa"/>
            </w:tcMar>
            <w:tcBorders>
              <w:left w:val="single" w:sz="24" w:space="0" w:color="1B365D"/>
              <w:top w:val="none" w:sz="0" w:space="0" w:color="auto"/>
              <w:bottom w:val="none" w:sz="0" w:space="0" w:color="auto"/>
              <w:right w:val="none" w:sz="0" w:space="0" w:color="auto"/>
            </w:tcBorders>
          </w:tcPr>
          <w:p>
            <w:pPr>
              <w:spacing w:after="80"/>
            </w:pPr>
            <w:r>
              <w:rPr>
                <w:rFonts w:ascii="Segoe UI" w:hAnsi="Segoe UI"/>
                <w:b/>
                <w:color w:val="1B365D"/>
                <w:sz w:val="22"/>
              </w:rPr>
              <w:t>📌 Directiva de Documentación Profesional Exhaustiva</w:t>
              <w:br/>
            </w:r>
            <w:r>
              <w:rPr>
                <w:rFonts w:ascii="Calibri" w:hAnsi="Calibri"/>
                <w:color w:val="222222"/>
                <w:sz w:val="20"/>
              </w:rPr>
              <w:t>El presente documento técnico integra la arquitectura completa del Sistema Fénix 2.0: desde la justificación estratégica, la matriz de permisos RBAC y el modelo de conciliación de 2 vías, hasta el desglose detallado del Motor de Automatizaciones en n8n, el Plan de Trabajo con Metas y la **Guía Preparatoria para la Junta de Homologación con el Equipo de Ingeniería**.</w:t>
            </w:r>
          </w:p>
        </w:tc>
      </w:tr>
    </w:tbl>
    <w:p>
      <w:pPr>
        <w:spacing w:after="120"/>
      </w:pPr>
    </w:p>
    <w:p>
      <w:pPr>
        <w:keepNext/>
        <w:spacing w:before="360" w:after="160"/>
      </w:pPr>
      <w:r>
        <w:rPr>
          <w:rFonts w:ascii="Segoe UI" w:hAnsi="Segoe UI"/>
          <w:b/>
          <w:color w:val="1B365D"/>
          <w:sz w:val="30"/>
        </w:rPr>
        <w:t>1. INTRODUCCIÓN, CONTEXTO Y JUSTIFICACIÓN (“¿POR QUÉ Y PARA QUÉ?”)</w:t>
      </w:r>
    </w:p>
    <w:p>
      <w:pPr>
        <w:keepNext/>
        <w:spacing w:before="280" w:after="120"/>
      </w:pPr>
      <w:r>
        <w:rPr>
          <w:rFonts w:ascii="Segoe UI" w:hAnsi="Segoe UI"/>
          <w:b/>
          <w:color w:val="3B629B"/>
          <w:sz w:val="25"/>
        </w:rPr>
        <w:t>1.1 Antecedentes y Problemática Operativa Inicial (“¿Por qué?”)</w:t>
      </w:r>
    </w:p>
    <w:p>
      <w:pPr>
        <w:spacing w:after="120" w:line="276" w:lineRule="auto"/>
      </w:pPr>
      <w:r>
        <w:rPr>
          <w:color w:val="222222"/>
        </w:rPr>
        <w:t>Antes del desarrollo del Sistema Fénix, la gestión del suministro de combustible (diésel y gasolina), el transporte en camiones cisterna ('Marimbas'), el movimiento de acarreos y el control de insumos en Grupo Trujano se realizaba mediante procesos manuales basados en vales de papel, reportes informales por mensajes de texto y carpetas dispersas de Microsoft Excel. Esta metodología provocaba serias deficiencias operativas y financieras:</w:t>
      </w:r>
    </w:p>
    <w:p>
      <w:pPr>
        <w:pStyle w:val="ListBullet"/>
        <w:spacing w:after="80" w:line="276" w:lineRule="auto"/>
      </w:pPr>
      <w:r>
        <w:rPr>
          <w:b/>
          <w:color w:val="222222"/>
        </w:rPr>
        <w:t xml:space="preserve">Pérdida de Información: </w:t>
      </w:r>
      <w:r>
        <w:rPr>
          <w:color w:val="222222"/>
        </w:rPr>
        <w:t>Dispersión y pérdida de vales de surtimiento físicos en campo y estaciones de servicio.</w:t>
      </w:r>
    </w:p>
    <w:p>
      <w:pPr>
        <w:pStyle w:val="ListBullet"/>
        <w:spacing w:after="80" w:line="276" w:lineRule="auto"/>
      </w:pPr>
      <w:r>
        <w:rPr>
          <w:b/>
          <w:color w:val="222222"/>
        </w:rPr>
        <w:t xml:space="preserve">Falta de Conciliación: </w:t>
      </w:r>
      <w:r>
        <w:rPr>
          <w:color w:val="222222"/>
        </w:rPr>
        <w:t>Cargas facturadas por estaciones de servicio que no coincidían con lo realmente recibido en tanques u obras.</w:t>
      </w:r>
    </w:p>
    <w:p>
      <w:pPr>
        <w:pStyle w:val="ListBullet"/>
        <w:spacing w:after="80" w:line="276" w:lineRule="auto"/>
      </w:pPr>
      <w:r>
        <w:rPr>
          <w:b/>
          <w:color w:val="222222"/>
        </w:rPr>
        <w:t xml:space="preserve">Opacidad en Costos: </w:t>
      </w:r>
      <w:r>
        <w:rPr>
          <w:color w:val="222222"/>
        </w:rPr>
        <w:t>Imposibilidad de atribuir con exactitud el consumo de litros por máquina, frente de trabajo o ingeniero responsable.</w:t>
      </w:r>
    </w:p>
    <w:p>
      <w:pPr>
        <w:pStyle w:val="ListBullet"/>
        <w:spacing w:after="80" w:line="276" w:lineRule="auto"/>
      </w:pPr>
      <w:r>
        <w:rPr>
          <w:b/>
          <w:color w:val="222222"/>
        </w:rPr>
        <w:t xml:space="preserve">Riesgo de Duplicidad: </w:t>
      </w:r>
      <w:r>
        <w:rPr>
          <w:color w:val="222222"/>
        </w:rPr>
        <w:t>Incapacidad de detectar si un mismo ticket o factura CFDI era registrado dos veces en la contabilidad.</w:t>
      </w:r>
    </w:p>
    <w:p>
      <w:pPr>
        <w:pStyle w:val="ListBullet"/>
        <w:spacing w:after="80" w:line="276" w:lineRule="auto"/>
      </w:pPr>
      <w:r>
        <w:rPr>
          <w:b/>
          <w:color w:val="222222"/>
        </w:rPr>
        <w:t xml:space="preserve">Mermas No Explicadas: </w:t>
      </w:r>
      <w:r>
        <w:rPr>
          <w:color w:val="222222"/>
        </w:rPr>
        <w:t>Dificultad para identificar fugas, mermas indebidas en trasvases o desviaciones de volumen en pipas.</w:t>
      </w:r>
    </w:p>
    <w:p>
      <w:pPr>
        <w:pStyle w:val="ListBullet"/>
        <w:spacing w:after="80" w:line="276" w:lineRule="auto"/>
      </w:pPr>
      <w:r>
        <w:rPr>
          <w:b/>
          <w:color w:val="222222"/>
        </w:rPr>
        <w:t xml:space="preserve">Falta de Rendimiento: </w:t>
      </w:r>
      <w:r>
        <w:rPr>
          <w:color w:val="222222"/>
        </w:rPr>
        <w:t>Desconexión entre el consumo de combustible y la productividad de la maquinaria pesada en obra.</w:t>
      </w:r>
    </w:p>
    <w:p>
      <w:pPr>
        <w:keepNext/>
        <w:spacing w:before="280" w:after="120"/>
      </w:pPr>
      <w:r>
        <w:rPr>
          <w:rFonts w:ascii="Segoe UI" w:hAnsi="Segoe UI"/>
          <w:b/>
          <w:color w:val="3B629B"/>
          <w:sz w:val="25"/>
        </w:rPr>
        <w:t>1.2 Misión y Propósito Fundamental (“¿Para qué?”)</w:t>
      </w:r>
    </w:p>
    <w:p>
      <w:pPr>
        <w:spacing w:after="120" w:line="276" w:lineRule="auto"/>
      </w:pPr>
      <w:r>
        <w:rPr>
          <w:color w:val="222222"/>
        </w:rPr>
        <w:t>El Sistema Fénix fue concebido como una plataforma digital integral de control operativo, contable y ambiental diseñada para centralizar y auditar el ciclo de vida completo del combustible dentro de Grupo Trujano. Sus objetivos fundamentales son:</w:t>
      </w:r>
    </w:p>
    <w:p>
      <w:pPr>
        <w:pStyle w:val="ListBullet"/>
        <w:spacing w:after="80" w:line="276" w:lineRule="auto"/>
      </w:pPr>
      <w:r>
        <w:rPr>
          <w:b/>
          <w:color w:val="222222"/>
        </w:rPr>
        <w:t xml:space="preserve">1. Auditoría Financiera Total: </w:t>
      </w:r>
      <w:r>
        <w:rPr>
          <w:color w:val="222222"/>
        </w:rPr>
        <w:t>Garantizar la coincidencia matemática exacta al centavo entre la solicitud, la factura del proveedor y el consumo entregado.</w:t>
      </w:r>
    </w:p>
    <w:p>
      <w:pPr>
        <w:pStyle w:val="ListBullet"/>
        <w:spacing w:after="80" w:line="276" w:lineRule="auto"/>
      </w:pPr>
      <w:r>
        <w:rPr>
          <w:b/>
          <w:color w:val="222222"/>
        </w:rPr>
        <w:t xml:space="preserve">2. Trazabilidad Inalterable: </w:t>
      </w:r>
      <w:r>
        <w:rPr>
          <w:color w:val="222222"/>
        </w:rPr>
        <w:t>Establecer un registro inalterable con folios únicos, estampa de tiempo, usuario y auditoría de cambios para cada litro.</w:t>
      </w:r>
    </w:p>
    <w:p>
      <w:pPr>
        <w:pStyle w:val="ListBullet"/>
        <w:spacing w:after="80" w:line="276" w:lineRule="auto"/>
      </w:pPr>
      <w:r>
        <w:rPr>
          <w:b/>
          <w:color w:val="222222"/>
        </w:rPr>
        <w:t xml:space="preserve">3. Control Presupuestal Automatizado: </w:t>
      </w:r>
      <w:r>
        <w:rPr>
          <w:color w:val="222222"/>
        </w:rPr>
        <w:t>Implementar techos presupuestales diarios multiplicados por días trabajados reales para evitar sobrecostos.</w:t>
      </w:r>
    </w:p>
    <w:p>
      <w:pPr>
        <w:pStyle w:val="ListBullet"/>
        <w:spacing w:after="80" w:line="276" w:lineRule="auto"/>
      </w:pPr>
      <w:r>
        <w:rPr>
          <w:b/>
          <w:color w:val="222222"/>
        </w:rPr>
        <w:t xml:space="preserve">4. Modelo de Conciliación en Pareja: </w:t>
      </w:r>
      <w:r>
        <w:rPr>
          <w:color w:val="222222"/>
        </w:rPr>
        <w:t>Efectuar el cruce de datos entre el emisor (gasolinería/tanque) y el receptor (pipa/obra) para validar transferencias.</w:t>
      </w:r>
    </w:p>
    <w:p>
      <w:pPr>
        <w:pStyle w:val="ListBullet"/>
        <w:spacing w:after="80" w:line="276" w:lineRule="auto"/>
      </w:pPr>
      <w:r>
        <w:rPr>
          <w:b/>
          <w:color w:val="222222"/>
        </w:rPr>
        <w:t xml:space="preserve">5. Eficiencia en Captura: </w:t>
      </w:r>
      <w:r>
        <w:rPr>
          <w:color w:val="222222"/>
        </w:rPr>
        <w:t>Reducir a 0ms la búsqueda de unidades y autocompletar responsables para agilizar la operación en campo.</w:t>
      </w:r>
    </w:p>
    <w:p>
      <w:pPr>
        <w:keepNext/>
        <w:spacing w:before="360" w:after="160"/>
      </w:pPr>
      <w:r>
        <w:rPr>
          <w:rFonts w:ascii="Segoe UI" w:hAnsi="Segoe UI"/>
          <w:b/>
          <w:color w:val="1B365D"/>
          <w:sz w:val="30"/>
        </w:rPr>
        <w:t>2. PLAN DE TRABAJO, HITOS Y METAS DEL PROYECTO FÉNIX</w:t>
      </w:r>
    </w:p>
    <w:p>
      <w:pPr>
        <w:spacing w:after="120" w:line="276" w:lineRule="auto"/>
      </w:pPr>
      <w:r>
        <w:rPr>
          <w:color w:val="222222"/>
        </w:rPr>
        <w:t>El desarrollo e implementación del Sistema Fénix se estructura en un Plan de Trabajo de 7 Fases. A continuación se presenta el estado de avance, los entregables producidos y las metas proyectadas: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Fase / Etapa</w:t>
            </w:r>
          </w:p>
        </w:tc>
        <w:tc>
          <w:tcPr>
            <w:tcW w:type="dxa" w:w="2880"/>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Objetivo / Meta</w:t>
            </w:r>
          </w:p>
        </w:tc>
        <w:tc>
          <w:tcPr>
            <w:tcW w:type="dxa" w:w="3024"/>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Entregables Técnicos Producidos</w:t>
            </w:r>
          </w:p>
        </w:tc>
        <w:tc>
          <w:tcPr>
            <w:tcW w:type="dxa" w:w="1728"/>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Estatus</w:t>
            </w:r>
          </w:p>
        </w:tc>
      </w:tr>
      <w:tr>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Fase 1</w:t>
            </w:r>
          </w:p>
        </w:tc>
        <w:tc>
          <w:tcPr>
            <w:tcW w:type="dxa" w:w="288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Diagnóstico, Modelado de BD PostgreSQL y Alineación ISO</w:t>
            </w:r>
          </w:p>
        </w:tc>
        <w:tc>
          <w:tcPr>
            <w:tcW w:type="dxa" w:w="3024"/>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 Esquema relacional PostgreSQL `fenix_db` (16 tablas).</w:t>
              <w:br/>
              <w:t>• Documentación de arquitectura ISO 9001 / 14001.</w:t>
              <w:br/>
              <w:t>• Definición de modelo de conciliación de 2 vías.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 COMPLETADO (100%)</w:t>
            </w:r>
          </w:p>
        </w:tc>
      </w:tr>
      <w:tr>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Fase 2</w:t>
            </w:r>
          </w:p>
        </w:tc>
        <w:tc>
          <w:tcPr>
            <w:tcW w:type="dxa" w:w="288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Portal de Captura Operativa (Puerto 5001)</w:t>
            </w:r>
          </w:p>
        </w:tc>
        <w:tc>
          <w:tcPr>
            <w:tcW w:type="dxa" w:w="3024"/>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 `app_captura.py` con autocompletado en 0ms.</w:t>
              <w:br/>
              <w:t>• Servicio `bitacora_pdf_service.py` para lectura inteligente.</w:t>
              <w:br/>
              <w:t>• Captura masiva Excel Levet/JDJ con algoritmo $O(1)$.</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 COMPLETADO (100%)</w:t>
            </w:r>
          </w:p>
        </w:tc>
      </w:tr>
      <w:tr>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Fase 3</w:t>
            </w:r>
          </w:p>
        </w:tc>
        <w:tc>
          <w:tcPr>
            <w:tcW w:type="dxa" w:w="288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Centro de Mando Administrativo (Puerto 5002)</w:t>
            </w:r>
          </w:p>
        </w:tc>
        <w:tc>
          <w:tcPr>
            <w:tcW w:type="dxa" w:w="3024"/>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 `app_admin.py` con regla normada 6D/5D.</w:t>
              <w:br/>
              <w:t>• Generadores ejecutivos de Excel y PDF con firmas.</w:t>
              <w:br/>
              <w:t>• Módulo CFDI XML y Complementos de Pago SAT (Folio 58914).</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 COMPLETADO (100%)</w:t>
            </w:r>
          </w:p>
        </w:tc>
      </w:tr>
      <w:tr>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Fase 4</w:t>
            </w:r>
          </w:p>
        </w:tc>
        <w:tc>
          <w:tcPr>
            <w:tcW w:type="dxa" w:w="288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Motor de Automatización en n8n e IA Gemini 1.5 Flash</w:t>
            </w:r>
          </w:p>
        </w:tc>
        <w:tc>
          <w:tcPr>
            <w:tcW w:type="dxa" w:w="3024"/>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 Ingestión automática de correos IMAP de proveedores.</w:t>
              <w:br/>
              <w:t>• Guardado en Google Drive y BD de facturas.</w:t>
              <w:br/>
              <w:t>• Webhook de conciliación en vivo y agente IA para WhatsApp.</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 COMPLETADO (100%)</w:t>
            </w:r>
          </w:p>
        </w:tc>
      </w:tr>
      <w:tr>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Fase 5</w:t>
            </w:r>
          </w:p>
        </w:tc>
        <w:tc>
          <w:tcPr>
            <w:tcW w:type="dxa" w:w="288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Módulos Especializados: Jalisco, Acarreos, Mezcla y Tags</w:t>
            </w:r>
          </w:p>
        </w:tc>
        <w:tc>
          <w:tcPr>
            <w:tcW w:type="dxa" w:w="3024"/>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 Módulo Jalisco con vales y fotos.</w:t>
              <w:br/>
              <w:t>• Conciliación de acarreos y mezcla con fotos obligatorias vs Plantas.</w:t>
              <w:br/>
              <w:t>• Imputación de casetas de telepeaje Tags a obras.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 COMPLETADO (100%)</w:t>
            </w:r>
          </w:p>
        </w:tc>
      </w:tr>
      <w:tr>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Fase 6</w:t>
            </w:r>
          </w:p>
        </w:tc>
        <w:tc>
          <w:tcPr>
            <w:tcW w:type="dxa" w:w="288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Gobierno Corporativo y Bloqueo de Información</w:t>
            </w:r>
          </w:p>
        </w:tc>
        <w:tc>
          <w:tcPr>
            <w:tcW w:type="dxa" w:w="3024"/>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 Implementación de Triggers de congelamiento de periodos.</w:t>
              <w:br/>
              <w:t>• Matriz de permisos RBAC por usuario.</w:t>
              <w:br/>
              <w:t>• Log inalterable `catalogos.audit_log` y protocolo de desbloqueo.</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 EN PRODUCCIÓN (100%)</w:t>
            </w:r>
          </w:p>
        </w:tc>
      </w:tr>
      <w:tr>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Fase 7 (Futura)</w:t>
            </w:r>
          </w:p>
        </w:tc>
        <w:tc>
          <w:tcPr>
            <w:tcW w:type="dxa" w:w="288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PWA Offline-First, IoT y Visión Artificial OCR</w:t>
            </w:r>
          </w:p>
        </w:tc>
        <w:tc>
          <w:tcPr>
            <w:tcW w:type="dxa" w:w="3024"/>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 PWA con IndexedDB local para sincronización en zonas sin red.</w:t>
              <w:br/>
              <w:t>• Flujómetros digitales IoT en pipas Marimba y tanques Pegaso.</w:t>
              <w:br/>
              <w:t>• Módulo OCR para lectura de tickets con la cámara del celular.</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 HITOS SIGUIENTES</w:t>
            </w:r>
          </w:p>
        </w:tc>
      </w:tr>
    </w:tbl>
    <w:p>
      <w:pPr>
        <w:spacing w:after="120"/>
      </w:pPr>
    </w:p>
    <w:p>
      <w:pPr>
        <w:keepNext/>
        <w:spacing w:before="360" w:after="160"/>
      </w:pPr>
      <w:r>
        <w:rPr>
          <w:rFonts w:ascii="Segoe UI" w:hAnsi="Segoe UI"/>
          <w:b/>
          <w:color w:val="1B365D"/>
          <w:sz w:val="30"/>
        </w:rPr>
        <w:t>3. MOTOR DE AUTOMATIZACIÓN INTEGRAL CON n8n E INTELIGENCIA ARTIFICIAL (GEMINI 1.5 FLASH)</w:t>
      </w:r>
    </w:p>
    <w:p>
      <w:pPr>
        <w:spacing w:after="120" w:line="276" w:lineRule="auto"/>
      </w:pPr>
      <w:r>
        <w:rPr>
          <w:color w:val="222222"/>
        </w:rPr>
        <w:t>El servidor de automatización **n8n** constituye la capa de integración de procesos en segundo plano de Grupo Trujano. Conecta de forma transparente las fuentes externas (correos de proveedores, Google Drive, WhatsApp Meta API) con la base de datos PostgreSQL y el Centro de Mando Fénix Admin (Puerto 5002).</w:t>
      </w:r>
    </w:p>
    <w:p>
      <w:pPr>
        <w:keepNext/>
        <w:spacing w:before="280" w:after="120"/>
      </w:pPr>
      <w:r>
        <w:rPr>
          <w:rFonts w:ascii="Segoe UI" w:hAnsi="Segoe UI"/>
          <w:b/>
          <w:color w:val="3B629B"/>
          <w:sz w:val="25"/>
        </w:rPr>
        <w:t>3.1 Flujo 01: Ingestión Automática de Facturas por Correo IMAP y Respaldo en Google Drive</w:t>
      </w:r>
    </w:p>
    <w:p>
      <w:pPr>
        <w:spacing w:after="120" w:line="276" w:lineRule="auto"/>
      </w:pPr>
      <w:r>
        <w:rPr>
          <w:color w:val="222222"/>
        </w:rPr>
        <w:t>Fichero de flujo: `n8n/workflows/01_ingestion_email_drive_facturas_diesel.json`.</w:t>
      </w:r>
    </w:p>
    <w:p>
      <w:pPr>
        <w:pStyle w:val="ListBullet"/>
        <w:spacing w:after="80" w:line="276" w:lineRule="auto"/>
      </w:pPr>
      <w:r>
        <w:rPr>
          <w:b/>
          <w:color w:val="222222"/>
        </w:rPr>
        <w:t xml:space="preserve">1. Trigger IMAP Automático: </w:t>
      </w:r>
      <w:r>
        <w:rPr>
          <w:color w:val="222222"/>
        </w:rPr>
        <w:t>Monitorea la bandeja de correo electrónico institucional vía IMAP (puerto 993 SSL) filtrando exclusivamente remitentes oficiales como DERIVADOS DE PETROLEO CASTILLA (facturaciondpc2@gmail.com / RFC DPC180725R47) con patrones de asunto de CFDI de combustible.</w:t>
      </w:r>
    </w:p>
    <w:p>
      <w:pPr>
        <w:pStyle w:val="ListBullet"/>
        <w:spacing w:after="80" w:line="276" w:lineRule="auto"/>
      </w:pPr>
      <w:r>
        <w:rPr>
          <w:b/>
          <w:color w:val="222222"/>
        </w:rPr>
        <w:t xml:space="preserve">2. Respaldo en Google Drive: </w:t>
      </w:r>
      <w:r>
        <w:rPr>
          <w:color w:val="222222"/>
        </w:rPr>
        <w:t>Descarga los archivos adjuntos (XML CFDI 4.0 y PDF de la factura) y los organiza dinámicamente en carpetas de Google Drive estructuradas por semana (ej. SEM_34_factura.pdf).</w:t>
      </w:r>
    </w:p>
    <w:p>
      <w:pPr>
        <w:pStyle w:val="ListBullet"/>
        <w:spacing w:after="80" w:line="276" w:lineRule="auto"/>
      </w:pPr>
      <w:r>
        <w:rPr>
          <w:b/>
          <w:color w:val="222222"/>
        </w:rPr>
        <w:t xml:space="preserve">3. Extracción de Datos XML CFDI: </w:t>
      </w:r>
      <w:r>
        <w:rPr>
          <w:color w:val="222222"/>
        </w:rPr>
        <w:t>Lee el archivo XML del CFDI y extrae con precisión quirúrgica: Serie, Folio, Fecha, UUID de 36 caracteres, Litros Facturados, Precio Unitario, Subtotal, IVA e Importe Total.</w:t>
      </w:r>
    </w:p>
    <w:p>
      <w:pPr>
        <w:pStyle w:val="ListBullet"/>
        <w:spacing w:after="80" w:line="276" w:lineRule="auto"/>
      </w:pPr>
      <w:r>
        <w:rPr>
          <w:b/>
          <w:color w:val="222222"/>
        </w:rPr>
        <w:t xml:space="preserve">4. Registro en PostgreSQL: </w:t>
      </w:r>
      <w:r>
        <w:rPr>
          <w:color w:val="222222"/>
        </w:rPr>
        <w:t>Inserta automáticamente el registro en la base de datos PostgreSQL (tabla diesel.facturas) con el estatus inicial 'PENDIENTE_OBRA'.</w:t>
      </w:r>
    </w:p>
    <w:p>
      <w:pPr>
        <w:pStyle w:val="ListBullet"/>
        <w:spacing w:after="80" w:line="276" w:lineRule="auto"/>
      </w:pPr>
      <w:r>
        <w:rPr>
          <w:b/>
          <w:color w:val="222222"/>
        </w:rPr>
        <w:t xml:space="preserve">5. Notificación al Admin (Puerto 5002): </w:t>
      </w:r>
      <w:r>
        <w:rPr>
          <w:color w:val="222222"/>
        </w:rPr>
        <w:t>Envía una notificación por Webhook al Centro de Mando Admin Fénix (http://localhost:5002/api/admin/diesel/webhook_nueva_factura). La factura aparece instantáneamente en el tab '🧾 Facturas' para la Asignación Humana de Obra Destino con 1-clic.</w:t>
      </w:r>
    </w:p>
    <w:p>
      <w:pPr>
        <w:keepNext/>
        <w:spacing w:before="280" w:after="120"/>
      </w:pPr>
      <w:r>
        <w:rPr>
          <w:rFonts w:ascii="Segoe UI" w:hAnsi="Segoe UI"/>
          <w:b/>
          <w:color w:val="3B629B"/>
          <w:sz w:val="25"/>
        </w:rPr>
        <w:t>3.2 Flujo 02: Conciliación Automática Factura vs Cargas de Obra y Semáforo en Tiempo Real</w:t>
      </w:r>
    </w:p>
    <w:p>
      <w:pPr>
        <w:spacing w:after="120" w:line="276" w:lineRule="auto"/>
      </w:pPr>
      <w:r>
        <w:rPr>
          <w:color w:val="222222"/>
        </w:rPr>
        <w:t>Fichero de flujo: `n8n/workflows/02_conciliacion_diesel_factura_vs_cargas.json`.</w:t>
      </w:r>
    </w:p>
    <w:p>
      <w:pPr>
        <w:pStyle w:val="ListBullet"/>
        <w:spacing w:after="80" w:line="276" w:lineRule="auto"/>
      </w:pPr>
      <w:r>
        <w:rPr>
          <w:b/>
          <w:color w:val="222222"/>
        </w:rPr>
        <w:t xml:space="preserve">1. Endpoint Webhook: </w:t>
      </w:r>
      <w:r>
        <w:rPr>
          <w:color w:val="222222"/>
        </w:rPr>
        <w:t>Expone un endpoint Webhook REST: POST /webhook/fenix-conciliacion-diesel.</w:t>
      </w:r>
    </w:p>
    <w:p>
      <w:pPr>
        <w:pStyle w:val="ListBullet"/>
        <w:spacing w:after="80" w:line="276" w:lineRule="auto"/>
      </w:pPr>
      <w:r>
        <w:rPr>
          <w:b/>
          <w:color w:val="222222"/>
        </w:rPr>
        <w:t xml:space="preserve">2. Comparativo de Volúmenes: </w:t>
      </w:r>
      <w:r>
        <w:rPr>
          <w:color w:val="222222"/>
        </w:rPr>
        <w:t>Suma los litros facturados por el proveedor y los compara contra la suma de cargas individuales registradas en campo por la pipa Marimba y los operadores en la obra asignada.</w:t>
      </w:r>
    </w:p>
    <w:p>
      <w:pPr>
        <w:pStyle w:val="ListBullet"/>
        <w:spacing w:after="80" w:line="276" w:lineRule="auto"/>
      </w:pPr>
      <w:r>
        <w:rPr>
          <w:b/>
          <w:color w:val="222222"/>
        </w:rPr>
        <w:t xml:space="preserve">3. Auditoría de Evidencia: </w:t>
      </w:r>
      <w:r>
        <w:rPr>
          <w:color w:val="222222"/>
        </w:rPr>
        <w:t>Audita que cada carga individual cuente con la foto de evidencia obligatoria (medidor de marimba, manguera a máquina, horómetro).</w:t>
      </w:r>
    </w:p>
    <w:p>
      <w:pPr>
        <w:pStyle w:val="ListBullet"/>
        <w:spacing w:after="80" w:line="276" w:lineRule="auto"/>
      </w:pPr>
      <w:r>
        <w:rPr>
          <w:b/>
          <w:color w:val="222222"/>
        </w:rPr>
        <w:t xml:space="preserve">4. Generación de Semáforo: </w:t>
      </w:r>
      <w:r>
        <w:rPr>
          <w:color w:val="222222"/>
        </w:rPr>
        <w:t>Retorna el balance y genera el Semáforo de Control en tiempo real:</w:t>
        <w:br/>
        <w:t xml:space="preserve">  • 🟢 CONCILIADO: Coincidencia matemática exacta entre factura y cargas.</w:t>
        <w:br/>
        <w:t xml:space="preserve">  • 🟡 SALDO EN TANQUE/PIPA: Volumen facturado pendiente por repartir en la pipa o tanque.</w:t>
        <w:br/>
        <w:t xml:space="preserve">  • 🔴 MERMA / EXCESO: Discrepancia no explicada que activa alertas contables.</w:t>
      </w:r>
    </w:p>
    <w:p>
      <w:pPr>
        <w:keepNext/>
        <w:spacing w:before="280" w:after="120"/>
      </w:pPr>
      <w:r>
        <w:rPr>
          <w:rFonts w:ascii="Segoe UI" w:hAnsi="Segoe UI"/>
          <w:b/>
          <w:color w:val="3B629B"/>
          <w:sz w:val="25"/>
        </w:rPr>
        <w:t>3.3 Flujo 03: Ingestión de WhatsApp con Inteligencia Artificial Multimodal (Gemini 1.5 Flash)</w:t>
      </w:r>
    </w:p>
    <w:p>
      <w:pPr>
        <w:spacing w:after="120" w:line="276" w:lineRule="auto"/>
      </w:pPr>
      <w:r>
        <w:rPr>
          <w:color w:val="222222"/>
        </w:rPr>
        <w:t>Permite el procesamiento de mensajes de texto y fotografías de tickets enviados por los choferes y operadores al grupo de WhatsApp corporativo.</w:t>
      </w:r>
    </w:p>
    <w:p>
      <w:pPr>
        <w:pStyle w:val="ListBullet"/>
        <w:spacing w:after="80" w:line="276" w:lineRule="auto"/>
      </w:pPr>
      <w:r>
        <w:rPr>
          <w:b/>
          <w:color w:val="222222"/>
        </w:rPr>
        <w:t xml:space="preserve">1. Webhook Trigger: </w:t>
      </w:r>
      <w:r>
        <w:rPr>
          <w:color w:val="222222"/>
        </w:rPr>
        <w:t>Webhook de Meta Developers apuntando a /webhook/whatsapp.</w:t>
      </w:r>
    </w:p>
    <w:p>
      <w:pPr>
        <w:pStyle w:val="ListBullet"/>
        <w:spacing w:after="80" w:line="276" w:lineRule="auto"/>
      </w:pPr>
      <w:r>
        <w:rPr>
          <w:b/>
          <w:color w:val="222222"/>
        </w:rPr>
        <w:t xml:space="preserve">2. Descarga Multimodal: </w:t>
      </w:r>
      <w:r>
        <w:rPr>
          <w:color w:val="222222"/>
        </w:rPr>
        <w:t>Si el mensaje incluye imagen de ticket o marcador, descarga el archivo binario.</w:t>
      </w:r>
    </w:p>
    <w:p>
      <w:pPr>
        <w:pStyle w:val="ListBullet"/>
        <w:spacing w:after="80" w:line="276" w:lineRule="auto"/>
      </w:pPr>
      <w:r>
        <w:rPr>
          <w:b/>
          <w:color w:val="222222"/>
        </w:rPr>
        <w:t xml:space="preserve">3. Agente de IA Gemini 1.5 Flash: </w:t>
      </w:r>
      <w:r>
        <w:rPr>
          <w:color w:val="222222"/>
        </w:rPr>
        <w:t>Pasa el texto y/o la imagen al modelo Google Gemini 1.5 Flash en n8n mediante un System Prompt especializado que clasifica la transacción en 'pegaso', 'marimba' u 'obra', resuelve los códigos de catálogos (ej. MT, L3M, EX-01, FR-01) y devuelve un objeto JSON estructurado.</w:t>
      </w:r>
    </w:p>
    <w:p>
      <w:pPr>
        <w:pStyle w:val="ListBullet"/>
        <w:spacing w:after="80" w:line="276" w:lineRule="auto"/>
      </w:pPr>
      <w:r>
        <w:rPr>
          <w:b/>
          <w:color w:val="222222"/>
        </w:rPr>
        <w:t xml:space="preserve">4. Router e Inserción en BD: </w:t>
      </w:r>
      <w:r>
        <w:rPr>
          <w:color w:val="222222"/>
        </w:rPr>
        <w:t>Un nodo Switch evalúa la categoría devuelta e inserta directamente en la tabla correspondiente de PostgreSQL (o en la bandeja de revisión si requiere intervención manual).</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60" w:type="dxa"/>
              <w:right w:w="140" w:type="dxa"/>
            </w:tcMar>
            <w:tcBorders>
              <w:top w:val="single" w:sz="8" w:space="0" w:color="1B365D"/>
              <w:bottom w:val="single" w:sz="8" w:space="0" w:color="1B365D"/>
              <w:left w:val="single" w:sz="8" w:space="0" w:color="1B365D"/>
              <w:right w:val="single" w:sz="8" w:space="0" w:color="1B365D"/>
            </w:tcBorders>
          </w:tcPr>
          <w:p>
            <w:pPr>
              <w:spacing w:after="120"/>
            </w:pPr>
            <w:r>
              <w:rPr>
                <w:rFonts w:ascii="Segoe UI" w:hAnsi="Segoe UI"/>
                <w:b/>
                <w:color w:val="1B365D"/>
                <w:sz w:val="21"/>
              </w:rPr>
              <w:t>📐 DIAGRAMA ARQUITECTÓNICO: Arquitectura del Motor de Automatizaciones en n8n</w:t>
              <w:br/>
            </w:r>
            <w:r>
              <w:rPr>
                <w:rFonts w:ascii="Consolas" w:hAnsi="Consolas"/>
                <w:color w:val="222222"/>
                <w:sz w:val="17"/>
              </w:rPr>
              <w:t xml:space="preserve"> ┌────────────────────────────────────────────────────────────────────────┐</w:t>
              <w:br/>
              <w:t xml:space="preserve"> │                         FUENTES EXTERNAS DE DATOS                       │</w:t>
              <w:br/>
              <w:t xml:space="preserve"> │   [Correo IMAP Castilla]     [WhatsApp Meta API]      [Google Drive]   │</w:t>
              <w:br/>
              <w:t xml:space="preserve"> └───────────────────┬──────────────────────┬────────────────────┬────────┘</w:t>
              <w:br/>
              <w:t xml:space="preserve">                     │                      │                    │</w:t>
              <w:br/>
              <w:t xml:space="preserve">                     ▼                      ▼                    ▼</w:t>
              <w:br/>
              <w:t xml:space="preserve"> ┌────────────────────────────────────────────────────────────────────────┐</w:t>
              <w:br/>
              <w:t xml:space="preserve"> │                      SERVIDOR DE AUTOMATIZACIÓN n8n                    │</w:t>
              <w:br/>
              <w:t xml:space="preserve"> │                                                                        │</w:t>
              <w:br/>
              <w:t xml:space="preserve"> │  ┌────────────────────────┐  ┌──────────────────────────────────────┐  │</w:t>
              <w:br/>
              <w:t xml:space="preserve"> │  │ Flujo 01: Ingestión    │  │ Flujo 03: Agente IA Gemini 1.5 Flash │  │</w:t>
              <w:br/>
              <w:t xml:space="preserve"> │  │ Facturas IMAP/Drive    │  │ (Clasifica WhatsApp y Fotos Tickets) │  │</w:t>
              <w:br/>
              <w:t xml:space="preserve"> │  └───────────┬────────────┘  └──────────────────┬───────────────────┘  │</w:t>
              <w:br/>
              <w:t xml:space="preserve"> │              │                                  │                      │</w:t>
              <w:br/>
              <w:t xml:space="preserve"> │              ▼                                  ▼                      │</w:t>
              <w:br/>
              <w:t xml:space="preserve"> │  ┌──────────────────────────────────────────────────────────────────┐  │</w:t>
              <w:br/>
              <w:t xml:space="preserve"> │  │ Flujo 02: Motor de Conciliación y Semáforo en Tiempo Real        │  │</w:t>
              <w:br/>
              <w:t xml:space="preserve"> │  │ (🟢 Exacto | 🟡 Saldo Pipa | 🔴 Merma/Exceso)                   │  │</w:t>
              <w:br/>
              <w:t xml:space="preserve"> │  └───────────────────────────┬──────────────────────────────────────┘  │</w:t>
              <w:br/>
              <w:t xml:space="preserve"> └──────────────────────────────┼─────────────────────────────────────────┘</w:t>
              <w:br/>
              <w:t xml:space="preserve">                                │</w:t>
              <w:br/>
              <w:t xml:space="preserve">                                ▼</w:t>
              <w:br/>
              <w:t xml:space="preserve"> ┌────────────────────────────────────────────────────────────────────────┐</w:t>
              <w:br/>
              <w:t xml:space="preserve"> │                   POSTGRESQL (fenix_db) &amp; ADMIN 5002                   │</w:t>
              <w:br/>
              <w:t xml:space="preserve"> │             [Notificación a Fénix Admin para Asignación 1-Clic]        │</w:t>
              <w:br/>
              <w:t xml:space="preserve"> └────────────────────────────────────────────────────────────────────────┘</w:t>
            </w:r>
          </w:p>
        </w:tc>
      </w:tr>
    </w:tbl>
    <w:p>
      <w:pPr>
        <w:spacing w:after="120"/>
      </w:pPr>
    </w:p>
    <w:p>
      <w:pPr>
        <w:keepNext/>
        <w:spacing w:before="360" w:after="160"/>
      </w:pPr>
      <w:r>
        <w:rPr>
          <w:rFonts w:ascii="Segoe UI" w:hAnsi="Segoe UI"/>
          <w:b/>
          <w:color w:val="1B365D"/>
          <w:sz w:val="30"/>
        </w:rPr>
        <w:t>4. SISTEMA DE CONCILIACIÓN MULTINIVEL DE 2 VÍAS Y GOBIERNO CORPORATIVO</w:t>
      </w:r>
    </w:p>
    <w:p>
      <w:pPr>
        <w:spacing w:after="120" w:line="276" w:lineRule="auto"/>
      </w:pPr>
      <w:r>
        <w:rPr>
          <w:color w:val="222222"/>
        </w:rPr>
        <w:t>El núcleo arquitectónico del Sistema Fénix opera bajo un **Modelo de Conciliación de 2 Vías a través de Niveles**. A diferencia de los sistemas tradicionales que confían en una sola fuente de reporte, Fénix exige que cada transferencia de volumen sea declarada de manera independiente por ambas partes (Emisor y Receptor), efectuando cruces automáticos en cada nivel.</w:t>
      </w:r>
    </w:p>
    <w:p>
      <w:pPr>
        <w:keepNext/>
        <w:spacing w:before="280" w:after="120"/>
      </w:pPr>
      <w:r>
        <w:rPr>
          <w:rFonts w:ascii="Segoe UI" w:hAnsi="Segoe UI"/>
          <w:b/>
          <w:color w:val="3B629B"/>
          <w:sz w:val="25"/>
        </w:rPr>
        <w:t>4.1 Estructura por Niveles de Conciliación</w:t>
      </w:r>
    </w:p>
    <w:p>
      <w:pPr>
        <w:keepNext/>
        <w:spacing w:before="200" w:after="80"/>
      </w:pPr>
      <w:r>
        <w:rPr>
          <w:rFonts w:ascii="Calibri" w:hAnsi="Calibri"/>
          <w:b/>
          <w:color w:val="1B365D"/>
          <w:sz w:val="22"/>
        </w:rPr>
        <w:t>• NIVEL 1: Distribuidor de Combustible (Gasolinería / Proveedor) vs Operadores (Tanque / Pipa)</w:t>
      </w:r>
    </w:p>
    <w:p>
      <w:pPr>
        <w:spacing w:after="120" w:line="276" w:lineRule="auto"/>
      </w:pPr>
      <w:r>
        <w:rPr>
          <w:color w:val="222222"/>
        </w:rPr>
        <w:t>En el primer nivel, la gasolinería proveedora (ej. Gasolinera Huixquilucan / Levet / JDJ) emite el reporte de carga y la factura formal. Por su parte, el Operador del Tanque Pegaso o el Chofer de la Pipa 'Marimba' registra la entrada física del combustible recibido. El sistema efectúa el Cruce Nivel 1: Litros Facturados por el Distribuidor = Litros Ingresados al Tanque/Pipa.</w:t>
      </w:r>
    </w:p>
    <w:p>
      <w:pPr>
        <w:keepNext/>
        <w:spacing w:before="200" w:after="80"/>
      </w:pPr>
      <w:r>
        <w:rPr>
          <w:rFonts w:ascii="Calibri" w:hAnsi="Calibri"/>
          <w:b/>
          <w:color w:val="1B365D"/>
          <w:sz w:val="22"/>
        </w:rPr>
        <w:t>• NIVEL 2: Cargas Individuales (Operadores de Pipa/Tanque) vs Cargas de Máquinas (Ingeniero de Obra)</w:t>
      </w:r>
    </w:p>
    <w:p>
      <w:pPr>
        <w:spacing w:after="120" w:line="276" w:lineRule="auto"/>
      </w:pPr>
      <w:r>
        <w:rPr>
          <w:color w:val="222222"/>
        </w:rPr>
        <w:t>En el segundo nivel se audita la distribución fina en campo. El operador de la pipa/tanque declara los litros despachados a cada frente de trabajo. Simultáneamente, el Ingeniero o Responsable de Obra registra el volumen exacto recibido por cada máquina individual (equipo económico, horómetro/odómetro y fotografía obligatoria). El sistema efectúa el Cruce Nivel 2: Litros Despachados por Pipa/Tanque = Suma de Cargas Individuales en Maquinaria de Obra.</w:t>
      </w:r>
    </w:p>
    <w:p>
      <w:pPr>
        <w:keepNext/>
        <w:spacing w:before="200" w:after="80"/>
      </w:pPr>
      <w:r>
        <w:rPr>
          <w:rFonts w:ascii="Calibri" w:hAnsi="Calibri"/>
          <w:b/>
          <w:color w:val="1B365D"/>
          <w:sz w:val="22"/>
        </w:rPr>
        <w:t>• NIVEL 3: Cargas Individuales y Repartos vs Facturas Emitidas (Auditoría Contable)</w:t>
      </w:r>
    </w:p>
    <w:p>
      <w:pPr>
        <w:spacing w:after="120" w:line="276" w:lineRule="auto"/>
      </w:pPr>
      <w:r>
        <w:rPr>
          <w:color w:val="222222"/>
        </w:rPr>
        <w:t>El sistema vincula la suma de consumos acumulados por máquina e ingeniero contra las facturas fiscales (CFDI XML) y estados de cuenta del distribuidor. Se valida el precio por litro, el IVA aplicable y los Complementos de Pago del SAT, detectando discrepancias de centavos o volumen no amparado.</w:t>
      </w:r>
    </w:p>
    <w:p>
      <w:pPr>
        <w:keepNext/>
        <w:spacing w:before="200" w:after="80"/>
      </w:pPr>
      <w:r>
        <w:rPr>
          <w:rFonts w:ascii="Calibri" w:hAnsi="Calibri"/>
          <w:b/>
          <w:color w:val="1B365D"/>
          <w:sz w:val="22"/>
        </w:rPr>
        <w:t>• NIVEL 4: Gobierno Corporativo y Bloqueo Definitivo de Información</w:t>
      </w:r>
    </w:p>
    <w:p>
      <w:pPr>
        <w:spacing w:after="120" w:line="276" w:lineRule="auto"/>
      </w:pPr>
      <w:r>
        <w:rPr>
          <w:color w:val="222222"/>
        </w:rPr>
        <w:t>Una vez verificado que los Cruces Nivel 1, 2 y 3 coinciden al 100%, el equipo de Administración y Gobierno Corporativo ejecuta la acción de **CIERRE Y BLOQUEO DE INFORMACIÓN**. A partir de este momento, la base de datos PostgreSQL **congela** todos los registros del periodo conciliado. Ningún usuario operativo (operadores o ingenieros) puede modificar, eliminar o agregar datos de manera retroactiva. La información queda sellada para la emisión de reportes ejecutivos a la Alta Dirección.</w:t>
      </w:r>
    </w:p>
    <w:p>
      <w:pPr>
        <w:keepNext/>
        <w:spacing w:before="360" w:after="160"/>
      </w:pPr>
      <w:r>
        <w:rPr>
          <w:rFonts w:ascii="Segoe UI" w:hAnsi="Segoe UI"/>
          <w:b/>
          <w:color w:val="1B365D"/>
          <w:sz w:val="30"/>
        </w:rPr>
        <w:t>5. MATRIZ DE ROLES, NIVELES DE ACCESO Y SEGURIDAD EN LA BASE DE DATOS</w:t>
      </w:r>
    </w:p>
    <w:p>
      <w:pPr>
        <w:spacing w:after="120" w:line="276" w:lineRule="auto"/>
      </w:pPr>
      <w:r>
        <w:rPr>
          <w:color w:val="222222"/>
        </w:rPr>
        <w:t>Para garantizar la integridad de los datos, el cumplimiento ISO 9001/14001 y evitar manipulaciones no autorizadas, el Sistema Fénix 2.0 implementa una **Matriz de Control de Acceso Basado en Roles (RBAC)** con 4 niveles jerárquicos estrictos: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Nivel de Acceso</w:t>
            </w:r>
          </w:p>
        </w:tc>
        <w:tc>
          <w:tcPr>
            <w:tcW w:type="dxa" w:w="2160"/>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Rol de Usuario</w:t>
            </w:r>
          </w:p>
        </w:tc>
        <w:tc>
          <w:tcPr>
            <w:tcW w:type="dxa" w:w="3312"/>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Permisos Operativos y Funciones En Base de Datos</w:t>
            </w:r>
          </w:p>
        </w:tc>
        <w:tc>
          <w:tcPr>
            <w:tcW w:type="dxa" w:w="2160"/>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Alcance de Edición / Bloqueo</w:t>
            </w:r>
          </w:p>
        </w:tc>
      </w:tr>
      <w:tr>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Nivel 1: Básico</w:t>
            </w:r>
          </w:p>
        </w:tc>
        <w:tc>
          <w:tcPr>
            <w:tcW w:type="dxa" w:w="216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Operadores de Maquinaria / Choferes</w:t>
            </w:r>
          </w:p>
        </w:tc>
        <w:tc>
          <w:tcPr>
            <w:tcW w:type="dxa" w:w="331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 Captura básica de carga individual asignada a su unidad.</w:t>
              <w:br/>
              <w:t>• Registro obligatorio de Horómetro/Kilometraje.</w:t>
              <w:br/>
              <w:t>• Subida obligatoria de FOTO EVIDENCIA del ticket/marcador.</w:t>
            </w:r>
          </w:p>
        </w:tc>
        <w:tc>
          <w:tcPr>
            <w:tcW w:type="dxa" w:w="216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INSERT únicamente en registros propios del día. Sin acceso a consulta global ni edición.</w:t>
            </w:r>
          </w:p>
        </w:tc>
      </w:tr>
      <w:tr>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Nivel 2: Operativo</w:t>
            </w:r>
          </w:p>
        </w:tc>
        <w:tc>
          <w:tcPr>
            <w:tcW w:type="dxa" w:w="216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Operador de Marimba / Pipa / Tanque</w:t>
            </w:r>
          </w:p>
        </w:tc>
        <w:tc>
          <w:tcPr>
            <w:tcW w:type="dxa" w:w="331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 Captura de entradas de combustible desde gasolinerías.</w:t>
              <w:br/>
              <w:t>• Registro de despachos y cargas enviadas a cada obra.</w:t>
              <w:br/>
              <w:t>• Subida de fotos de marcadores de tanque y remisiones.</w:t>
            </w:r>
          </w:p>
        </w:tc>
        <w:tc>
          <w:tcPr>
            <w:tcW w:type="dxa" w:w="216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INSERT y UPDATE limitado al día corriente. No puede modificar registros pasados.</w:t>
            </w:r>
          </w:p>
        </w:tc>
      </w:tr>
      <w:tr>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Nivel 3: Supervisión</w:t>
            </w:r>
          </w:p>
        </w:tc>
        <w:tc>
          <w:tcPr>
            <w:tcW w:type="dxa" w:w="216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Ingenieros / Responsables de Obra</w:t>
            </w:r>
          </w:p>
        </w:tc>
        <w:tc>
          <w:tcPr>
            <w:tcW w:type="dxa" w:w="331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 Solicitud semanal de presupuesto de diésel.</w:t>
              <w:br/>
              <w:t>• Petición de autorizaciones extra (gasolina/diésel).</w:t>
              <w:br/>
              <w:t>• Registro de EPP/PPE, reportes mecánicos/piezas y reporte de obra.</w:t>
              <w:br/>
              <w:t>• Supervisión de cargas de sus equipos.</w:t>
              <w:br/>
              <w:t>• Revisión de Acarreos y Mezclas Asfálticas (verificación de fotos de notas/boletas y conciliación vs Plantas).</w:t>
            </w:r>
          </w:p>
        </w:tc>
        <w:tc>
          <w:tcPr>
            <w:tcW w:type="dxa" w:w="216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INSERT y SELECT de sus obras asignadas. Modificación permitida solo antes del cierre semanal.</w:t>
            </w:r>
          </w:p>
        </w:tc>
      </w:tr>
      <w:tr>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Nivel 4: Ejecutivo / Gobierno Corporativo</w:t>
            </w:r>
          </w:p>
        </w:tc>
        <w:tc>
          <w:tcPr>
            <w:tcW w:type="dxa" w:w="216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Administradores / Auditores / Directivos</w:t>
            </w:r>
          </w:p>
        </w:tc>
        <w:tc>
          <w:tcPr>
            <w:tcW w:type="dxa" w:w="331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 Conciliación contable masiva de facturas CFDI vs cargas.</w:t>
              <w:br/>
              <w:t>• Edición de catálogos maestros y cuotas diarias (6D/5D).</w:t>
              <w:br/>
              <w:t>• **BLOQUEO Y CIERRE DEFINITIVO DE PERIODOS**.</w:t>
              <w:br/>
              <w:t>• Generación de reportes institucionales Excel/PDF.</w:t>
              <w:br/>
              <w:t>• Consulta de la tabla inalterable catalogos.audit_log.</w:t>
            </w:r>
          </w:p>
        </w:tc>
        <w:tc>
          <w:tcPr>
            <w:tcW w:type="dxa" w:w="216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FULL ACCESS (SELECT, INSERT, UPDATE, DELETE, LOCK). Permiso especial exclusivo para desbloqueo.</w:t>
            </w:r>
          </w:p>
        </w:tc>
      </w:tr>
    </w:tbl>
    <w:p>
      <w:pPr>
        <w:spacing w:after="120"/>
      </w:pPr>
    </w:p>
    <w:p>
      <w:pPr>
        <w:keepNext/>
        <w:spacing w:before="360" w:after="160"/>
      </w:pPr>
      <w:r>
        <w:rPr>
          <w:rFonts w:ascii="Segoe UI" w:hAnsi="Segoe UI"/>
          <w:b/>
          <w:color w:val="1B365D"/>
          <w:sz w:val="30"/>
        </w:rPr>
        <w:t>6. CONCILIACIÓN ESPECIALIZADA DE ACARREOS Y MEZCLA ASFÁLTICA CONTRA PLANTAS</w:t>
      </w:r>
    </w:p>
    <w:p>
      <w:pPr>
        <w:spacing w:after="120" w:line="276" w:lineRule="auto"/>
      </w:pPr>
      <w:r>
        <w:rPr>
          <w:color w:val="222222"/>
        </w:rPr>
        <w:t>El control de materiales, fresado y mezcla asfáltica sigue un procedimiento riguroso de conciliación cruzada entre las Plantas de Asfalto corporativas (Huixquilucan / Pegaso), los transportistas (Sindicatos/Camiones) y los Ingenieros de Obra recepcionistas.</w:t>
      </w:r>
    </w:p>
    <w:p>
      <w:pPr>
        <w:keepNext/>
        <w:spacing w:before="360" w:after="160"/>
      </w:pPr>
      <w:r>
        <w:rPr>
          <w:rFonts w:ascii="Segoe UI" w:hAnsi="Segoe UI"/>
          <w:b/>
          <w:color w:val="1B365D"/>
          <w:sz w:val="30"/>
        </w:rPr>
        <w:t>14. GUÍA PREPARATORIA PARA JUNTA DE HOMOLOGACIÓN Y CUESTIONARIO ESTRATÉGICO</w:t>
      </w:r>
    </w:p>
    <w:p>
      <w:pPr>
        <w:spacing w:after="120" w:line="276" w:lineRule="auto"/>
      </w:pPr>
      <w:r>
        <w:rPr>
          <w:color w:val="222222"/>
        </w:rPr>
        <w:t>Esta sección consolida las respuestas técnicas para la junta con el equipo de ingeniería y el cuestionario estructurado para evaluar el sistema existente del otro equipo.</w:t>
      </w:r>
    </w:p>
    <w:p>
      <w:pPr>
        <w:keepNext/>
        <w:spacing w:before="280" w:after="120"/>
      </w:pPr>
      <w:r>
        <w:rPr>
          <w:rFonts w:ascii="Segoe UI" w:hAnsi="Segoe UI"/>
          <w:b/>
          <w:color w:val="3B629B"/>
          <w:sz w:val="25"/>
        </w:rPr>
        <w:t>14.1 Respuestas Preparadas para la Junta</w:t>
      </w:r>
    </w:p>
    <w:p>
      <w:pPr>
        <w:keepNext/>
        <w:spacing w:before="200" w:after="80"/>
      </w:pPr>
      <w:r>
        <w:rPr>
          <w:rFonts w:ascii="Calibri" w:hAnsi="Calibri"/>
          <w:b/>
          <w:color w:val="1B365D"/>
          <w:sz w:val="22"/>
        </w:rPr>
        <w:t>1. Disponibilidad de Tiempo y Horarios</w:t>
      </w:r>
    </w:p>
    <w:p>
      <w:pPr>
        <w:pStyle w:val="ListBullet"/>
        <w:spacing w:after="80" w:line="276" w:lineRule="auto"/>
      </w:pPr>
      <w:r>
        <w:rPr>
          <w:b/>
          <w:color w:val="222222"/>
        </w:rPr>
        <w:t xml:space="preserve">Días Disponibles: </w:t>
      </w:r>
      <w:r>
        <w:rPr>
          <w:color w:val="222222"/>
        </w:rPr>
        <w:t>Lunes a partir de las 2:00 PM.</w:t>
      </w:r>
    </w:p>
    <w:p>
      <w:pPr>
        <w:pStyle w:val="ListBullet"/>
        <w:spacing w:after="80" w:line="276" w:lineRule="auto"/>
      </w:pPr>
      <w:r>
        <w:rPr>
          <w:b/>
          <w:color w:val="222222"/>
        </w:rPr>
        <w:t xml:space="preserve">Días Completos: </w:t>
      </w:r>
      <w:r>
        <w:rPr>
          <w:color w:val="222222"/>
        </w:rPr>
        <w:t>Jueves y Viernes en jornada flexible.</w:t>
      </w:r>
    </w:p>
    <w:p>
      <w:pPr>
        <w:pStyle w:val="ListBullet"/>
        <w:spacing w:after="80" w:line="276" w:lineRule="auto"/>
      </w:pPr>
      <w:r>
        <w:rPr>
          <w:b/>
          <w:color w:val="222222"/>
        </w:rPr>
        <w:t xml:space="preserve">Carga Semanal: </w:t>
      </w:r>
      <w:r>
        <w:rPr>
          <w:color w:val="222222"/>
        </w:rPr>
        <w:t>15 a 20 horas de dedicación enfocada por semana.</w:t>
      </w:r>
    </w:p>
    <w:p>
      <w:pPr>
        <w:keepNext/>
        <w:spacing w:before="200" w:after="80"/>
      </w:pPr>
      <w:r>
        <w:rPr>
          <w:rFonts w:ascii="Calibri" w:hAnsi="Calibri"/>
          <w:b/>
          <w:color w:val="1B365D"/>
          <w:sz w:val="22"/>
        </w:rPr>
        <w:t>2. Guion de la Demostración en Vivo de Fénix</w:t>
      </w:r>
    </w:p>
    <w:p>
      <w:pPr>
        <w:pStyle w:val="ListBullet"/>
        <w:spacing w:after="80" w:line="276" w:lineRule="auto"/>
      </w:pPr>
      <w:r>
        <w:rPr>
          <w:b/>
          <w:color w:val="222222"/>
        </w:rPr>
        <w:t xml:space="preserve">Paso A: Doble Portal: </w:t>
      </w:r>
      <w:r>
        <w:rPr>
          <w:color w:val="222222"/>
        </w:rPr>
        <w:t>Mostrar Portal Operativo 5001 y Centro de Mando Admin 5002.</w:t>
      </w:r>
    </w:p>
    <w:p>
      <w:pPr>
        <w:pStyle w:val="ListBullet"/>
        <w:spacing w:after="80" w:line="276" w:lineRule="auto"/>
      </w:pPr>
      <w:r>
        <w:rPr>
          <w:b/>
          <w:color w:val="222222"/>
        </w:rPr>
        <w:t xml:space="preserve">Paso B: Captura Rápida: </w:t>
      </w:r>
      <w:r>
        <w:rPr>
          <w:color w:val="222222"/>
        </w:rPr>
        <w:t>Demostrar autocompletado en 0ms por placa y extracción automática desde bitácoras PDF.</w:t>
      </w:r>
    </w:p>
    <w:p>
      <w:pPr>
        <w:pStyle w:val="ListBullet"/>
        <w:spacing w:after="80" w:line="276" w:lineRule="auto"/>
      </w:pPr>
      <w:r>
        <w:rPr>
          <w:b/>
          <w:color w:val="222222"/>
        </w:rPr>
        <w:t xml:space="preserve">Paso C: Módulo Google Drive + n8n: </w:t>
      </w:r>
      <w:r>
        <w:rPr>
          <w:color w:val="222222"/>
        </w:rPr>
        <w:t>Explicar cómo n8n recibe el correo de la gasolinería, descarga PDF/XML a Google Drive e inserta en la BD.</w:t>
      </w:r>
    </w:p>
    <w:p>
      <w:pPr>
        <w:pStyle w:val="ListBullet"/>
        <w:spacing w:after="80" w:line="276" w:lineRule="auto"/>
      </w:pPr>
      <w:r>
        <w:rPr>
          <w:b/>
          <w:color w:val="222222"/>
        </w:rPr>
        <w:t xml:space="preserve">Paso D: Vaciado Masivo Excel: </w:t>
      </w:r>
      <w:r>
        <w:rPr>
          <w:color w:val="222222"/>
        </w:rPr>
        <w:t>Mostrar la sub-pestaña de gasolina masiva cargando el Excel 'CONTROL JDJ' con separación de semanas ISO y búsqueda O(1).</w:t>
      </w:r>
    </w:p>
    <w:p>
      <w:pPr>
        <w:pStyle w:val="ListBullet"/>
        <w:spacing w:after="80" w:line="276" w:lineRule="auto"/>
      </w:pPr>
      <w:r>
        <w:rPr>
          <w:b/>
          <w:color w:val="222222"/>
        </w:rPr>
        <w:t xml:space="preserve">Paso E: Reportes Oficiales: </w:t>
      </w:r>
      <w:r>
        <w:rPr>
          <w:color w:val="222222"/>
        </w:rPr>
        <w:t>Generación del informe en Excel con fórmulas vivas y PDF horizontal con firmas.</w:t>
      </w:r>
    </w:p>
    <w:p>
      <w:pPr>
        <w:keepNext/>
        <w:spacing w:before="200" w:after="80"/>
      </w:pPr>
      <w:r>
        <w:rPr>
          <w:rFonts w:ascii="Calibri" w:hAnsi="Calibri"/>
          <w:b/>
          <w:color w:val="1B365D"/>
          <w:sz w:val="22"/>
        </w:rPr>
        <w:t>3. Homologación Metodológica de Desarrollo</w:t>
      </w:r>
    </w:p>
    <w:p>
      <w:pPr>
        <w:pStyle w:val="ListBullet"/>
        <w:spacing w:after="80" w:line="276" w:lineRule="auto"/>
      </w:pPr>
      <w:r>
        <w:rPr>
          <w:b/>
          <w:color w:val="222222"/>
        </w:rPr>
        <w:t xml:space="preserve">Control de Versiones y Rollbacks: </w:t>
      </w:r>
      <w:r>
        <w:rPr>
          <w:color w:val="222222"/>
        </w:rPr>
        <w:t>El proyecto se gestiona con Git en la rama `main`. Ante un fallo, se ejecuta `git checkout` o `git revert` para restaurar el código. La BD cuenta con transacciones ACID y backups diarios en `respaldos_backups`.</w:t>
      </w:r>
    </w:p>
    <w:p>
      <w:pPr>
        <w:pStyle w:val="ListBullet"/>
        <w:spacing w:after="80" w:line="276" w:lineRule="auto"/>
      </w:pPr>
      <w:r>
        <w:rPr>
          <w:b/>
          <w:color w:val="222222"/>
        </w:rPr>
        <w:t xml:space="preserve">Validación de Resultados: </w:t>
      </w:r>
      <w:r>
        <w:rPr>
          <w:color w:val="222222"/>
        </w:rPr>
        <w:t>Verificación en 3 niveles: 1) Análisis sintáctico en Python, 2) Inspección de logs HTTP y consola de Flask en tiempo real, 3) Pruebas SQL y revisión de archivos Excel/PDF al centavo.</w:t>
      </w:r>
    </w:p>
    <w:p>
      <w:pPr>
        <w:pStyle w:val="ListBullet"/>
        <w:spacing w:after="80" w:line="276" w:lineRule="auto"/>
      </w:pPr>
      <w:r>
        <w:rPr>
          <w:b/>
          <w:color w:val="222222"/>
        </w:rPr>
        <w:t xml:space="preserve">Relación de Obras e Historial: </w:t>
      </w:r>
      <w:r>
        <w:rPr>
          <w:color w:val="222222"/>
        </w:rPr>
        <w:t>Las cargas se vinculan mediante el código inmutable de la obra (`codigo` PK / FK). Si se cambia el nombre visible, el historial permanece intacto.</w:t>
      </w:r>
    </w:p>
    <w:p>
      <w:pPr>
        <w:pStyle w:val="ListBullet"/>
        <w:spacing w:after="80" w:line="276" w:lineRule="auto"/>
      </w:pPr>
      <w:r>
        <w:rPr>
          <w:b/>
          <w:color w:val="222222"/>
        </w:rPr>
        <w:t xml:space="preserve">Cierre y Bloqueo de Datos: </w:t>
      </w:r>
      <w:r>
        <w:rPr>
          <w:color w:val="222222"/>
        </w:rPr>
        <w:t>El cierre está protegido **directamente en PostgreSQL mediante Triggers (disparadores SQL)** que cancelan cualquier `UPDATE/DELETE` en periodos congelados (`periodo_bloqueado = TRUE`), además del bloqueo visual en pantalla.</w:t>
      </w:r>
    </w:p>
    <w:p>
      <w:pPr>
        <w:keepNext/>
        <w:spacing w:before="280" w:after="120"/>
      </w:pPr>
      <w:r>
        <w:rPr>
          <w:rFonts w:ascii="Segoe UI" w:hAnsi="Segoe UI"/>
          <w:b/>
          <w:color w:val="3B629B"/>
          <w:sz w:val="25"/>
        </w:rPr>
        <w:t>14.2 Cuestionario Estratégico para Evaluar el Sistema del Otro Equipo</w:t>
      </w:r>
    </w:p>
    <w:p>
      <w:pPr>
        <w:spacing w:after="120" w:line="276" w:lineRule="auto"/>
      </w:pPr>
      <w:r>
        <w:rPr>
          <w:color w:val="222222"/>
        </w:rPr>
        <w:t>Preguntas clave organizadas por dominio técnico para dirigir la junta de homologación:</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Categoría / Dominio</w:t>
            </w:r>
          </w:p>
        </w:tc>
        <w:tc>
          <w:tcPr>
            <w:tcW w:type="dxa" w:w="3168"/>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Pregunta Estratégica Sugerida</w:t>
            </w:r>
          </w:p>
        </w:tc>
        <w:tc>
          <w:tcPr>
            <w:tcW w:type="dxa" w:w="3600"/>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Propósito / Objetivo de la Pregunta</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1. Arquitectura y Stack</w:t>
            </w:r>
          </w:p>
        </w:tc>
        <w:tc>
          <w:tcPr>
            <w:tcW w:type="dxa" w:w="316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¿En qué stack tecnológico está construido su sistema y qué motor de base de datos utilizan (PostgreSQL, MySQL, SQL Server, Oracle)? ¿Está en la nube u On-Premise?</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Determinar la facilidad de comunicación técnica e infraestructura compartida.</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2. Estandarización de Catálogos</w:t>
            </w:r>
          </w:p>
        </w:tc>
        <w:tc>
          <w:tcPr>
            <w:tcW w:type="dxa" w:w="316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¿Cómo gestionan los catálogos maestros de Obras y Equipos? ¿Manejan un código único o clave corta para cada máquina?</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Identificar la necesidad de crear una tabla puente para que ambos sistemas hablen el mismo idioma.</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3. Modelo de Conciliación</w:t>
            </w:r>
          </w:p>
        </w:tc>
        <w:tc>
          <w:tcPr>
            <w:tcW w:type="dxa" w:w="316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En la parte de combustible y acarreos, ¿cómo realizan el cruce de información? ¿Hacen conciliación de 2 o 3 vías (Factura vs Pipa vs Maquinaria)?</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Evaluar el nivel de rigor en auditoría de mermas y trasvases en campo.</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4. Automatización e Ingestión</w:t>
            </w:r>
          </w:p>
        </w:tc>
        <w:tc>
          <w:tcPr>
            <w:tcW w:type="dxa" w:w="316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¿Cómo ingresan las facturas de proveedores? ¿Tienen algún proceso automatizado para procesar XML/PDF o se capturan manualmente?</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Destacar el valor del Motor n8n e IA Gemini 1.5 Flash de Fénix que automatiza este proceso.</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5. Conexión y APIs</w:t>
            </w:r>
          </w:p>
        </w:tc>
        <w:tc>
          <w:tcPr>
            <w:tcW w:type="dxa" w:w="316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¿Su sistema cuenta con servicios web, REST APIs expuestas o Webhooks? ¿Se conecta con algún ERP contable (CONTPAQi, SAP, COI)?</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Definir el mecanismo de integración de datos sin necesidad de intercambiar archivos Excel manuales.</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6. Cierre y Gobierno de Datos</w:t>
            </w:r>
          </w:p>
        </w:tc>
        <w:tc>
          <w:tcPr>
            <w:tcW w:type="dxa" w:w="316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¿Cómo manejan el cierre contable semanal/mensual? ¿El sistema de ustedes bloquea registros pasados para evitar modificaciones?</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Alinear los estándares de seguridad y auditoría ISO 9001.</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7. Estrategia de Coexistencia</w:t>
            </w:r>
          </w:p>
        </w:tc>
        <w:tc>
          <w:tcPr>
            <w:tcW w:type="dxa" w:w="316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Viendo que ambos sistemas tienen fortalezas, ¿cuál ven como el flujo ideal? ¿Ven a Fénix como el módulo especializado de campo que envíe datos validados a su sistema central?</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Posicionar a Fénix como el especialista operativo sin entrar en conflicto con el sistema de ellos.</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