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Aleph Alpha (Luminous) - total: 7/48</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description is provided of the </w:t>
      </w:r>
      <w:r w:rsidDel="00000000" w:rsidR="00000000" w:rsidRPr="00000000">
        <w:rPr>
          <w:rtl w:val="0"/>
        </w:rPr>
        <w:t xml:space="preserve">Luminous</w:t>
      </w:r>
      <w:r w:rsidDel="00000000" w:rsidR="00000000" w:rsidRPr="00000000">
        <w:rPr>
          <w:rFonts w:ascii="Times New Roman" w:cs="Times New Roman" w:eastAsia="Times New Roman" w:hAnsi="Times New Roman"/>
          <w:rtl w:val="0"/>
        </w:rPr>
        <w:t xml:space="preserve"> training data.</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r w:rsidDel="00000000" w:rsidR="00000000" w:rsidRPr="00000000">
        <w:rPr>
          <w:rtl w:val="0"/>
        </w:rPr>
        <w:t xml:space="preserve">Aleph Alpha website.</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discussion of data governance.</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Source: Aleph Alpha website.</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description of copyrighted data.</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Source: Aleph Alpha website.</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model size, training time, hardware, and FLOPs are not disclosed.</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Source: Aleph Alpha website.</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The energy usage, carbon emissions, and any form of measurement/mitigation are not disclosed.</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Source: Aleph Alpha website.</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Capabilities are described as extensive (“</w:t>
      </w:r>
      <w:r w:rsidDel="00000000" w:rsidR="00000000" w:rsidRPr="00000000">
        <w:rPr>
          <w:rtl w:val="0"/>
        </w:rPr>
        <w:t xml:space="preserve">Large language models are powerful technological tools that can process and produce human text. They have acquired this ability by ‘reading’ enormous amounts of human text data during training. Similar to someone reading a whole library and half of the internet, large language models have acquired a structural understanding of language and accumulated information about the world.</w:t>
      </w:r>
      <w:r w:rsidDel="00000000" w:rsidR="00000000" w:rsidRPr="00000000">
        <w:rPr>
          <w:rFonts w:ascii="Times New Roman" w:cs="Times New Roman" w:eastAsia="Times New Roman" w:hAnsi="Times New Roman"/>
          <w:rtl w:val="0"/>
        </w:rPr>
        <w:t xml:space="preserve">”), with several more specific use cases (e.g. </w:t>
      </w:r>
      <w:r w:rsidDel="00000000" w:rsidR="00000000" w:rsidRPr="00000000">
        <w:rPr>
          <w:rtl w:val="0"/>
        </w:rPr>
        <w:t xml:space="preserve">question answering, summarization</w:t>
      </w:r>
      <w:r w:rsidDel="00000000" w:rsidR="00000000" w:rsidRPr="00000000">
        <w:rPr>
          <w:rFonts w:ascii="Times New Roman" w:cs="Times New Roman" w:eastAsia="Times New Roman" w:hAnsi="Times New Roman"/>
          <w:rtl w:val="0"/>
        </w:rPr>
        <w:t xml:space="preserve">). By comparison, limitations are not </w:t>
      </w:r>
      <w:r w:rsidDel="00000000" w:rsidR="00000000" w:rsidRPr="00000000">
        <w:rPr>
          <w:rtl w:val="0"/>
        </w:rPr>
        <w:t xml:space="preserve">described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6">
        <w:r w:rsidDel="00000000" w:rsidR="00000000" w:rsidRPr="00000000">
          <w:rPr>
            <w:color w:val="1155cc"/>
            <w:u w:val="single"/>
            <w:rtl w:val="0"/>
          </w:rPr>
          <w:t xml:space="preserve">https://docs.aleph-alpha.com/docs/introduction/luminous/</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tl w:val="0"/>
        </w:rPr>
        <w:t xml:space="preserve">0</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No significant discussion of risks or mitigations.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Source: </w:t>
      </w:r>
      <w:hyperlink r:id="rId7">
        <w:r w:rsidDel="00000000" w:rsidR="00000000" w:rsidRPr="00000000">
          <w:rPr>
            <w:color w:val="1155cc"/>
            <w:u w:val="single"/>
            <w:rtl w:val="0"/>
          </w:rPr>
          <w:t xml:space="preserve">https://docs.aleph-alpha.com/docs/introduction/luminous/</w:t>
        </w:r>
      </w:hyperlink>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Evaluations on EleutherAI LM Harness, including accuracy on several tasks (question answering, summarization). However, no evaluation of any form of unintentional harm (e.g. bias), malicious use (e.g. disinformation), or desiderata beyond accuracy (e.g. robustness). </w:t>
      </w:r>
      <w:r w:rsidDel="00000000" w:rsidR="00000000" w:rsidRPr="00000000">
        <w:rPr>
          <w:rtl w:val="0"/>
        </w:rPr>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color w:val="1155cc"/>
            <w:u w:val="single"/>
            <w:rtl w:val="0"/>
          </w:rPr>
          <w:t xml:space="preserve">https://www.aleph-alpha.com/luminous-performance-benchmarks</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rPr>
      </w:pPr>
      <w:r w:rsidDel="00000000" w:rsidR="00000000" w:rsidRPr="00000000">
        <w:rPr>
          <w:rtl w:val="0"/>
        </w:rPr>
        <w:t xml:space="preserve">0 points: No reported internal testing, external evaluations, or external redteaming.</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Source: </w:t>
      </w:r>
      <w:hyperlink r:id="rId9">
        <w:r w:rsidDel="00000000" w:rsidR="00000000" w:rsidRPr="00000000">
          <w:rPr>
            <w:color w:val="1155cc"/>
            <w:u w:val="single"/>
            <w:rtl w:val="0"/>
          </w:rPr>
          <w:t xml:space="preserve">https://www.aleph-alpha.com/luminous-performance-benchmarks</w:t>
        </w:r>
      </w:hyperlink>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points: In the context of the playground, it is clear that content is machine-generated. </w:t>
      </w:r>
      <w:r w:rsidDel="00000000" w:rsidR="00000000" w:rsidRPr="00000000">
        <w:rPr>
          <w:rtl w:val="0"/>
        </w:rPr>
        <w:t xml:space="preserve">No further guidelines.</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r w:rsidDel="00000000" w:rsidR="00000000" w:rsidRPr="00000000">
        <w:rPr>
          <w:rtl w:val="0"/>
        </w:rPr>
        <w:t xml:space="preserve">: </w:t>
      </w:r>
      <w:hyperlink r:id="rId10">
        <w:r w:rsidDel="00000000" w:rsidR="00000000" w:rsidRPr="00000000">
          <w:rPr>
            <w:color w:val="1155cc"/>
            <w:u w:val="single"/>
            <w:rtl w:val="0"/>
          </w:rPr>
          <w:t xml:space="preserve">https://app.aleph-alpha.com/jumpstart/model-qa</w:t>
        </w:r>
      </w:hyperlink>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w:t>
      </w:r>
      <w:r w:rsidDel="00000000" w:rsidR="00000000" w:rsidRPr="00000000">
        <w:rPr>
          <w:rtl w:val="0"/>
        </w:rPr>
        <w:t xml:space="preserve">No restrictions relevant to EU member states, though no </w:t>
      </w:r>
      <w:r w:rsidDel="00000000" w:rsidR="00000000" w:rsidRPr="00000000">
        <w:rPr>
          <w:rFonts w:ascii="Times New Roman" w:cs="Times New Roman" w:eastAsia="Times New Roman" w:hAnsi="Times New Roman"/>
          <w:rtl w:val="0"/>
        </w:rPr>
        <w:t xml:space="preserve">discussion of how the models are deployed across different EU member states.</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1">
        <w:r w:rsidDel="00000000" w:rsidR="00000000" w:rsidRPr="00000000">
          <w:rPr>
            <w:color w:val="1155cc"/>
            <w:u w:val="single"/>
            <w:rtl w:val="0"/>
          </w:rPr>
          <w:t xml:space="preserve">https://www.aleph-alpha.com/Aleph%20Alpha%20launches%20its%20LUMINOUS%20series%20for%20users</w:t>
        </w:r>
      </w:hyperlink>
      <w:r w:rsidDel="00000000" w:rsidR="00000000" w:rsidRPr="00000000">
        <w:rPr>
          <w:rtl w:val="0"/>
        </w:rPr>
        <w:t xml:space="preserve"> and </w:t>
      </w:r>
      <w:hyperlink r:id="rId12">
        <w:r w:rsidDel="00000000" w:rsidR="00000000" w:rsidRPr="00000000">
          <w:rPr>
            <w:color w:val="1155cc"/>
            <w:u w:val="single"/>
            <w:rtl w:val="0"/>
          </w:rPr>
          <w:t xml:space="preserve">https://www.aleph-alpha.com/terms-conditions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points: No discussion of downstream obligations and no standardized public documentation.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r w:rsidDel="00000000" w:rsidR="00000000" w:rsidRPr="00000000">
        <w:rPr>
          <w:rtl w:val="0"/>
        </w:rPr>
        <w:t xml:space="preserve">Aleph Alpha website.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eph-alpha.com/Aleph%20Alpha%20launches%20its%20LUMINOUS%20series%20for%20users" TargetMode="External"/><Relationship Id="rId10" Type="http://schemas.openxmlformats.org/officeDocument/2006/relationships/hyperlink" Target="https://app.aleph-alpha.com/jumpstart/model-qa" TargetMode="External"/><Relationship Id="rId12" Type="http://schemas.openxmlformats.org/officeDocument/2006/relationships/hyperlink" Target="https://www.aleph-alpha.com/terms-conditions" TargetMode="External"/><Relationship Id="rId9" Type="http://schemas.openxmlformats.org/officeDocument/2006/relationships/hyperlink" Target="https://www.aleph-alpha.com/luminous-performance-benchmarks" TargetMode="External"/><Relationship Id="rId5" Type="http://schemas.openxmlformats.org/officeDocument/2006/relationships/styles" Target="styles.xml"/><Relationship Id="rId6" Type="http://schemas.openxmlformats.org/officeDocument/2006/relationships/hyperlink" Target="https://docs.aleph-alpha.com/docs/introduction/luminous/" TargetMode="External"/><Relationship Id="rId7" Type="http://schemas.openxmlformats.org/officeDocument/2006/relationships/hyperlink" Target="https://docs.aleph-alpha.com/docs/introduction/luminous/" TargetMode="External"/><Relationship Id="rId8" Type="http://schemas.openxmlformats.org/officeDocument/2006/relationships/hyperlink" Target="https://www.aleph-alpha.com/luminous-performance-benchm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