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Times New Roman" w:cs="Times New Roman" w:eastAsia="Times New Roman" w:hAnsi="Times New Roman"/>
          <w:b/>
          <w:bCs/>
          <w:color w:val="000000"/>
          <w:sz w:val="24"/>
          <w:szCs w:val="24"/>
        </w:rPr>
        <w:t xml:space="preserve">CrediStep – 3.1 Contextualización del problema</w:t>
      </w:r>
    </w:p>
    <w:p>
      <w:pPr>
        <w:pStyle w:val="Heading1"/>
        <w:keepNext/>
        <w:spacing w:after="120" w:before="240"/>
      </w:pPr>
      <w:r>
        <w:rPr>
          <w:rFonts w:ascii="Times New Roman" w:cs="Times New Roman" w:eastAsia="Times New Roman" w:hAnsi="Times New Roman"/>
          <w:b/>
          <w:bCs/>
          <w:color w:val="000000"/>
          <w:sz w:val="24"/>
          <w:szCs w:val="24"/>
        </w:rPr>
        <w:t xml:space="preserve">1. ¿Cuál es el problema?</w:t>
      </w:r>
    </w:p>
    <w:p>
      <w:pPr>
        <w:spacing w:after="140" w:line="276"/>
      </w:pPr>
      <w:r>
        <w:rPr>
          <w:rFonts w:ascii="Times New Roman" w:cs="Times New Roman" w:eastAsia="Times New Roman" w:hAnsi="Times New Roman"/>
          <w:color w:val="000000"/>
          <w:sz w:val="24"/>
          <w:szCs w:val="24"/>
        </w:rPr>
        <w:t xml:space="preserve">Entre los 18 y los 25 años empezamos a recibir nuestros primeros ingresos y a tomar decisiones sobre ahorro, tarjetas y créditos. El problema es que casi nadie nos enseña cómo hacerlo bien: lo aprendemos de la familia, de las redes sociales o equivocándonos. Y esos errores pueden cerrarnos puertas más adelante, cuando necesitemos un crédito, una vivienda o financiación.</w:t>
      </w:r>
    </w:p>
    <w:p>
      <w:pPr>
        <w:pStyle w:val="Heading1"/>
        <w:keepNext/>
        <w:spacing w:after="120" w:before="240"/>
      </w:pPr>
      <w:r>
        <w:rPr>
          <w:rFonts w:ascii="Times New Roman" w:cs="Times New Roman" w:eastAsia="Times New Roman" w:hAnsi="Times New Roman"/>
          <w:b/>
          <w:bCs/>
          <w:color w:val="000000"/>
          <w:sz w:val="24"/>
          <w:szCs w:val="24"/>
        </w:rPr>
        <w:t xml:space="preserve">2. Lo que dicen los datos</w:t>
      </w:r>
    </w:p>
    <w:p>
      <w:pPr>
        <w:spacing w:after="140" w:line="276"/>
      </w:pPr>
      <w:r>
        <w:rPr>
          <w:rFonts w:ascii="Times New Roman" w:cs="Times New Roman" w:eastAsia="Times New Roman" w:hAnsi="Times New Roman"/>
          <w:color w:val="000000"/>
          <w:sz w:val="24"/>
          <w:szCs w:val="24"/>
        </w:rPr>
        <w:t xml:space="preserve">Según el Reporte de Inclusión Financiera 2024 de Banca de las Oportunidades y la Superintendencia Financiera, solo el 22,0 % de los jóvenes de 18 a 25 años tenía acceso a crédito en Colombia, frente al 35,5 % del promedio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Grupo de edad</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4"/>
                <w:szCs w:val="24"/>
              </w:rPr>
              <w:t xml:space="preserve">Acceso a crédito en 2024</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18 a 25 años</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22,0 %</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26 a 40 años</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37,5 %</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41 a 60 años</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41,8 %</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Promedio nacional</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4"/>
                <w:szCs w:val="24"/>
              </w:rPr>
              <w:t xml:space="preserve">35,5 %</w:t>
            </w:r>
          </w:p>
        </w:tc>
      </w:tr>
    </w:tbl>
    <w:p>
      <w:pPr>
        <w:spacing w:after="120"/>
      </w:pPr>
    </w:p>
    <w:p>
      <w:pPr>
        <w:spacing w:after="140" w:line="276"/>
      </w:pPr>
      <w:r>
        <w:rPr>
          <w:rFonts w:ascii="Times New Roman" w:cs="Times New Roman" w:eastAsia="Times New Roman" w:hAnsi="Times New Roman"/>
          <w:color w:val="000000"/>
          <w:sz w:val="24"/>
          <w:szCs w:val="24"/>
        </w:rPr>
        <w:t xml:space="preserve">No es algo de un solo año: BBVA Research reportó 22,3 % para este grupo en 2023 y Portafolio, 26,4 % en 2022. Además, los jóvenes sí usan productos financieros (en 2024 lideraron el uso activo de depósitos de bajo monto, con 81,8 %), pero llegan al crédito sin una guía. Según El Tiempo, cerca de 118.000 colombianos acceden por primera vez al crédito cada mes, sobre todo jóvenes de 18 a 28 años.</w:t>
      </w:r>
    </w:p>
    <w:p>
      <w:pPr>
        <w:spacing w:after="140" w:line="276"/>
      </w:pPr>
      <w:r>
        <w:rPr>
          <w:rFonts w:ascii="Times New Roman" w:cs="Times New Roman" w:eastAsia="Times New Roman" w:hAnsi="Times New Roman"/>
          <w:i/>
          <w:iCs/>
          <w:color w:val="000000"/>
          <w:sz w:val="24"/>
          <w:szCs w:val="24"/>
        </w:rPr>
        <w:t xml:space="preserve">Nota: el 35,5 % mide solo el crédito de entidades del sistema financiero; si se suma el sector real (telefonía, comercio), el acceso general sube a 50,5 %. El informe presenta el último grupo de edad como 41 a 60 años.</w:t>
      </w:r>
    </w:p>
    <w:p>
      <w:pPr>
        <w:pStyle w:val="Heading1"/>
        <w:keepNext/>
        <w:spacing w:after="120" w:before="240"/>
      </w:pPr>
      <w:r>
        <w:rPr>
          <w:rFonts w:ascii="Times New Roman" w:cs="Times New Roman" w:eastAsia="Times New Roman" w:hAnsi="Times New Roman"/>
          <w:b/>
          <w:bCs/>
          <w:color w:val="000000"/>
          <w:sz w:val="24"/>
          <w:szCs w:val="24"/>
        </w:rPr>
        <w:t xml:space="preserve">3. ¿A quién afecta?</w:t>
      </w:r>
    </w:p>
    <w:p>
      <w:pPr>
        <w:spacing w:after="140" w:line="276"/>
      </w:pPr>
      <w:r>
        <w:rPr>
          <w:rFonts w:ascii="Times New Roman" w:cs="Times New Roman" w:eastAsia="Times New Roman" w:hAnsi="Times New Roman"/>
          <w:color w:val="000000"/>
          <w:sz w:val="24"/>
          <w:szCs w:val="24"/>
        </w:rPr>
        <w:t xml:space="preserve">A jóvenes de 18 a 25 años que tienen su primer empleo o sus primeros ingresos, saben poco de finanzas, quieren independencia económica, quieren acceder a un crédito en el futuro y no saben por dónde empezar. No buscamos enseñar finanzas a todo el mundo, sino acompañar a quienes están empezando.</w:t>
      </w:r>
    </w:p>
    <w:p>
      <w:pPr>
        <w:pStyle w:val="Heading1"/>
        <w:keepNext/>
        <w:spacing w:after="120" w:before="240"/>
      </w:pPr>
      <w:r>
        <w:rPr>
          <w:rFonts w:ascii="Times New Roman" w:cs="Times New Roman" w:eastAsia="Times New Roman" w:hAnsi="Times New Roman"/>
          <w:b/>
          <w:bCs/>
          <w:color w:val="000000"/>
          <w:sz w:val="24"/>
          <w:szCs w:val="24"/>
        </w:rPr>
        <w:t xml:space="preserve">4. La oportunidad y nuestra propuesta</w:t>
      </w:r>
    </w:p>
    <w:p>
      <w:pPr>
        <w:spacing w:after="140" w:line="276"/>
      </w:pPr>
      <w:r>
        <w:rPr>
          <w:rFonts w:ascii="Times New Roman" w:cs="Times New Roman" w:eastAsia="Times New Roman" w:hAnsi="Times New Roman"/>
          <w:color w:val="000000"/>
          <w:sz w:val="24"/>
          <w:szCs w:val="24"/>
        </w:rPr>
        <w:t xml:space="preserve">Antes del primer gran crédito hay un espacio de tiempo en el que se pueden aprender hábitos y construir historial. Nos preguntamos: ¿qué pasaría si enseñáramos a construir el historial antes de necesitarlo? De ahí nace CrediStep, un GPS financiero para jóvenes que hace un diagnóstico de su situación, les propone una ruta personalizada, los acompaña con educación, metas y recordatorios, y les muestra su progreso. No les decimos qué comprar; les enseñamos cómo avanzar.</w:t>
      </w:r>
    </w:p>
    <w:p>
      <w:pPr>
        <w:pStyle w:val="Heading1"/>
        <w:keepNext/>
        <w:spacing w:after="120" w:before="240"/>
      </w:pPr>
      <w:r>
        <w:rPr>
          <w:rFonts w:ascii="Times New Roman" w:cs="Times New Roman" w:eastAsia="Times New Roman" w:hAnsi="Times New Roman"/>
          <w:b/>
          <w:bCs/>
          <w:color w:val="000000"/>
          <w:sz w:val="24"/>
          <w:szCs w:val="24"/>
        </w:rPr>
        <w:t xml:space="preserve">5. Fuentes consultadas</w:t>
      </w:r>
    </w:p>
    <w:p>
      <w:pPr>
        <w:spacing w:after="140" w:line="276"/>
      </w:pPr>
      <w:r>
        <w:rPr>
          <w:rFonts w:ascii="Times New Roman" w:cs="Times New Roman" w:eastAsia="Times New Roman" w:hAnsi="Times New Roman"/>
          <w:i/>
          <w:iCs/>
          <w:color w:val="000000"/>
          <w:sz w:val="24"/>
          <w:szCs w:val="24"/>
        </w:rPr>
        <w:t xml:space="preserve">Todas consultadas el 25 de octubre de 2026.</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Banca de las Oportunidades y Superintendencia Financiera de Colombia. Reporte de Inclusión Financiera 2024. https://www.bancadelasoportunidades.gov.co/sites/default/files/2025-05/BDO_RIF%202024_COMPLETO%201.pdf</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Superintendencia Financiera de Colombia. Para 2024, el 96,3 % de los colombianos adultos tenía al menos un producto de depósito o crédito. https://www.superfinanciera.gov.co/publicaciones/10115642/para-2024-el-963-de-los-colombianos-adultos-tenia-al-menos-un-producto-de-deposito-o-credito/</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BBVA Research Colombia (17 de junio de 2024). Colombia: inclusión financiera casi universal, pero con retos en inclusión crediticia. https://www.bbvaresearch.com/wp-content/uploads/2024/06/202406017_Columna_MC.pdf</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Portafolio. El acceso al crédito aumentó, pero queda mucho por hacer. https://www.portafolio.co/economia/finanzas/el-acceso-al-credito-aumento-pero-queda-mucho-por-hacer-segun-el-reporte-de-inclusion-financiera-de-la-superintendencia-financiera-y-la-banca-de-las-oportunidades-584342</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El Tiempo. Radiografía del crédito en Colombia: quiénes acceden por primera vez. https://www.eltiempo.com/economia/sector-financiero/radiografia-del-credito-en-colombia-quienes-acceden-por-primera-vez-y-como-lo-hacen-segun-el-nuevo-indice-de-creditizacion-3543589</w:t>
      </w:r>
    </w:p>
    <w:p>
      <w:pPr>
        <w:pStyle w:val="Heading1"/>
        <w:keepNext/>
        <w:spacing w:after="120" w:before="240"/>
      </w:pPr>
      <w:r>
        <w:rPr>
          <w:rFonts w:ascii="Times New Roman" w:cs="Times New Roman" w:eastAsia="Times New Roman" w:hAnsi="Times New Roman"/>
          <w:b/>
          <w:bCs/>
          <w:color w:val="000000"/>
          <w:sz w:val="24"/>
          <w:szCs w:val="24"/>
        </w:rPr>
        <w:t xml:space="preserve">6. Anexos</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Anexo A: diapositivas del primer pitch (PDF).</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Anexo B: guion del primer pitch (documento 3.2).</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Anexo C: Reporte de Inclusión Financiera 2024 en PDF.</w:t>
      </w:r>
    </w:p>
    <w:p>
      <w:pPr>
        <w:pStyle w:val="ListParagraph"/>
        <w:numPr>
          <w:ilvl w:val="0"/>
          <w:numId w:val="2"/>
        </w:numPr>
        <w:spacing w:after="80" w:line="276"/>
      </w:pPr>
      <w:r>
        <w:rPr>
          <w:rFonts w:ascii="Times New Roman" w:cs="Times New Roman" w:eastAsia="Times New Roman" w:hAnsi="Times New Roman"/>
          <w:color w:val="000000"/>
          <w:sz w:val="24"/>
          <w:szCs w:val="24"/>
        </w:rPr>
        <w:t xml:space="preserve">Anexo D: comunicado de la Superfinanciera con las cifras de 2024.</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Times New Roman" w:cs="Times New Roman" w:eastAsia="Times New Roman" w:hAnsi="Times New Roman"/>
      <w:b/>
      <w:bCs/>
      <w:color w:val="000000"/>
      <w:sz w:val="24"/>
      <w:szCs w:val="24"/>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Valentina</dc:creator>
  <cp:lastModifiedBy>Un-named</cp:lastModifiedBy>
  <cp:revision>1</cp:revision>
  <dcterms:created xsi:type="dcterms:W3CDTF">2026-10-26T01:48:14.250Z</dcterms:created>
  <dcterms:modified xsi:type="dcterms:W3CDTF">2026-10-26T01:48:14.250Z</dcterms:modified>
</cp:coreProperties>
</file>

<file path=docProps/custom.xml><?xml version="1.0" encoding="utf-8"?>
<Properties xmlns="http://schemas.openxmlformats.org/officeDocument/2006/custom-properties" xmlns:vt="http://schemas.openxmlformats.org/officeDocument/2006/docPropsVTypes"/>
</file>