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6A3" w:rsidRDefault="00CD5EEC">
      <w:pPr>
        <w:pStyle w:val="Title"/>
        <w:rPr>
          <w:b/>
          <w:color w:val="14415C" w:themeColor="accent3" w:themeShade="BF"/>
          <w:sz w:val="36"/>
          <w:szCs w:val="36"/>
        </w:rPr>
      </w:pPr>
      <w:r w:rsidRPr="00E15602">
        <w:rPr>
          <w:b/>
          <w:color w:val="14415C" w:themeColor="accent3" w:themeShade="BF"/>
          <w:sz w:val="36"/>
          <w:szCs w:val="36"/>
        </w:rPr>
        <w:t xml:space="preserve">Update on </w:t>
      </w:r>
      <w:r w:rsidR="00822006" w:rsidRPr="00E15602">
        <w:rPr>
          <w:b/>
          <w:color w:val="14415C" w:themeColor="accent3" w:themeShade="BF"/>
          <w:sz w:val="36"/>
          <w:szCs w:val="36"/>
        </w:rPr>
        <w:t>Eurodollar Convexity</w:t>
      </w:r>
    </w:p>
    <w:p w:rsidR="00E15602" w:rsidRPr="00A372AE" w:rsidRDefault="00E15602" w:rsidP="00E15602">
      <w:pPr>
        <w:rPr>
          <w:sz w:val="16"/>
          <w:szCs w:val="16"/>
        </w:rPr>
      </w:pPr>
    </w:p>
    <w:p w:rsidR="00E15602" w:rsidRDefault="000D40A0" w:rsidP="00E15602">
      <w:pPr>
        <w:pStyle w:val="ListParagraph"/>
        <w:numPr>
          <w:ilvl w:val="0"/>
          <w:numId w:val="16"/>
        </w:numPr>
      </w:pPr>
      <w:r>
        <w:t xml:space="preserve">The </w:t>
      </w:r>
      <w:r w:rsidR="00E15602">
        <w:t>Eurod</w:t>
      </w:r>
      <w:r w:rsidR="00B67488">
        <w:t>ollar futures convexity bias is the result of FRAs having a convex DV01 compared to the fixed $25/</w:t>
      </w:r>
      <w:proofErr w:type="spellStart"/>
      <w:r w:rsidR="00B67488">
        <w:t>bp</w:t>
      </w:r>
      <w:proofErr w:type="spellEnd"/>
      <w:r w:rsidR="00B67488">
        <w:t xml:space="preserve"> of a Eurodollar future.  In the middle of 2014 </w:t>
      </w:r>
      <w:r w:rsidR="001E2400">
        <w:t>t</w:t>
      </w:r>
      <w:r>
        <w:t xml:space="preserve">he </w:t>
      </w:r>
      <w:r w:rsidR="00B67488">
        <w:t>convexity bias hit highs beyond model predictions</w:t>
      </w:r>
      <w:r w:rsidR="008A606C">
        <w:t>,</w:t>
      </w:r>
      <w:r w:rsidR="00B67488">
        <w:t xml:space="preserve"> </w:t>
      </w:r>
      <w:r w:rsidR="008A606C">
        <w:t>while</w:t>
      </w:r>
      <w:r w:rsidR="004C5875">
        <w:t xml:space="preserve"> </w:t>
      </w:r>
      <w:r w:rsidR="00D066B1">
        <w:t>hav</w:t>
      </w:r>
      <w:r w:rsidR="004C5875">
        <w:t>ing</w:t>
      </w:r>
      <w:r w:rsidR="00D066B1">
        <w:t xml:space="preserve"> swung back partially</w:t>
      </w:r>
      <w:r w:rsidR="008A606C">
        <w:t>,</w:t>
      </w:r>
      <w:r w:rsidR="00B67488">
        <w:t xml:space="preserve"> </w:t>
      </w:r>
      <w:r w:rsidR="00D066B1">
        <w:t xml:space="preserve">remain </w:t>
      </w:r>
      <w:r w:rsidR="00B67488">
        <w:t>high compared to historical levels.  This was likely an early artifact of the CME being flooded with fixed payers</w:t>
      </w:r>
      <w:r>
        <w:t xml:space="preserve"> combined with OTC clearing margin requirements </w:t>
      </w:r>
      <w:r w:rsidR="00B67488">
        <w:t xml:space="preserve">which more recently manifested </w:t>
      </w:r>
      <w:r w:rsidR="001E2400">
        <w:t>themselves in</w:t>
      </w:r>
      <w:r w:rsidR="00B67488">
        <w:t xml:space="preserve"> the CME/LCH basis.</w:t>
      </w:r>
    </w:p>
    <w:p w:rsidR="00E15602" w:rsidRDefault="00B67488" w:rsidP="00E15602">
      <w:pPr>
        <w:pStyle w:val="ListParagraph"/>
        <w:numPr>
          <w:ilvl w:val="0"/>
          <w:numId w:val="16"/>
        </w:numPr>
      </w:pPr>
      <w:r>
        <w:t>To trade against the bias</w:t>
      </w:r>
      <w:r w:rsidR="00B324A6">
        <w:t xml:space="preserve"> execute</w:t>
      </w:r>
      <w:r>
        <w:t xml:space="preserve"> </w:t>
      </w:r>
      <w:r w:rsidR="000D40A0">
        <w:t>a long</w:t>
      </w:r>
      <w:r>
        <w:t xml:space="preserve"> ED future combined </w:t>
      </w:r>
      <w:r w:rsidR="00B324A6">
        <w:t>with pa</w:t>
      </w:r>
      <w:r>
        <w:t xml:space="preserve">yer </w:t>
      </w:r>
      <w:r w:rsidR="00A372AE">
        <w:t>FRA</w:t>
      </w:r>
      <w:r>
        <w:t xml:space="preserve"> hedge.</w:t>
      </w:r>
    </w:p>
    <w:p w:rsidR="000316A3" w:rsidRPr="00822006" w:rsidRDefault="00822006">
      <w:pPr>
        <w:pStyle w:val="Heading1"/>
        <w:rPr>
          <w:sz w:val="28"/>
          <w:szCs w:val="28"/>
        </w:rPr>
      </w:pPr>
      <w:r>
        <w:rPr>
          <w:sz w:val="28"/>
          <w:szCs w:val="28"/>
        </w:rPr>
        <w:t>Background</w:t>
      </w:r>
    </w:p>
    <w:p w:rsidR="000316A3" w:rsidRDefault="008D08A9">
      <w:r>
        <w:t xml:space="preserve">The convexity benefit of receiving fixed on a forward rate agreement (FRA) compared to </w:t>
      </w:r>
      <w:r w:rsidR="00CD31BF">
        <w:t>a long position in</w:t>
      </w:r>
      <w:r w:rsidR="003D59D9">
        <w:t xml:space="preserve"> </w:t>
      </w:r>
      <w:r w:rsidR="00CD31BF">
        <w:t>the equivalent</w:t>
      </w:r>
      <w:r>
        <w:t xml:space="preserve"> Eurodollar</w:t>
      </w:r>
      <w:r w:rsidR="003D59D9">
        <w:t xml:space="preserve"> (ED)</w:t>
      </w:r>
      <w:r>
        <w:t xml:space="preserve"> future</w:t>
      </w:r>
      <w:r w:rsidR="003D59D9">
        <w:t xml:space="preserve"> contract</w:t>
      </w:r>
      <w:r>
        <w:t xml:space="preserve"> is </w:t>
      </w:r>
      <w:r w:rsidR="003D59D9">
        <w:t>what is known as Eurodollar futures convexity.  An ED future contract has a defined</w:t>
      </w:r>
      <w:r w:rsidR="00CD31BF">
        <w:t xml:space="preserve"> DV01 of $25 per </w:t>
      </w:r>
      <w:proofErr w:type="spellStart"/>
      <w:r w:rsidR="00CD31BF">
        <w:t>bp</w:t>
      </w:r>
      <w:proofErr w:type="spellEnd"/>
      <w:r w:rsidR="00CD31BF">
        <w:t xml:space="preserve"> while a FRA’s payout will be convex.  Both instruments settle on what 3 month LIBOR will be in the future and therefore the valuation of this basis is instrumental in determining where to place your LIBOR risk.</w:t>
      </w:r>
    </w:p>
    <w:p w:rsidR="00CD5EEC" w:rsidRDefault="001C0BEB" w:rsidP="00CD5EEC">
      <w:r>
        <w:rPr>
          <w:noProof/>
          <w:lang w:eastAsia="en-US"/>
        </w:rPr>
        <w:drawing>
          <wp:anchor distT="0" distB="0" distL="114300" distR="114300" simplePos="0" relativeHeight="251658240" behindDoc="1" locked="0" layoutInCell="1" allowOverlap="1" wp14:anchorId="3F6B2BB4" wp14:editId="0D786499">
            <wp:simplePos x="0" y="0"/>
            <wp:positionH relativeFrom="column">
              <wp:posOffset>2736215</wp:posOffset>
            </wp:positionH>
            <wp:positionV relativeFrom="paragraph">
              <wp:posOffset>7620</wp:posOffset>
            </wp:positionV>
            <wp:extent cx="3451860" cy="1242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51860" cy="1242060"/>
                    </a:xfrm>
                    <a:prstGeom prst="rect">
                      <a:avLst/>
                    </a:prstGeom>
                  </pic:spPr>
                </pic:pic>
              </a:graphicData>
            </a:graphic>
            <wp14:sizeRelH relativeFrom="margin">
              <wp14:pctWidth>0</wp14:pctWidth>
            </wp14:sizeRelH>
            <wp14:sizeRelV relativeFrom="margin">
              <wp14:pctHeight>0</wp14:pctHeight>
            </wp14:sizeRelV>
          </wp:anchor>
        </w:drawing>
      </w:r>
      <w:r w:rsidR="00CD5EEC">
        <w:t xml:space="preserve">Table 1 shows the positive convex profile of a receiver FRA vs a short ED future position starting in 5 years.  </w:t>
      </w:r>
      <w:r w:rsidR="00CA6169">
        <w:t>A</w:t>
      </w:r>
      <w:r w:rsidR="00CD5EEC">
        <w:t xml:space="preserve">ssumption </w:t>
      </w:r>
      <w:r w:rsidR="00CA6169">
        <w:t>made that</w:t>
      </w:r>
      <w:r w:rsidR="00CD5EEC">
        <w:t xml:space="preserve"> the FRA and ED rate will move </w:t>
      </w:r>
      <w:r w:rsidR="00CA6169">
        <w:t>together</w:t>
      </w:r>
      <w:r w:rsidR="00CD5EEC">
        <w:t xml:space="preserve"> </w:t>
      </w:r>
      <w:r w:rsidR="001E2400">
        <w:t>through</w:t>
      </w:r>
      <w:r w:rsidR="00CD5EEC">
        <w:t xml:space="preserve"> parallel</w:t>
      </w:r>
      <w:r w:rsidR="00E9205A">
        <w:t xml:space="preserve"> shifts and </w:t>
      </w:r>
      <w:r w:rsidR="001E2400">
        <w:t>have been struck at the same level</w:t>
      </w:r>
      <w:r w:rsidR="00E9205A">
        <w:t>.</w:t>
      </w:r>
      <w:r w:rsidR="001E2400">
        <w:t xml:space="preserve">  </w:t>
      </w:r>
      <w:r w:rsidR="00B915F6">
        <w:t>The market</w:t>
      </w:r>
      <w:r w:rsidR="001E2400">
        <w:t>place</w:t>
      </w:r>
      <w:r w:rsidR="00B915F6">
        <w:t xml:space="preserve"> prices in this profitable hedge trade by bidding down Eurodollar prices lower then would be expected </w:t>
      </w:r>
      <w:r w:rsidR="001E2400">
        <w:t>from</w:t>
      </w:r>
      <w:r w:rsidR="00B915F6">
        <w:t xml:space="preserve"> </w:t>
      </w:r>
      <w:r w:rsidR="00F66FF6">
        <w:t xml:space="preserve">implied </w:t>
      </w:r>
      <w:r w:rsidR="00B915F6">
        <w:t>forwards from swaps.</w:t>
      </w:r>
      <w:r w:rsidR="00F66FF6">
        <w:t xml:space="preserve">  You have to “overpay” for the future hedge to take advantage of the convex nature of the trade.</w:t>
      </w:r>
    </w:p>
    <w:p w:rsidR="00E83A7E" w:rsidRDefault="00A372AE" w:rsidP="007F43C7">
      <w:pPr>
        <w:rPr>
          <w:noProof/>
          <w:lang w:eastAsia="en-US"/>
        </w:rPr>
      </w:pPr>
      <w:r>
        <w:rPr>
          <w:noProof/>
          <w:lang w:eastAsia="en-US"/>
        </w:rPr>
        <w:drawing>
          <wp:anchor distT="0" distB="0" distL="114300" distR="114300" simplePos="0" relativeHeight="251661312" behindDoc="0" locked="0" layoutInCell="1" allowOverlap="1">
            <wp:simplePos x="0" y="0"/>
            <wp:positionH relativeFrom="margin">
              <wp:align>left</wp:align>
            </wp:positionH>
            <wp:positionV relativeFrom="paragraph">
              <wp:posOffset>1905</wp:posOffset>
            </wp:positionV>
            <wp:extent cx="2164715" cy="1249680"/>
            <wp:effectExtent l="0" t="0" r="698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64715" cy="1249680"/>
                    </a:xfrm>
                    <a:prstGeom prst="rect">
                      <a:avLst/>
                    </a:prstGeom>
                  </pic:spPr>
                </pic:pic>
              </a:graphicData>
            </a:graphic>
            <wp14:sizeRelH relativeFrom="margin">
              <wp14:pctWidth>0</wp14:pctWidth>
            </wp14:sizeRelH>
            <wp14:sizeRelV relativeFrom="margin">
              <wp14:pctHeight>0</wp14:pctHeight>
            </wp14:sizeRelV>
          </wp:anchor>
        </w:drawing>
      </w:r>
      <w:r w:rsidR="007F43C7">
        <w:t xml:space="preserve">Historically </w:t>
      </w:r>
      <w:r w:rsidR="00B479C6">
        <w:t xml:space="preserve">the </w:t>
      </w:r>
      <w:r w:rsidR="005914F2">
        <w:t>convexity adjustment has been dealt with through models such as ho-lee and hull-white.  In May 2014 there was a break to th</w:t>
      </w:r>
      <w:r w:rsidR="00663083">
        <w:t>e model implied convexity level which was implying an adjustment lower then seen in the market.</w:t>
      </w:r>
      <w:r w:rsidR="00F66FF6">
        <w:t xml:space="preserve">  </w:t>
      </w:r>
      <w:r w:rsidR="00E83A7E">
        <w:rPr>
          <w:noProof/>
          <w:lang w:eastAsia="en-US"/>
        </w:rPr>
        <w:t xml:space="preserve">Table </w:t>
      </w:r>
      <w:r w:rsidR="00B324A6">
        <w:rPr>
          <w:noProof/>
          <w:lang w:eastAsia="en-US"/>
        </w:rPr>
        <w:t>2 shows that in May 2014 the convexity bias hit new highs comapred to 201</w:t>
      </w:r>
      <w:r w:rsidR="00F66FF6">
        <w:rPr>
          <w:noProof/>
          <w:lang w:eastAsia="en-US"/>
        </w:rPr>
        <w:t>3</w:t>
      </w:r>
      <w:r w:rsidR="00B324A6">
        <w:rPr>
          <w:noProof/>
          <w:lang w:eastAsia="en-US"/>
        </w:rPr>
        <w:t xml:space="preserve">.  The bias did </w:t>
      </w:r>
      <w:r w:rsidR="00F66FF6">
        <w:rPr>
          <w:noProof/>
          <w:lang w:eastAsia="en-US"/>
        </w:rPr>
        <w:t xml:space="preserve">slightly </w:t>
      </w:r>
      <w:r w:rsidR="00B324A6">
        <w:rPr>
          <w:noProof/>
          <w:lang w:eastAsia="en-US"/>
        </w:rPr>
        <w:t>nomralize in the following months but since has remained at elevated levels.</w:t>
      </w:r>
    </w:p>
    <w:p w:rsidR="00822006" w:rsidRPr="00822006" w:rsidRDefault="00E9205A" w:rsidP="00822006">
      <w:pPr>
        <w:pStyle w:val="Heading1"/>
        <w:rPr>
          <w:sz w:val="28"/>
          <w:szCs w:val="28"/>
        </w:rPr>
      </w:pPr>
      <w:r>
        <w:rPr>
          <w:sz w:val="28"/>
          <w:szCs w:val="28"/>
        </w:rPr>
        <w:t>Causes</w:t>
      </w:r>
    </w:p>
    <w:p w:rsidR="00B03A9B" w:rsidRDefault="00F66FF6" w:rsidP="00822006">
      <w:r>
        <w:t>Volatility has historically been the driver of</w:t>
      </w:r>
      <w:r w:rsidR="00013EBB">
        <w:t xml:space="preserve"> movement in</w:t>
      </w:r>
      <w:r>
        <w:t xml:space="preserve"> </w:t>
      </w:r>
      <w:r w:rsidR="00013EBB">
        <w:t xml:space="preserve">the </w:t>
      </w:r>
      <w:r>
        <w:t>convexity bias.  In periods of low vol</w:t>
      </w:r>
      <w:r w:rsidR="00013EBB">
        <w:t>atility</w:t>
      </w:r>
      <w:r>
        <w:t xml:space="preserve"> there would be little </w:t>
      </w:r>
      <w:r w:rsidR="00013EBB">
        <w:t>benefit</w:t>
      </w:r>
      <w:r>
        <w:t xml:space="preserve"> for the trade in table 1 which would push futures closer to the implied forwards from swaps.  </w:t>
      </w:r>
      <w:r w:rsidR="00B03A9B">
        <w:t xml:space="preserve">Table 3 shows the 30 day realized volatility of the reds, greens and blues </w:t>
      </w:r>
      <w:r w:rsidR="00BE3A72">
        <w:lastRenderedPageBreak/>
        <w:t>throughout the past two years</w:t>
      </w:r>
      <w:r w:rsidR="00B03A9B">
        <w:t xml:space="preserve">.  Clearly the </w:t>
      </w:r>
      <w:r>
        <w:t>increased convexity bias</w:t>
      </w:r>
      <w:r w:rsidR="00B03A9B">
        <w:t xml:space="preserve"> seen here is not explainable by a </w:t>
      </w:r>
      <w:r w:rsidR="001C0BEB">
        <w:rPr>
          <w:noProof/>
          <w:lang w:eastAsia="en-US"/>
        </w:rPr>
        <w:drawing>
          <wp:anchor distT="0" distB="0" distL="114300" distR="114300" simplePos="0" relativeHeight="251660288" behindDoc="0" locked="0" layoutInCell="1" allowOverlap="1" wp14:anchorId="18DB2D15" wp14:editId="2B5D4F67">
            <wp:simplePos x="0" y="0"/>
            <wp:positionH relativeFrom="margin">
              <wp:posOffset>-635</wp:posOffset>
            </wp:positionH>
            <wp:positionV relativeFrom="paragraph">
              <wp:posOffset>472440</wp:posOffset>
            </wp:positionV>
            <wp:extent cx="2369185" cy="10134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69185" cy="1013460"/>
                    </a:xfrm>
                    <a:prstGeom prst="rect">
                      <a:avLst/>
                    </a:prstGeom>
                  </pic:spPr>
                </pic:pic>
              </a:graphicData>
            </a:graphic>
            <wp14:sizeRelH relativeFrom="margin">
              <wp14:pctWidth>0</wp14:pctWidth>
            </wp14:sizeRelH>
            <wp14:sizeRelV relativeFrom="margin">
              <wp14:pctHeight>0</wp14:pctHeight>
            </wp14:sizeRelV>
          </wp:anchor>
        </w:drawing>
      </w:r>
      <w:r w:rsidR="00B03A9B">
        <w:t xml:space="preserve">systemic shift in vol.  This can also be </w:t>
      </w:r>
      <w:r w:rsidR="00013EBB">
        <w:t>seen in</w:t>
      </w:r>
      <w:r w:rsidR="00B03A9B">
        <w:t xml:space="preserve"> the </w:t>
      </w:r>
      <w:r w:rsidR="00BE3A72">
        <w:t xml:space="preserve">cap/floor market.  </w:t>
      </w:r>
    </w:p>
    <w:p w:rsidR="00600A9C" w:rsidRDefault="001E2400" w:rsidP="00CD5EEC">
      <w:r>
        <w:t>T</w:t>
      </w:r>
      <w:r w:rsidR="00013EBB">
        <w:t xml:space="preserve">he convexity bias expansion </w:t>
      </w:r>
      <w:r>
        <w:t>looks to be</w:t>
      </w:r>
      <w:r w:rsidR="00013EBB">
        <w:t xml:space="preserve"> an early artifact of the fixed payer supply from asset managers</w:t>
      </w:r>
      <w:r w:rsidR="005B7882">
        <w:t xml:space="preserve"> seen on the CME</w:t>
      </w:r>
      <w:r w:rsidR="00013EBB">
        <w:t xml:space="preserve">.  </w:t>
      </w:r>
      <w:r w:rsidR="001C0BEB">
        <w:t>This supply</w:t>
      </w:r>
      <w:r w:rsidR="005B7882">
        <w:t xml:space="preserve"> has </w:t>
      </w:r>
      <w:r w:rsidR="001C0BEB">
        <w:t>manifested recently with the CME/LCH basis and it is logical to assume the asset managers would have hit Eurodollar futures first, pushing the prices of EDs down, raising rates further away from the swap curve.</w:t>
      </w:r>
    </w:p>
    <w:p w:rsidR="001C0BEB" w:rsidRDefault="001C0BEB" w:rsidP="00CD5EEC">
      <w:r>
        <w:t xml:space="preserve">The dealer community is likely having trouble </w:t>
      </w:r>
      <w:r w:rsidR="00BF7878">
        <w:t>shorting</w:t>
      </w:r>
      <w:r>
        <w:t xml:space="preserve"> the basis due to two factors.  The first</w:t>
      </w:r>
      <w:r w:rsidR="00B479C6">
        <w:t xml:space="preserve">, </w:t>
      </w:r>
      <w:r w:rsidR="00BF7878">
        <w:t>to take advantage of portfolio margining one needs to execute</w:t>
      </w:r>
      <w:r>
        <w:t xml:space="preserve"> the hedge FRA or swap on the CME but</w:t>
      </w:r>
      <w:r w:rsidR="00BF7878">
        <w:t xml:space="preserve"> secondly</w:t>
      </w:r>
      <w:r>
        <w:t xml:space="preserve"> to do so you need to find a counter party </w:t>
      </w:r>
      <w:r w:rsidR="00BF7878">
        <w:t>willing to</w:t>
      </w:r>
      <w:r>
        <w:t xml:space="preserve"> receive fixed which is in short supply on the</w:t>
      </w:r>
      <w:r w:rsidR="00BF7878">
        <w:t xml:space="preserve"> CME, hence the appearance of the CME/LCH basis.  </w:t>
      </w:r>
    </w:p>
    <w:p w:rsidR="00822006" w:rsidRPr="00822006" w:rsidRDefault="00DF1E0C" w:rsidP="00822006">
      <w:pPr>
        <w:pStyle w:val="Heading1"/>
        <w:rPr>
          <w:sz w:val="28"/>
          <w:szCs w:val="28"/>
        </w:rPr>
      </w:pPr>
      <w:r>
        <w:rPr>
          <w:sz w:val="28"/>
          <w:szCs w:val="28"/>
        </w:rPr>
        <w:t>Mechanics of the</w:t>
      </w:r>
      <w:r w:rsidR="00822006">
        <w:rPr>
          <w:sz w:val="28"/>
          <w:szCs w:val="28"/>
        </w:rPr>
        <w:t xml:space="preserve"> </w:t>
      </w:r>
      <w:r>
        <w:rPr>
          <w:sz w:val="28"/>
          <w:szCs w:val="28"/>
        </w:rPr>
        <w:t>Trade</w:t>
      </w:r>
    </w:p>
    <w:p w:rsidR="00822006" w:rsidRDefault="009F3943" w:rsidP="00822006">
      <w:r>
        <w:t>T</w:t>
      </w:r>
      <w:r w:rsidR="00BF7878">
        <w:t>able</w:t>
      </w:r>
      <w:r>
        <w:t xml:space="preserve"> 4</w:t>
      </w:r>
      <w:r w:rsidR="00BF7878">
        <w:t xml:space="preserve"> walk</w:t>
      </w:r>
      <w:r w:rsidR="004F5288">
        <w:t>s</w:t>
      </w:r>
      <w:r w:rsidR="00BF7878">
        <w:t xml:space="preserve"> throug</w:t>
      </w:r>
      <w:r w:rsidR="004F5288">
        <w:t>h the execution, bid/offer and m</w:t>
      </w:r>
      <w:r w:rsidR="00BF7878">
        <w:t xml:space="preserve">argin requirements </w:t>
      </w:r>
      <w:r w:rsidR="004F5288">
        <w:t xml:space="preserve">of the </w:t>
      </w:r>
      <w:r w:rsidR="00BF7878">
        <w:t>short convexity bias trade</w:t>
      </w:r>
      <w:r w:rsidR="000E54CF">
        <w:t xml:space="preserve"> based on a 3yr future and FRA</w:t>
      </w:r>
      <w:r w:rsidR="00BF7878">
        <w:t xml:space="preserve">. </w:t>
      </w:r>
      <w:r w:rsidR="00A36ADB">
        <w:t xml:space="preserve"> Note </w:t>
      </w:r>
      <w:r>
        <w:t>the below</w:t>
      </w:r>
      <w:r w:rsidR="00A36ADB">
        <w:t xml:space="preserve"> </w:t>
      </w:r>
      <w:r w:rsidR="001E2400">
        <w:t>points</w:t>
      </w:r>
      <w:r w:rsidR="004F5288">
        <w:t>:</w:t>
      </w:r>
    </w:p>
    <w:p w:rsidR="007A5DAC" w:rsidRDefault="00A36ADB" w:rsidP="00F04436">
      <w:pPr>
        <w:pStyle w:val="ListParagraph"/>
        <w:numPr>
          <w:ilvl w:val="0"/>
          <w:numId w:val="17"/>
        </w:numPr>
      </w:pPr>
      <w:r>
        <w:t xml:space="preserve">This is a hold to maturity trade, </w:t>
      </w:r>
      <w:r w:rsidR="001E2400">
        <w:t>at</w:t>
      </w:r>
      <w:r>
        <w:t xml:space="preserve"> </w:t>
      </w:r>
      <w:r w:rsidR="001E2400">
        <w:t>se</w:t>
      </w:r>
      <w:r>
        <w:t>ttlement both sides of this trade converge to spot 3m LIBOR.</w:t>
      </w:r>
      <w:r w:rsidR="004F5288">
        <w:t xml:space="preserve">  </w:t>
      </w:r>
      <w:r w:rsidR="001E2400">
        <w:t>Th</w:t>
      </w:r>
      <w:r w:rsidR="00DF1E0C">
        <w:t>e</w:t>
      </w:r>
      <w:r w:rsidR="001E2400">
        <w:t xml:space="preserve"> expected </w:t>
      </w:r>
      <w:proofErr w:type="spellStart"/>
      <w:r w:rsidR="001E2400">
        <w:t>PnL</w:t>
      </w:r>
      <w:proofErr w:type="spellEnd"/>
      <w:r w:rsidR="001E2400">
        <w:t xml:space="preserve"> will be the </w:t>
      </w:r>
      <w:r w:rsidR="009F3943">
        <w:t xml:space="preserve">initial future – FRA </w:t>
      </w:r>
      <w:r w:rsidR="001E2400">
        <w:t>spread</w:t>
      </w:r>
      <w:r w:rsidR="00DF1E0C">
        <w:t xml:space="preserve"> minus the convexity losses</w:t>
      </w:r>
      <w:r w:rsidR="007E1658">
        <w:t xml:space="preserve"> suffered by mismatched hedging throughout the life of the trade</w:t>
      </w:r>
      <w:r w:rsidR="001E2400">
        <w:t>.</w:t>
      </w:r>
      <w:r w:rsidR="007E1658">
        <w:t xml:space="preserve">  </w:t>
      </w:r>
      <w:r w:rsidR="007A5DAC">
        <w:t>These losses are suffered as one needs to rebalance the futures hedge throughout the life of the trade.  For example, when rates move up, discount factors move down which requires selling futures.</w:t>
      </w:r>
    </w:p>
    <w:p w:rsidR="004F5288" w:rsidRDefault="007E1658" w:rsidP="00F04436">
      <w:pPr>
        <w:pStyle w:val="ListParagraph"/>
        <w:numPr>
          <w:ilvl w:val="0"/>
          <w:numId w:val="17"/>
        </w:numPr>
      </w:pPr>
      <w:r>
        <w:t xml:space="preserve">The optimum hedge for the FRA position ($100mm) is not $100mm worth of ED futures due to </w:t>
      </w:r>
      <w:r w:rsidR="009F3943">
        <w:t xml:space="preserve">mismatched DV01.  </w:t>
      </w:r>
      <w:r>
        <w:t xml:space="preserve">The DV01 of this FRA </w:t>
      </w:r>
      <w:r w:rsidR="009F3943">
        <w:t>is</w:t>
      </w:r>
      <w:r>
        <w:t xml:space="preserve"> roughly $2,400</w:t>
      </w:r>
      <w:r w:rsidR="009F3943">
        <w:t>,</w:t>
      </w:r>
      <w:r w:rsidR="007A5DAC">
        <w:t xml:space="preserve"> </w:t>
      </w:r>
      <w:r w:rsidR="009F3943">
        <w:t>t</w:t>
      </w:r>
      <w:r>
        <w:t xml:space="preserve">o delta hedge you would long 96 future contracts.  </w:t>
      </w:r>
      <w:r w:rsidR="007A5DAC">
        <w:t xml:space="preserve">Below shows the hedge ratio </w:t>
      </w:r>
      <w:r w:rsidR="009F3943">
        <w:t>with different parallel</w:t>
      </w:r>
      <w:r w:rsidR="007A5DAC">
        <w:t xml:space="preserve"> parallel shift</w:t>
      </w:r>
      <w:r w:rsidR="009F3943">
        <w:t>s to the curve</w:t>
      </w:r>
      <w:r w:rsidR="007A5DAC">
        <w:t>:</w:t>
      </w:r>
    </w:p>
    <w:p w:rsidR="007E1658" w:rsidRDefault="007A5DAC" w:rsidP="007A5DAC">
      <w:pPr>
        <w:ind w:left="720"/>
        <w:jc w:val="center"/>
      </w:pPr>
      <w:r>
        <w:rPr>
          <w:noProof/>
          <w:lang w:eastAsia="en-US"/>
        </w:rPr>
        <w:drawing>
          <wp:inline distT="0" distB="0" distL="0" distR="0" wp14:anchorId="36156389" wp14:editId="753468F7">
            <wp:extent cx="4541520" cy="330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1025" cy="340346"/>
                    </a:xfrm>
                    <a:prstGeom prst="rect">
                      <a:avLst/>
                    </a:prstGeom>
                  </pic:spPr>
                </pic:pic>
              </a:graphicData>
            </a:graphic>
          </wp:inline>
        </w:drawing>
      </w:r>
    </w:p>
    <w:p w:rsidR="00A36ADB" w:rsidRDefault="00A36ADB" w:rsidP="00F04436">
      <w:pPr>
        <w:pStyle w:val="ListParagraph"/>
        <w:numPr>
          <w:ilvl w:val="0"/>
          <w:numId w:val="17"/>
        </w:numPr>
      </w:pPr>
      <w:r>
        <w:t xml:space="preserve">CME’s portfolio margining is a requirement here as split margin with LCH will reduce the return but you </w:t>
      </w:r>
      <w:r w:rsidR="004F5288">
        <w:t>pay for that right with</w:t>
      </w:r>
      <w:r>
        <w:t xml:space="preserve"> a </w:t>
      </w:r>
      <w:r w:rsidR="00DF1E0C">
        <w:t>~</w:t>
      </w:r>
      <w:r>
        <w:t xml:space="preserve">1bp </w:t>
      </w:r>
      <w:r w:rsidR="00DF1E0C">
        <w:t>loss</w:t>
      </w:r>
      <w:r w:rsidR="004F5288">
        <w:t xml:space="preserve"> </w:t>
      </w:r>
      <w:r>
        <w:t xml:space="preserve">to the CME/LCH basis – which will converge to zero </w:t>
      </w:r>
      <w:r w:rsidR="001E2400">
        <w:t>at settlement</w:t>
      </w:r>
      <w:r>
        <w:t xml:space="preserve">.  </w:t>
      </w:r>
      <w:r w:rsidR="001E2400">
        <w:t xml:space="preserve">FRA margin </w:t>
      </w:r>
      <w:r w:rsidR="009F3943">
        <w:t>assumed to be slightly higher</w:t>
      </w:r>
      <w:r w:rsidR="001E2400">
        <w:t xml:space="preserve"> </w:t>
      </w:r>
      <w:r w:rsidR="009F3943">
        <w:t xml:space="preserve">than </w:t>
      </w:r>
      <w:r w:rsidR="001E2400">
        <w:t>the future</w:t>
      </w:r>
      <w:r w:rsidR="009F3943">
        <w:t>s</w:t>
      </w:r>
      <w:r w:rsidR="00DF1E0C">
        <w:t xml:space="preserve"> </w:t>
      </w:r>
      <w:r w:rsidR="009F3943">
        <w:t>margin</w:t>
      </w:r>
      <w:r w:rsidR="001E2400">
        <w:t>.</w:t>
      </w:r>
    </w:p>
    <w:p w:rsidR="00A372AE" w:rsidRDefault="00A372AE" w:rsidP="00A36ADB">
      <w:pPr>
        <w:pStyle w:val="ListParagraph"/>
        <w:numPr>
          <w:ilvl w:val="0"/>
          <w:numId w:val="17"/>
        </w:numPr>
      </w:pPr>
      <w:r>
        <w:t>The FRA</w:t>
      </w:r>
      <w:r w:rsidR="009F3943">
        <w:t>-Future</w:t>
      </w:r>
      <w:r>
        <w:t xml:space="preserve"> convexity will cause </w:t>
      </w:r>
      <w:r w:rsidR="00DF1E0C">
        <w:t xml:space="preserve">actual </w:t>
      </w:r>
      <w:r>
        <w:t>loses post day one</w:t>
      </w:r>
      <w:r w:rsidR="004F5288">
        <w:t xml:space="preserve"> </w:t>
      </w:r>
      <w:r>
        <w:t xml:space="preserve">and </w:t>
      </w:r>
      <w:r w:rsidR="008B3FB1">
        <w:t xml:space="preserve">reduce </w:t>
      </w:r>
      <w:proofErr w:type="spellStart"/>
      <w:r w:rsidR="008B3FB1">
        <w:t>PnL</w:t>
      </w:r>
      <w:proofErr w:type="spellEnd"/>
      <w:r>
        <w:t xml:space="preserve">.  </w:t>
      </w:r>
      <w:r w:rsidR="004F5288">
        <w:t xml:space="preserve">The chart below runs a </w:t>
      </w:r>
      <w:r w:rsidR="001E2400">
        <w:t>back test</w:t>
      </w:r>
      <w:r w:rsidR="004F5288">
        <w:t xml:space="preserve"> on th</w:t>
      </w:r>
      <w:r w:rsidR="00DF1E0C">
        <w:t>is trade throughout August</w:t>
      </w:r>
      <w:r w:rsidR="008B3FB1">
        <w:t xml:space="preserve"> and</w:t>
      </w:r>
      <w:r w:rsidR="00DF1E0C">
        <w:t xml:space="preserve"> S</w:t>
      </w:r>
      <w:r w:rsidR="004F5288">
        <w:t>eptember</w:t>
      </w:r>
      <w:r w:rsidR="008B3FB1">
        <w:t xml:space="preserve"> </w:t>
      </w:r>
      <w:r w:rsidR="00DF1E0C">
        <w:t>on the Dec18 futures contract.</w:t>
      </w:r>
      <w:r w:rsidR="004F5288">
        <w:t xml:space="preserve"> </w:t>
      </w:r>
      <w:r w:rsidR="00DF1E0C">
        <w:t xml:space="preserve"> N</w:t>
      </w:r>
      <w:r w:rsidR="004F5288">
        <w:t>ot</w:t>
      </w:r>
      <w:r w:rsidR="001E2400">
        <w:t>e</w:t>
      </w:r>
      <w:r w:rsidR="004F5288">
        <w:t xml:space="preserve"> the negative </w:t>
      </w:r>
      <w:r w:rsidR="001E2400">
        <w:t>convexity of the p</w:t>
      </w:r>
      <w:r w:rsidR="004F5288">
        <w:t>ay</w:t>
      </w:r>
      <w:r w:rsidR="001E2400">
        <w:t>er</w:t>
      </w:r>
      <w:r w:rsidR="004F5288">
        <w:t xml:space="preserve"> FRA.  For this test</w:t>
      </w:r>
      <w:r w:rsidR="00DF1E0C">
        <w:t xml:space="preserve"> I am assuming the bias has not changed during this period</w:t>
      </w:r>
      <w:r w:rsidR="004F5288">
        <w:t xml:space="preserve"> which is not guaranteed.</w:t>
      </w:r>
    </w:p>
    <w:p w:rsidR="00A372AE" w:rsidRDefault="008B3FB1" w:rsidP="00A36ADB">
      <w:pPr>
        <w:pStyle w:val="ListParagraph"/>
        <w:numPr>
          <w:ilvl w:val="0"/>
          <w:numId w:val="17"/>
        </w:numPr>
      </w:pPr>
      <w:proofErr w:type="spellStart"/>
      <w:r>
        <w:t>PnL</w:t>
      </w:r>
      <w:proofErr w:type="spellEnd"/>
      <w:r w:rsidR="00CB643F">
        <w:t xml:space="preserve"> </w:t>
      </w:r>
      <w:r w:rsidR="00CB643F">
        <w:t>of this trade</w:t>
      </w:r>
      <w:r w:rsidR="00CB643F">
        <w:t>, which will be driven by the future-FRA spread,</w:t>
      </w:r>
      <w:r>
        <w:t xml:space="preserve"> depends on the volatility of the forward </w:t>
      </w:r>
      <w:r w:rsidR="009F3943">
        <w:t>rate</w:t>
      </w:r>
      <w:r>
        <w:t xml:space="preserve">.  Higher volatility will mean less profit as a 50bp move today would equal a loss of roughly $600.  </w:t>
      </w:r>
      <w:r w:rsidR="00CB643F">
        <w:t>This trade is long ED futures, when rates move higher, discount factors move lower and you need to sell part of the hedge at a loss.  T</w:t>
      </w:r>
      <w:r>
        <w:t>able 4 assumes a similar environment as seen the past few months</w:t>
      </w:r>
      <w:r w:rsidR="00CB643F">
        <w:t xml:space="preserve"> and extrapolates the estimated cost for this position.</w:t>
      </w:r>
    </w:p>
    <w:p w:rsidR="008B3FB1" w:rsidRDefault="00803CB1" w:rsidP="007A5DAC">
      <w:r>
        <w:rPr>
          <w:noProof/>
          <w:lang w:eastAsia="en-US"/>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0</wp:posOffset>
            </wp:positionV>
            <wp:extent cx="2793365" cy="2621280"/>
            <wp:effectExtent l="0" t="0" r="6985" b="7620"/>
            <wp:wrapTight wrapText="bothSides">
              <wp:wrapPolygon edited="0">
                <wp:start x="0" y="0"/>
                <wp:lineTo x="0" y="21506"/>
                <wp:lineTo x="21507" y="21506"/>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93365" cy="2621280"/>
                    </a:xfrm>
                    <a:prstGeom prst="rect">
                      <a:avLst/>
                    </a:prstGeom>
                  </pic:spPr>
                </pic:pic>
              </a:graphicData>
            </a:graphic>
            <wp14:sizeRelH relativeFrom="margin">
              <wp14:pctWidth>0</wp14:pctWidth>
            </wp14:sizeRelH>
            <wp14:sizeRelV relativeFrom="margin">
              <wp14:pctHeight>0</wp14:pctHeight>
            </wp14:sizeRelV>
          </wp:anchor>
        </w:drawing>
      </w:r>
      <w:r w:rsidR="007A5DAC">
        <w:rPr>
          <w:noProof/>
          <w:lang w:eastAsia="en-US"/>
        </w:rPr>
        <w:drawing>
          <wp:inline distT="0" distB="0" distL="0" distR="0" wp14:anchorId="5BDADB90" wp14:editId="76261700">
            <wp:extent cx="3024730" cy="19050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9318" cy="1970870"/>
                    </a:xfrm>
                    <a:prstGeom prst="rect">
                      <a:avLst/>
                    </a:prstGeom>
                  </pic:spPr>
                </pic:pic>
              </a:graphicData>
            </a:graphic>
          </wp:inline>
        </w:drawing>
      </w:r>
    </w:p>
    <w:p w:rsidR="00803CB1" w:rsidRDefault="00803CB1" w:rsidP="007A5DAC"/>
    <w:p w:rsidR="00803CB1" w:rsidRDefault="00803CB1" w:rsidP="007A5DAC"/>
    <w:p w:rsidR="00622BAE" w:rsidRDefault="00622BAE" w:rsidP="007A5DAC"/>
    <w:p w:rsidR="00822006" w:rsidRDefault="009F3943" w:rsidP="00822006">
      <w:pPr>
        <w:pStyle w:val="Heading1"/>
        <w:rPr>
          <w:sz w:val="28"/>
          <w:szCs w:val="28"/>
        </w:rPr>
      </w:pPr>
      <w:r>
        <w:rPr>
          <w:sz w:val="28"/>
          <w:szCs w:val="28"/>
        </w:rPr>
        <w:t>C</w:t>
      </w:r>
      <w:r w:rsidR="00A372AE">
        <w:rPr>
          <w:sz w:val="28"/>
          <w:szCs w:val="28"/>
        </w:rPr>
        <w:t>onclusion</w:t>
      </w:r>
    </w:p>
    <w:p w:rsidR="00822006" w:rsidRDefault="00A372AE" w:rsidP="005914F2">
      <w:r>
        <w:t>The convexity bias increase seen in the middle of 2014</w:t>
      </w:r>
      <w:r w:rsidR="00010251">
        <w:t>,</w:t>
      </w:r>
      <w:r>
        <w:t xml:space="preserve"> </w:t>
      </w:r>
      <w:r w:rsidR="001E2400">
        <w:t>though since reduced</w:t>
      </w:r>
      <w:r w:rsidR="00010251">
        <w:t>,</w:t>
      </w:r>
      <w:r w:rsidR="001E2400">
        <w:t xml:space="preserve"> </w:t>
      </w:r>
      <w:r>
        <w:t xml:space="preserve">looks to </w:t>
      </w:r>
      <w:r w:rsidR="001E2400">
        <w:t>be a feature of the marketplace.  This is</w:t>
      </w:r>
      <w:r>
        <w:t xml:space="preserve"> likely driven by the fixed rate payers on the asset management side</w:t>
      </w:r>
      <w:r w:rsidR="00010251">
        <w:t xml:space="preserve"> on the CME</w:t>
      </w:r>
      <w:r w:rsidR="004F5288">
        <w:t xml:space="preserve"> and margin requirements for OTC </w:t>
      </w:r>
      <w:r w:rsidR="001E2400">
        <w:t xml:space="preserve">cleared </w:t>
      </w:r>
      <w:r w:rsidR="004F5288">
        <w:t>products</w:t>
      </w:r>
      <w:r>
        <w:t>.  The trade here looks at longing an ED future combined with a fixed payer</w:t>
      </w:r>
      <w:r w:rsidR="004F5288">
        <w:t xml:space="preserve"> to short the convexity bias</w:t>
      </w:r>
      <w:r>
        <w:t>.  If held to term these two sides will conver</w:t>
      </w:r>
      <w:r w:rsidR="004F5288">
        <w:t>ge</w:t>
      </w:r>
      <w:r>
        <w:t xml:space="preserve"> to </w:t>
      </w:r>
      <w:r w:rsidR="00010251">
        <w:t>spot 3 month LIBOR</w:t>
      </w:r>
      <w:r>
        <w:t xml:space="preserve">.  </w:t>
      </w:r>
      <w:r w:rsidR="009F3943">
        <w:t>As shown above due to the c</w:t>
      </w:r>
      <w:bookmarkStart w:id="0" w:name="_GoBack"/>
      <w:bookmarkEnd w:id="0"/>
      <w:r w:rsidR="009F3943">
        <w:t xml:space="preserve">onvexity profile of this trade, there is risk </w:t>
      </w:r>
      <w:r w:rsidR="00FD3201">
        <w:t>that</w:t>
      </w:r>
      <w:r w:rsidR="009F3943">
        <w:t xml:space="preserve"> volatile rates will eat away at </w:t>
      </w:r>
      <w:r w:rsidR="00CB643F">
        <w:t xml:space="preserve">the </w:t>
      </w:r>
      <w:r w:rsidR="00FD3201">
        <w:t>positive time decay profile of this trade</w:t>
      </w:r>
      <w:r w:rsidR="009F3943">
        <w:t xml:space="preserve">.  There is also exposure to an expansion </w:t>
      </w:r>
      <w:r>
        <w:t xml:space="preserve">of the </w:t>
      </w:r>
      <w:r w:rsidR="009F3943">
        <w:t xml:space="preserve">FRA-futures </w:t>
      </w:r>
      <w:r>
        <w:t>basis</w:t>
      </w:r>
      <w:r w:rsidR="004F5288">
        <w:t xml:space="preserve"> where you will incur MTM losses which will drive up</w:t>
      </w:r>
      <w:r>
        <w:t xml:space="preserve"> variation margin and </w:t>
      </w:r>
      <w:r w:rsidR="004F5288">
        <w:t>lower</w:t>
      </w:r>
      <w:r>
        <w:t xml:space="preserve"> returns.  </w:t>
      </w:r>
    </w:p>
    <w:sectPr w:rsidR="0082200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59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1C1881"/>
    <w:multiLevelType w:val="hybridMultilevel"/>
    <w:tmpl w:val="8DB2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336B1"/>
    <w:multiLevelType w:val="hybridMultilevel"/>
    <w:tmpl w:val="E130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81606"/>
    <w:multiLevelType w:val="hybridMultilevel"/>
    <w:tmpl w:val="CE1E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00AFC"/>
    <w:multiLevelType w:val="hybridMultilevel"/>
    <w:tmpl w:val="358EF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C7634"/>
    <w:multiLevelType w:val="hybridMultilevel"/>
    <w:tmpl w:val="DFE4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2"/>
  </w:num>
  <w:num w:numId="15">
    <w:abstractNumId w:val="5"/>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B7B"/>
    <w:rsid w:val="00010251"/>
    <w:rsid w:val="00013EBB"/>
    <w:rsid w:val="000316A3"/>
    <w:rsid w:val="000822A6"/>
    <w:rsid w:val="0009510B"/>
    <w:rsid w:val="000D40A0"/>
    <w:rsid w:val="000E1B7B"/>
    <w:rsid w:val="000E54CF"/>
    <w:rsid w:val="001A03E2"/>
    <w:rsid w:val="001B4838"/>
    <w:rsid w:val="001C0BEB"/>
    <w:rsid w:val="001E2400"/>
    <w:rsid w:val="001F364D"/>
    <w:rsid w:val="002811FA"/>
    <w:rsid w:val="003D59D9"/>
    <w:rsid w:val="003E64C7"/>
    <w:rsid w:val="004629D4"/>
    <w:rsid w:val="004C5875"/>
    <w:rsid w:val="004F2AA4"/>
    <w:rsid w:val="004F5288"/>
    <w:rsid w:val="00550D3B"/>
    <w:rsid w:val="005914F2"/>
    <w:rsid w:val="005B1794"/>
    <w:rsid w:val="005B7882"/>
    <w:rsid w:val="00600A9C"/>
    <w:rsid w:val="00622BAE"/>
    <w:rsid w:val="0063288A"/>
    <w:rsid w:val="00663083"/>
    <w:rsid w:val="007601E2"/>
    <w:rsid w:val="007A423B"/>
    <w:rsid w:val="007A5DAC"/>
    <w:rsid w:val="007E1658"/>
    <w:rsid w:val="007F43C7"/>
    <w:rsid w:val="00803CB1"/>
    <w:rsid w:val="00822006"/>
    <w:rsid w:val="008A606C"/>
    <w:rsid w:val="008B3FB1"/>
    <w:rsid w:val="008D08A9"/>
    <w:rsid w:val="008E72BF"/>
    <w:rsid w:val="009F3943"/>
    <w:rsid w:val="00A36ADB"/>
    <w:rsid w:val="00A372AE"/>
    <w:rsid w:val="00AC6652"/>
    <w:rsid w:val="00B03A9B"/>
    <w:rsid w:val="00B324A6"/>
    <w:rsid w:val="00B479C6"/>
    <w:rsid w:val="00B5265B"/>
    <w:rsid w:val="00B67488"/>
    <w:rsid w:val="00B85FFE"/>
    <w:rsid w:val="00B915F6"/>
    <w:rsid w:val="00BE3A72"/>
    <w:rsid w:val="00BF7878"/>
    <w:rsid w:val="00CA6169"/>
    <w:rsid w:val="00CB643F"/>
    <w:rsid w:val="00CD31BF"/>
    <w:rsid w:val="00CD5EEC"/>
    <w:rsid w:val="00D066B1"/>
    <w:rsid w:val="00D32B5E"/>
    <w:rsid w:val="00D44D56"/>
    <w:rsid w:val="00DD6C9C"/>
    <w:rsid w:val="00DF1E0C"/>
    <w:rsid w:val="00E15602"/>
    <w:rsid w:val="00E300C4"/>
    <w:rsid w:val="00E83A7E"/>
    <w:rsid w:val="00E9205A"/>
    <w:rsid w:val="00EF244B"/>
    <w:rsid w:val="00F66FF6"/>
    <w:rsid w:val="00FD32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ABB8"/>
  <w15:chartTrackingRefBased/>
  <w15:docId w15:val="{1203BDE0-9C3A-431C-99DB-38BBF7AC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1E2"/>
    <w:pPr>
      <w:keepNext/>
      <w:keepLines/>
      <w:numPr>
        <w:numId w:val="12"/>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14415C" w:themeColor="accent3" w:themeShade="BF"/>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7601E2"/>
    <w:rPr>
      <w:rFonts w:asciiTheme="majorHAnsi" w:eastAsiaTheme="majorEastAsia" w:hAnsiTheme="majorHAnsi" w:cstheme="majorBidi"/>
      <w:b/>
      <w:bCs/>
      <w:smallCaps/>
      <w:color w:val="14415C" w:themeColor="accent3" w:themeShade="BF"/>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4693">
      <w:bodyDiv w:val="1"/>
      <w:marLeft w:val="0"/>
      <w:marRight w:val="0"/>
      <w:marTop w:val="0"/>
      <w:marBottom w:val="0"/>
      <w:divBdr>
        <w:top w:val="none" w:sz="0" w:space="0" w:color="auto"/>
        <w:left w:val="none" w:sz="0" w:space="0" w:color="auto"/>
        <w:bottom w:val="none" w:sz="0" w:space="0" w:color="auto"/>
        <w:right w:val="none" w:sz="0" w:space="0" w:color="auto"/>
      </w:divBdr>
    </w:div>
    <w:div w:id="150219434">
      <w:bodyDiv w:val="1"/>
      <w:marLeft w:val="0"/>
      <w:marRight w:val="0"/>
      <w:marTop w:val="0"/>
      <w:marBottom w:val="0"/>
      <w:divBdr>
        <w:top w:val="none" w:sz="0" w:space="0" w:color="auto"/>
        <w:left w:val="none" w:sz="0" w:space="0" w:color="auto"/>
        <w:bottom w:val="none" w:sz="0" w:space="0" w:color="auto"/>
        <w:right w:val="none" w:sz="0" w:space="0" w:color="auto"/>
      </w:divBdr>
    </w:div>
    <w:div w:id="562838622">
      <w:bodyDiv w:val="1"/>
      <w:marLeft w:val="0"/>
      <w:marRight w:val="0"/>
      <w:marTop w:val="0"/>
      <w:marBottom w:val="0"/>
      <w:divBdr>
        <w:top w:val="none" w:sz="0" w:space="0" w:color="auto"/>
        <w:left w:val="none" w:sz="0" w:space="0" w:color="auto"/>
        <w:bottom w:val="none" w:sz="0" w:space="0" w:color="auto"/>
        <w:right w:val="none" w:sz="0" w:space="0" w:color="auto"/>
      </w:divBdr>
    </w:div>
    <w:div w:id="212487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cw_000\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1518</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Williams</dc:creator>
  <cp:keywords/>
  <cp:lastModifiedBy>Jason Williams</cp:lastModifiedBy>
  <cp:revision>37</cp:revision>
  <cp:lastPrinted>2015-12-18T03:47:00Z</cp:lastPrinted>
  <dcterms:created xsi:type="dcterms:W3CDTF">2015-12-13T14:38:00Z</dcterms:created>
  <dcterms:modified xsi:type="dcterms:W3CDTF">2015-12-18T03:50:00Z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