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CU-01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>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Lista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botón de la aplicación a una lista de los bloques donde podrá seleccionar uno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una lista de todos los bloques con una foto y una </w:t>
            </w:r>
            <w:r w:rsidR="009B4C76">
              <w:rPr>
                <w:sz w:val="20"/>
              </w:rPr>
              <w:t>descripción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selecciona uno de los bloques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>debe tener número del bloque, descripción, dirección, transporte, características e ubicación.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Postcondición</w:t>
            </w:r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para obtener información de otro bloque.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9B4C76" w:rsidP="009B4C76">
      <w:pPr>
        <w:pStyle w:val="Textoindependiente"/>
        <w:spacing w:before="10"/>
        <w:rPr>
          <w:sz w:val="19"/>
        </w:rPr>
      </w:pPr>
      <w:r w:rsidRPr="009B4C76">
        <w:rPr>
          <w:noProof/>
          <w:sz w:val="19"/>
          <w:lang w:eastAsia="es-CO"/>
        </w:rPr>
        <w:lastRenderedPageBreak/>
        <w:drawing>
          <wp:inline distT="0" distB="0" distL="0" distR="0">
            <wp:extent cx="6743064" cy="5076825"/>
            <wp:effectExtent l="0" t="0" r="1270" b="0"/>
            <wp:docPr id="4" name="Imagen 4" descr="J:\UNIVERSIDAD\TECNOLOGIA DE SISTEMAS\PROYECTO DE GRADO\SOON\Documentacion\Diseño\Logico\CU1 Consultar inform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1 Consultar inform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5" cy="5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74" w:rsidRDefault="00865B74">
      <w:r>
        <w:separator/>
      </w:r>
    </w:p>
  </w:endnote>
  <w:endnote w:type="continuationSeparator" w:id="0">
    <w:p w:rsidR="00865B74" w:rsidRDefault="0086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74" w:rsidRDefault="00865B74">
      <w:r>
        <w:separator/>
      </w:r>
    </w:p>
  </w:footnote>
  <w:footnote w:type="continuationSeparator" w:id="0">
    <w:p w:rsidR="00865B74" w:rsidRDefault="0086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C16CC"/>
    <w:rsid w:val="00365D49"/>
    <w:rsid w:val="00477037"/>
    <w:rsid w:val="005E7850"/>
    <w:rsid w:val="00865B74"/>
    <w:rsid w:val="009B4C76"/>
    <w:rsid w:val="00CC266C"/>
    <w:rsid w:val="00F0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2</cp:revision>
  <dcterms:created xsi:type="dcterms:W3CDTF">2017-11-26T01:20:00Z</dcterms:created>
  <dcterms:modified xsi:type="dcterms:W3CDTF">2017-11-26T01:20:00Z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