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600"/>
      </w:pPr>
    </w:p>
    <w:p>
      <w:pPr>
        <w:spacing w:after="100"/>
        <w:jc w:val="center"/>
      </w:pPr>
      <w:r>
        <w:rPr>
          <w:rFonts w:ascii="Calibri" w:cs="Calibri" w:eastAsia="Calibri" w:hAnsi="Calibri"/>
          <w:b/>
          <w:bCs/>
          <w:color w:val="0B2A52"/>
          <w:sz w:val="48"/>
          <w:szCs w:val="48"/>
        </w:rPr>
        <w:t xml:space="preserve">CAHIER DES CHARGES</w:t>
      </w:r>
    </w:p>
    <w:p>
      <w:pPr>
        <w:spacing w:after="400"/>
        <w:jc w:val="center"/>
      </w:pPr>
      <w:r>
        <w:rPr>
          <w:rFonts w:ascii="Calibri" w:cs="Calibri" w:eastAsia="Calibri" w:hAnsi="Calibri"/>
          <w:b/>
          <w:bCs/>
          <w:color w:val="1E4C85"/>
          <w:sz w:val="32"/>
          <w:szCs w:val="32"/>
        </w:rPr>
        <w:t xml:space="preserve">Maquette Web Interactive du Tableau de Bord</w:t>
      </w:r>
    </w:p>
    <w:p>
      <w:pPr>
        <w:spacing w:after="800"/>
        <w:jc w:val="center"/>
      </w:pPr>
      <w:r>
        <w:rPr>
          <w:rFonts w:ascii="Calibri" w:cs="Calibri" w:eastAsia="Calibri" w:hAnsi="Calibri"/>
          <w:i/>
          <w:iCs/>
          <w:color w:val="2E75D6"/>
          <w:sz w:val="24"/>
          <w:szCs w:val="24"/>
        </w:rPr>
        <w:t xml:space="preserve">SISBM CORE — Solution Intelligente de Gestion, de Sécurisation et de Supervision de Flotte</w:t>
      </w:r>
    </w:p>
    <w:p>
      <w:pPr>
        <w:spacing w:after="1200"/>
      </w:pPr>
    </w:p>
    <w:tbl>
      <w:tblPr>
        <w:tblW w:type="dxa" w:w="900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000"/>
      </w:tblGrid>
      <w:tr>
        <w:trPr>
          <w:tblHeader/>
        </w:trPr>
        <w:tc>
          <w:tcPr>
            <w:tcW w:type="dxa" w:w="30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Champ</w:t>
            </w:r>
          </w:p>
        </w:tc>
        <w:tc>
          <w:tcPr>
            <w:tcW w:type="dxa" w:w="60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Détail</w:t>
            </w:r>
          </w:p>
        </w:tc>
      </w:tr>
      <w:tr>
        <w:tc>
          <w:tcPr>
            <w:tcW w:type="dxa" w:w="3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Projet</w:t>
            </w:r>
          </w:p>
        </w:tc>
        <w:tc>
          <w:tcPr>
            <w:tcW w:type="dxa" w:w="6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SISBM CORE — Plateforme de Supervision de Flotte</w:t>
            </w:r>
          </w:p>
        </w:tc>
      </w:tr>
      <w:tr>
        <w:tc>
          <w:tcPr>
            <w:tcW w:type="dxa" w:w="3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Livrable</w:t>
            </w:r>
          </w:p>
        </w:tc>
        <w:tc>
          <w:tcPr>
            <w:tcW w:type="dxa" w:w="6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Maquette web interactive du Tableau de Bord (Dashboard)</w:t>
            </w:r>
          </w:p>
        </w:tc>
      </w:tr>
      <w:tr>
        <w:tc>
          <w:tcPr>
            <w:tcW w:type="dxa" w:w="3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Client interne</w:t>
            </w:r>
          </w:p>
        </w:tc>
        <w:tc>
          <w:tcPr>
            <w:tcW w:type="dxa" w:w="6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Société D'Ingénierie en Sécurité, Bâtiment et Mobilité (SISBM)</w:t>
            </w:r>
          </w:p>
        </w:tc>
      </w:tr>
      <w:tr>
        <w:tc>
          <w:tcPr>
            <w:tcW w:type="dxa" w:w="3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Rédacteur</w:t>
            </w:r>
          </w:p>
        </w:tc>
        <w:tc>
          <w:tcPr>
            <w:tcW w:type="dxa" w:w="6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Stéphane Yacouba Ouattara</w:t>
            </w:r>
          </w:p>
        </w:tc>
      </w:tr>
      <w:tr>
        <w:tc>
          <w:tcPr>
            <w:tcW w:type="dxa" w:w="3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Date</w:t>
            </w:r>
          </w:p>
        </w:tc>
        <w:tc>
          <w:tcPr>
            <w:tcW w:type="dxa" w:w="6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Septembre 2026</w:t>
            </w:r>
          </w:p>
        </w:tc>
      </w:tr>
      <w:tr>
        <w:tc>
          <w:tcPr>
            <w:tcW w:type="dxa" w:w="3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Version</w:t>
            </w:r>
          </w:p>
        </w:tc>
        <w:tc>
          <w:tcPr>
            <w:tcW w:type="dxa" w:w="6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V1.0</w:t>
            </w:r>
          </w:p>
        </w:tc>
      </w:tr>
      <w:tr>
        <w:tc>
          <w:tcPr>
            <w:tcW w:type="dxa" w:w="3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Statut</w:t>
            </w:r>
          </w:p>
        </w:tc>
        <w:tc>
          <w:tcPr>
            <w:tcW w:type="dxa" w:w="6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Pour validation</w:t>
            </w:r>
          </w:p>
        </w:tc>
      </w:tr>
    </w:tbl>
    <w:p>
      <w:pPr>
        <w:spacing w:before="1400"/>
      </w:pPr>
      <w:r>
        <w:br w:type="page"/>
      </w:r>
    </w:p>
    <w:p>
      <w:pPr>
        <w:sectPr>
          <w:pgSz w:w="11906" w:h="16838" w:orient="portrait"/>
          <w:pgMar w:top="1000" w:right="1100" w:bottom="1000" w:left="1100" w:header="708" w:footer="708" w:gutter="0"/>
          <w:pgNumType/>
          <w:docGrid w:linePitch="360"/>
        </w:sectPr>
      </w:pPr>
    </w:p>
    <w:p>
      <w:pPr>
        <w:spacing w:after="300"/>
      </w:pPr>
      <w:r>
        <w:rPr>
          <w:rFonts w:ascii="Calibri" w:cs="Calibri" w:eastAsia="Calibri" w:hAnsi="Calibri"/>
          <w:b/>
          <w:bCs/>
          <w:color w:val="0B2A52"/>
          <w:sz w:val="30"/>
          <w:szCs w:val="30"/>
        </w:rPr>
        <w:t xml:space="preserve">Sommaire</w:t>
      </w:r>
    </w:p>
    <w:p>
      <w:pPr>
        <w:spacing w:after="120"/>
      </w:pPr>
      <w:r>
        <w:rPr>
          <w:rFonts w:ascii="Calibri" w:cs="Calibri" w:eastAsia="Calibri" w:hAnsi="Calibri"/>
          <w:color w:val="1E4C85"/>
          <w:sz w:val="22"/>
          <w:szCs w:val="22"/>
        </w:rPr>
        <w:t xml:space="preserve">1. Contexte du projet</w:t>
      </w:r>
    </w:p>
    <w:p>
      <w:pPr>
        <w:spacing w:after="120"/>
      </w:pPr>
      <w:r>
        <w:rPr>
          <w:rFonts w:ascii="Calibri" w:cs="Calibri" w:eastAsia="Calibri" w:hAnsi="Calibri"/>
          <w:color w:val="1E4C85"/>
          <w:sz w:val="22"/>
          <w:szCs w:val="22"/>
        </w:rPr>
        <w:t xml:space="preserve">2. Objectifs de la mission</w:t>
      </w:r>
    </w:p>
    <w:p>
      <w:pPr>
        <w:spacing w:after="120"/>
      </w:pPr>
      <w:r>
        <w:rPr>
          <w:rFonts w:ascii="Calibri" w:cs="Calibri" w:eastAsia="Calibri" w:hAnsi="Calibri"/>
          <w:color w:val="1E4C85"/>
          <w:sz w:val="22"/>
          <w:szCs w:val="22"/>
        </w:rPr>
        <w:t xml:space="preserve">3. Utilisateurs cibles</w:t>
      </w:r>
    </w:p>
    <w:p>
      <w:pPr>
        <w:spacing w:after="120"/>
      </w:pPr>
      <w:r>
        <w:rPr>
          <w:rFonts w:ascii="Calibri" w:cs="Calibri" w:eastAsia="Calibri" w:hAnsi="Calibri"/>
          <w:color w:val="1E4C85"/>
          <w:sz w:val="22"/>
          <w:szCs w:val="22"/>
        </w:rPr>
        <w:t xml:space="preserve">4. Périmètre fonctionnel de la maquette</w:t>
      </w:r>
    </w:p>
    <w:p>
      <w:pPr>
        <w:spacing w:after="120"/>
      </w:pPr>
      <w:r>
        <w:rPr>
          <w:rFonts w:ascii="Calibri" w:cs="Calibri" w:eastAsia="Calibri" w:hAnsi="Calibri"/>
          <w:color w:val="1E4C85"/>
          <w:sz w:val="22"/>
          <w:szCs w:val="22"/>
        </w:rPr>
        <w:t xml:space="preserve">5. Spécifications techniques de la maquette</w:t>
      </w:r>
    </w:p>
    <w:p>
      <w:pPr>
        <w:spacing w:after="120"/>
      </w:pPr>
      <w:r>
        <w:rPr>
          <w:rFonts w:ascii="Calibri" w:cs="Calibri" w:eastAsia="Calibri" w:hAnsi="Calibri"/>
          <w:color w:val="1E4C85"/>
          <w:sz w:val="22"/>
          <w:szCs w:val="22"/>
        </w:rPr>
        <w:t xml:space="preserve">6. Charte graphique et identité visuelle</w:t>
      </w:r>
    </w:p>
    <w:p>
      <w:pPr>
        <w:spacing w:after="120"/>
      </w:pPr>
      <w:r>
        <w:rPr>
          <w:rFonts w:ascii="Calibri" w:cs="Calibri" w:eastAsia="Calibri" w:hAnsi="Calibri"/>
          <w:color w:val="1E4C85"/>
          <w:sz w:val="22"/>
          <w:szCs w:val="22"/>
        </w:rPr>
        <w:t xml:space="preserve">7. Livrables attendus</w:t>
      </w:r>
    </w:p>
    <w:p>
      <w:pPr>
        <w:spacing w:after="120"/>
      </w:pPr>
      <w:r>
        <w:rPr>
          <w:rFonts w:ascii="Calibri" w:cs="Calibri" w:eastAsia="Calibri" w:hAnsi="Calibri"/>
          <w:color w:val="1E4C85"/>
          <w:sz w:val="22"/>
          <w:szCs w:val="22"/>
        </w:rPr>
        <w:t xml:space="preserve">8. Planning indicatif</w:t>
      </w:r>
    </w:p>
    <w:p>
      <w:pPr>
        <w:spacing w:after="120"/>
      </w:pPr>
      <w:r>
        <w:rPr>
          <w:rFonts w:ascii="Calibri" w:cs="Calibri" w:eastAsia="Calibri" w:hAnsi="Calibri"/>
          <w:color w:val="1E4C85"/>
          <w:sz w:val="22"/>
          <w:szCs w:val="22"/>
        </w:rPr>
        <w:t xml:space="preserve">9. Critères de validation</w:t>
      </w:r>
    </w:p>
    <w:p>
      <w:r>
        <w:br w:type="page"/>
      </w:r>
    </w:p>
    <w:p>
      <w:pPr>
        <w:pStyle w:val="Heading1"/>
        <w:pBdr>
          <w:bottom w:val="single" w:color="0B2A52" w:sz="8" w:space="4"/>
        </w:pBdr>
        <w:spacing w:after="200" w:before="400"/>
      </w:pPr>
      <w:r>
        <w:rPr>
          <w:rFonts w:ascii="Calibri" w:cs="Calibri" w:eastAsia="Calibri" w:hAnsi="Calibri"/>
          <w:b/>
          <w:bCs/>
          <w:color w:val="0B2A52"/>
          <w:sz w:val="30"/>
          <w:szCs w:val="30"/>
        </w:rPr>
        <w:t xml:space="preserve">1. Contexte du projet</w:t>
      </w:r>
    </w:p>
    <w:p>
      <w:pPr>
        <w:spacing w:after="160" w:line="300"/>
        <w:jc w:val="both"/>
      </w:pPr>
      <w:r>
        <w:rPr>
          <w:rFonts w:ascii="Calibri" w:cs="Calibri" w:eastAsia="Calibri" w:hAnsi="Calibri"/>
          <w:color w:val="3B3B3B"/>
          <w:sz w:val="21"/>
          <w:szCs w:val="21"/>
        </w:rPr>
        <w:t xml:space="preserve">La Société D'Ingénierie en Sécurité, Bâtiment et Mobilité (SISBM) développe SISBM CORE, une plateforme de supervision de flotte destinée à transformer la télémétrie brute des véhicules en intelligence opérationnelle : tracking temps réel, géofencing, gestion des vitesses, des horaires, des alertes, des incidents et immobilisation à distance.</w:t>
      </w:r>
    </w:p>
    <w:p>
      <w:pPr>
        <w:spacing w:after="160" w:line="300"/>
        <w:jc w:val="both"/>
      </w:pPr>
      <w:r>
        <w:rPr>
          <w:rFonts w:ascii="Calibri" w:cs="Calibri" w:eastAsia="Calibri" w:hAnsi="Calibri"/>
          <w:color w:val="3B3B3B"/>
          <w:sz w:val="21"/>
          <w:szCs w:val="21"/>
        </w:rPr>
        <w:t xml:space="preserve">Le socle technique (backend AdonisJS 6, base PostgreSQL 16 / PostGIS 3.4, architecture multi-tenant à 36 tables) est validé côté Jalon 1. La présente mission porte sur la conception d'une maquette web interactive du Tableau de bord principal, écran d'entrée de la plateforme pour les superviseurs SOC et les administrateurs, afin de valider l'expérience utilisateur avant le développement de l'interface définitive.</w:t>
      </w:r>
    </w:p>
    <w:p>
      <w:pPr>
        <w:spacing w:after="160" w:line="300"/>
        <w:jc w:val="both"/>
      </w:pPr>
      <w:r>
        <w:rPr>
          <w:rFonts w:ascii="Calibri" w:cs="Calibri" w:eastAsia="Calibri" w:hAnsi="Calibri"/>
          <w:color w:val="3B3B3B"/>
          <w:sz w:val="21"/>
          <w:szCs w:val="21"/>
        </w:rPr>
        <w:t xml:space="preserve">Un premier aperçu visuel du tableau de bord (maquette de référence transmise par la hiérarchie) sert de base de travail et de fil conducteur pour la présente maquette interactive.</w:t>
      </w:r>
    </w:p>
    <w:p>
      <w:pPr>
        <w:pStyle w:val="Heading1"/>
        <w:pBdr>
          <w:bottom w:val="single" w:color="0B2A52" w:sz="8" w:space="4"/>
        </w:pBdr>
        <w:spacing w:after="200" w:before="400"/>
      </w:pPr>
      <w:r>
        <w:rPr>
          <w:rFonts w:ascii="Calibri" w:cs="Calibri" w:eastAsia="Calibri" w:hAnsi="Calibri"/>
          <w:b/>
          <w:bCs/>
          <w:color w:val="0B2A52"/>
          <w:sz w:val="30"/>
          <w:szCs w:val="30"/>
        </w:rPr>
        <w:t xml:space="preserve">2. Objectifs de la mission</w:t>
      </w:r>
    </w:p>
    <w:p>
      <w:pPr>
        <w:pStyle w:val="ListParagraph"/>
        <w:numPr>
          <w:ilvl w:val="0"/>
          <w:numId w:val="2"/>
        </w:numPr>
        <w:spacing w:after="90"/>
      </w:pPr>
      <w:r>
        <w:rPr>
          <w:rFonts w:ascii="Calibri" w:cs="Calibri" w:eastAsia="Calibri" w:hAnsi="Calibri"/>
          <w:color w:val="3B3B3B"/>
          <w:sz w:val="21"/>
          <w:szCs w:val="21"/>
        </w:rPr>
        <w:t xml:space="preserve">Concevoir une maquette web interactive (HTML/CSS/JS ou équivalent) reproduisant fidèlement l'écran « Tableau de bord » de SISBM CORE.</w:t>
      </w:r>
    </w:p>
    <w:p>
      <w:pPr>
        <w:pStyle w:val="ListParagraph"/>
        <w:numPr>
          <w:ilvl w:val="0"/>
          <w:numId w:val="2"/>
        </w:numPr>
        <w:spacing w:after="90"/>
      </w:pPr>
      <w:r>
        <w:rPr>
          <w:rFonts w:ascii="Calibri" w:cs="Calibri" w:eastAsia="Calibri" w:hAnsi="Calibri"/>
          <w:color w:val="3B3B3B"/>
          <w:sz w:val="21"/>
          <w:szCs w:val="21"/>
        </w:rPr>
        <w:t xml:space="preserve">Valider l'ergonomie, la hiérarchie visuelle et la navigation avant le développement final sur le backend réel.</w:t>
      </w:r>
    </w:p>
    <w:p>
      <w:pPr>
        <w:pStyle w:val="ListParagraph"/>
        <w:numPr>
          <w:ilvl w:val="0"/>
          <w:numId w:val="2"/>
        </w:numPr>
        <w:spacing w:after="90"/>
      </w:pPr>
      <w:r>
        <w:rPr>
          <w:rFonts w:ascii="Calibri" w:cs="Calibri" w:eastAsia="Calibri" w:hAnsi="Calibri"/>
          <w:color w:val="3B3B3B"/>
          <w:sz w:val="21"/>
          <w:szCs w:val="21"/>
        </w:rPr>
        <w:t xml:space="preserve">Illustrer avec des données simulées (mock data) l'ensemble des indicateurs, alertes, incidents et flux de véhicules décrits dans le rapport fonctionnel.</w:t>
      </w:r>
    </w:p>
    <w:p>
      <w:pPr>
        <w:pStyle w:val="ListParagraph"/>
        <w:numPr>
          <w:ilvl w:val="0"/>
          <w:numId w:val="2"/>
        </w:numPr>
        <w:spacing w:after="90"/>
      </w:pPr>
      <w:r>
        <w:rPr>
          <w:rFonts w:ascii="Calibri" w:cs="Calibri" w:eastAsia="Calibri" w:hAnsi="Calibri"/>
          <w:color w:val="3B3B3B"/>
          <w:sz w:val="21"/>
          <w:szCs w:val="21"/>
        </w:rPr>
        <w:t xml:space="preserve">Fournir un support de présentation et de validation utilisable en démonstration interne et auprès des futurs clients de SISBM.</w:t>
      </w:r>
    </w:p>
    <w:p>
      <w:pPr>
        <w:pStyle w:val="ListParagraph"/>
        <w:numPr>
          <w:ilvl w:val="0"/>
          <w:numId w:val="2"/>
        </w:numPr>
        <w:spacing w:after="90"/>
      </w:pPr>
      <w:r>
        <w:rPr>
          <w:rFonts w:ascii="Calibri" w:cs="Calibri" w:eastAsia="Calibri" w:hAnsi="Calibri"/>
          <w:color w:val="3B3B3B"/>
          <w:sz w:val="21"/>
          <w:szCs w:val="21"/>
        </w:rPr>
        <w:t xml:space="preserve">Poser une base de composants réutilisables (cartes KPI, tableaux, badges d'alerte, carte de supervision) pour accélérer le développement de la plateforme définitive.</w:t>
      </w:r>
    </w:p>
    <w:p>
      <w:pPr>
        <w:pStyle w:val="Heading1"/>
        <w:pBdr>
          <w:bottom w:val="single" w:color="0B2A52" w:sz="8" w:space="4"/>
        </w:pBdr>
        <w:spacing w:after="200" w:before="400"/>
      </w:pPr>
      <w:r>
        <w:rPr>
          <w:rFonts w:ascii="Calibri" w:cs="Calibri" w:eastAsia="Calibri" w:hAnsi="Calibri"/>
          <w:b/>
          <w:bCs/>
          <w:color w:val="0B2A52"/>
          <w:sz w:val="30"/>
          <w:szCs w:val="30"/>
        </w:rPr>
        <w:t xml:space="preserve">3. Utilisateurs cibles</w:t>
      </w:r>
    </w:p>
    <w:tbl>
      <w:tblPr>
        <w:tblW w:type="dxa" w:w="900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3300"/>
        <w:gridCol w:w="3100"/>
      </w:tblGrid>
      <w:tr>
        <w:trPr>
          <w:tblHeader/>
        </w:trPr>
        <w:tc>
          <w:tcPr>
            <w:tcW w:type="dxa" w:w="26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Profil</w:t>
            </w:r>
          </w:p>
        </w:tc>
        <w:tc>
          <w:tcPr>
            <w:tcW w:type="dxa" w:w="33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Besoin principal</w:t>
            </w:r>
          </w:p>
        </w:tc>
        <w:tc>
          <w:tcPr>
            <w:tcW w:type="dxa" w:w="31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Usage du dashboard</w:t>
            </w:r>
          </w:p>
        </w:tc>
      </w:tr>
      <w:tr>
        <w:tc>
          <w:tcPr>
            <w:tcW w:type="dxa" w:w="2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Administrateur SISBM</w:t>
            </w:r>
          </w:p>
        </w:tc>
        <w:tc>
          <w:tcPr>
            <w:tcW w:type="dxa" w:w="33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Vue globale multi-clients de la flotte</w:t>
            </w:r>
          </w:p>
        </w:tc>
        <w:tc>
          <w:tcPr>
            <w:tcW w:type="dxa" w:w="31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Supervision, configuration, pilotage</w:t>
            </w:r>
          </w:p>
        </w:tc>
      </w:tr>
      <w:tr>
        <w:tc>
          <w:tcPr>
            <w:tcW w:type="dxa" w:w="2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Superviseur SOC</w:t>
            </w:r>
          </w:p>
        </w:tc>
        <w:tc>
          <w:tcPr>
            <w:tcW w:type="dxa" w:w="33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Traitement rapide des alertes et incidents critiques</w:t>
            </w:r>
          </w:p>
        </w:tc>
        <w:tc>
          <w:tcPr>
            <w:tcW w:type="dxa" w:w="31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Surveillance temps réel, priorisation</w:t>
            </w:r>
          </w:p>
        </w:tc>
      </w:tr>
      <w:tr>
        <w:tc>
          <w:tcPr>
            <w:tcW w:type="dxa" w:w="2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Gestionnaire de flotte (client)</w:t>
            </w:r>
          </w:p>
        </w:tc>
        <w:tc>
          <w:tcPr>
            <w:tcW w:type="dxa" w:w="33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Suivi des véhicules et conducteurs de son organisation</w:t>
            </w:r>
          </w:p>
        </w:tc>
        <w:tc>
          <w:tcPr>
            <w:tcW w:type="dxa" w:w="31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Consultation, rapports</w:t>
            </w:r>
          </w:p>
        </w:tc>
      </w:tr>
    </w:tbl>
    <w:p>
      <w:pPr>
        <w:spacing w:after="160" w:line="300"/>
        <w:jc w:val="both"/>
      </w:pPr>
      <w:r>
        <w:rPr>
          <w:rFonts w:ascii="Calibri" w:cs="Calibri" w:eastAsia="Calibri" w:hAnsi="Calibri"/>
          <w:color w:val="3B3B3B"/>
          <w:sz w:val="21"/>
          <w:szCs w:val="21"/>
        </w:rPr>
        <w:t xml:space="preserve"/>
      </w:r>
    </w:p>
    <w:p>
      <w:pPr>
        <w:pStyle w:val="Heading1"/>
        <w:pBdr>
          <w:bottom w:val="single" w:color="0B2A52" w:sz="8" w:space="4"/>
        </w:pBdr>
        <w:spacing w:after="200" w:before="400"/>
      </w:pPr>
      <w:r>
        <w:rPr>
          <w:rFonts w:ascii="Calibri" w:cs="Calibri" w:eastAsia="Calibri" w:hAnsi="Calibri"/>
          <w:b/>
          <w:bCs/>
          <w:color w:val="0B2A52"/>
          <w:sz w:val="30"/>
          <w:szCs w:val="30"/>
        </w:rPr>
        <w:t xml:space="preserve">4. Périmètre fonctionnel de la maquette</w:t>
      </w:r>
    </w:p>
    <w:p>
      <w:pPr>
        <w:spacing w:after="160" w:line="300"/>
        <w:jc w:val="both"/>
      </w:pPr>
      <w:r>
        <w:rPr>
          <w:rFonts w:ascii="Calibri" w:cs="Calibri" w:eastAsia="Calibri" w:hAnsi="Calibri"/>
          <w:color w:val="3B3B3B"/>
          <w:sz w:val="21"/>
          <w:szCs w:val="21"/>
        </w:rPr>
        <w:t xml:space="preserve">Le périmètre se limite à l'écran « Tableau de bord » et à sa navigation latérale ; les écrans détaillés (fiche véhicule, configuration des règles, etc.) ne sont pas développés en profondeur mais peuvent être esquissés en état statique si nécessaire pour la démonstration.</w:t>
      </w:r>
    </w:p>
    <w:p>
      <w:pPr>
        <w:pStyle w:val="Heading2"/>
        <w:spacing w:after="150" w:before="300"/>
      </w:pPr>
      <w:r>
        <w:rPr>
          <w:rFonts w:ascii="Calibri" w:cs="Calibri" w:eastAsia="Calibri" w:hAnsi="Calibri"/>
          <w:b/>
          <w:bCs/>
          <w:color w:val="1E4C85"/>
          <w:sz w:val="25"/>
          <w:szCs w:val="25"/>
        </w:rPr>
        <w:t xml:space="preserve">4.1. Barre de navigation latérale (menu principal)</w:t>
      </w:r>
    </w:p>
    <w:p>
      <w:pPr>
        <w:spacing w:after="160" w:line="300"/>
        <w:jc w:val="both"/>
      </w:pPr>
      <w:r>
        <w:rPr>
          <w:rFonts w:ascii="Calibri" w:cs="Calibri" w:eastAsia="Calibri" w:hAnsi="Calibri"/>
          <w:color w:val="3B3B3B"/>
          <w:sz w:val="21"/>
          <w:szCs w:val="21"/>
        </w:rPr>
        <w:t xml:space="preserve">Le menu latéral gauche donne accès aux modules suivants, avec mise en surbrillance de l'élément actif (« Tableau de bord ») :</w:t>
      </w:r>
    </w:p>
    <w:p>
      <w:pPr>
        <w:pStyle w:val="ListParagraph"/>
        <w:numPr>
          <w:ilvl w:val="0"/>
          <w:numId w:val="2"/>
        </w:numPr>
        <w:spacing w:after="90"/>
      </w:pPr>
      <w:r>
        <w:rPr>
          <w:rFonts w:ascii="Calibri" w:cs="Calibri" w:eastAsia="Calibri" w:hAnsi="Calibri"/>
          <w:color w:val="3B3B3B"/>
          <w:sz w:val="21"/>
          <w:szCs w:val="21"/>
        </w:rPr>
        <w:t xml:space="preserve">Tableau de bord (écran actif de la maquette)</w:t>
      </w:r>
    </w:p>
    <w:p>
      <w:pPr>
        <w:pStyle w:val="ListParagraph"/>
        <w:numPr>
          <w:ilvl w:val="0"/>
          <w:numId w:val="2"/>
        </w:numPr>
        <w:spacing w:after="90"/>
      </w:pPr>
      <w:r>
        <w:rPr>
          <w:rFonts w:ascii="Calibri" w:cs="Calibri" w:eastAsia="Calibri" w:hAnsi="Calibri"/>
          <w:color w:val="3B3B3B"/>
          <w:sz w:val="21"/>
          <w:szCs w:val="21"/>
        </w:rPr>
        <w:t xml:space="preserve">Tracking GPS</w:t>
      </w:r>
    </w:p>
    <w:p>
      <w:pPr>
        <w:pStyle w:val="ListParagraph"/>
        <w:numPr>
          <w:ilvl w:val="0"/>
          <w:numId w:val="2"/>
        </w:numPr>
        <w:spacing w:after="90"/>
      </w:pPr>
      <w:r>
        <w:rPr>
          <w:rFonts w:ascii="Calibri" w:cs="Calibri" w:eastAsia="Calibri" w:hAnsi="Calibri"/>
          <w:color w:val="3B3B3B"/>
          <w:sz w:val="21"/>
          <w:szCs w:val="21"/>
        </w:rPr>
        <w:t xml:space="preserve">Zones géographiques (géofencing)</w:t>
      </w:r>
    </w:p>
    <w:p>
      <w:pPr>
        <w:pStyle w:val="ListParagraph"/>
        <w:numPr>
          <w:ilvl w:val="0"/>
          <w:numId w:val="2"/>
        </w:numPr>
        <w:spacing w:after="90"/>
      </w:pPr>
      <w:r>
        <w:rPr>
          <w:rFonts w:ascii="Calibri" w:cs="Calibri" w:eastAsia="Calibri" w:hAnsi="Calibri"/>
          <w:color w:val="3B3B3B"/>
          <w:sz w:val="21"/>
          <w:szCs w:val="21"/>
        </w:rPr>
        <w:t xml:space="preserve">Vitesse</w:t>
      </w:r>
    </w:p>
    <w:p>
      <w:pPr>
        <w:pStyle w:val="ListParagraph"/>
        <w:numPr>
          <w:ilvl w:val="0"/>
          <w:numId w:val="2"/>
        </w:numPr>
        <w:spacing w:after="90"/>
      </w:pPr>
      <w:r>
        <w:rPr>
          <w:rFonts w:ascii="Calibri" w:cs="Calibri" w:eastAsia="Calibri" w:hAnsi="Calibri"/>
          <w:color w:val="3B3B3B"/>
          <w:sz w:val="21"/>
          <w:szCs w:val="21"/>
        </w:rPr>
        <w:t xml:space="preserve">Horaires</w:t>
      </w:r>
    </w:p>
    <w:p>
      <w:pPr>
        <w:pStyle w:val="ListParagraph"/>
        <w:numPr>
          <w:ilvl w:val="0"/>
          <w:numId w:val="2"/>
        </w:numPr>
        <w:spacing w:after="90"/>
      </w:pPr>
      <w:r>
        <w:rPr>
          <w:rFonts w:ascii="Calibri" w:cs="Calibri" w:eastAsia="Calibri" w:hAnsi="Calibri"/>
          <w:color w:val="3B3B3B"/>
          <w:sz w:val="21"/>
          <w:szCs w:val="21"/>
        </w:rPr>
        <w:t xml:space="preserve">Alertes — avec compteur de notifications non lues</w:t>
      </w:r>
    </w:p>
    <w:p>
      <w:pPr>
        <w:pStyle w:val="ListParagraph"/>
        <w:numPr>
          <w:ilvl w:val="0"/>
          <w:numId w:val="2"/>
        </w:numPr>
        <w:spacing w:after="90"/>
      </w:pPr>
      <w:r>
        <w:rPr>
          <w:rFonts w:ascii="Calibri" w:cs="Calibri" w:eastAsia="Calibri" w:hAnsi="Calibri"/>
          <w:color w:val="3B3B3B"/>
          <w:sz w:val="21"/>
          <w:szCs w:val="21"/>
        </w:rPr>
        <w:t xml:space="preserve">Incidents — avec compteur d'incidents en cours</w:t>
      </w:r>
    </w:p>
    <w:p>
      <w:pPr>
        <w:pStyle w:val="ListParagraph"/>
        <w:numPr>
          <w:ilvl w:val="0"/>
          <w:numId w:val="2"/>
        </w:numPr>
        <w:spacing w:after="90"/>
      </w:pPr>
      <w:r>
        <w:rPr>
          <w:rFonts w:ascii="Calibri" w:cs="Calibri" w:eastAsia="Calibri" w:hAnsi="Calibri"/>
          <w:color w:val="3B3B3B"/>
          <w:sz w:val="21"/>
          <w:szCs w:val="21"/>
        </w:rPr>
        <w:t xml:space="preserve">Règles de gestion</w:t>
      </w:r>
    </w:p>
    <w:p>
      <w:pPr>
        <w:pStyle w:val="ListParagraph"/>
        <w:numPr>
          <w:ilvl w:val="0"/>
          <w:numId w:val="2"/>
        </w:numPr>
        <w:spacing w:after="90"/>
      </w:pPr>
      <w:r>
        <w:rPr>
          <w:rFonts w:ascii="Calibri" w:cs="Calibri" w:eastAsia="Calibri" w:hAnsi="Calibri"/>
          <w:color w:val="3B3B3B"/>
          <w:sz w:val="21"/>
          <w:szCs w:val="21"/>
        </w:rPr>
        <w:t xml:space="preserve">Rapports</w:t>
      </w:r>
    </w:p>
    <w:p>
      <w:pPr>
        <w:pStyle w:val="ListParagraph"/>
        <w:numPr>
          <w:ilvl w:val="0"/>
          <w:numId w:val="2"/>
        </w:numPr>
        <w:spacing w:after="90"/>
      </w:pPr>
      <w:r>
        <w:rPr>
          <w:rFonts w:ascii="Calibri" w:cs="Calibri" w:eastAsia="Calibri" w:hAnsi="Calibri"/>
          <w:color w:val="3B3B3B"/>
          <w:sz w:val="21"/>
          <w:szCs w:val="21"/>
        </w:rPr>
        <w:t xml:space="preserve">Maintenance</w:t>
      </w:r>
    </w:p>
    <w:p>
      <w:pPr>
        <w:pStyle w:val="ListParagraph"/>
        <w:numPr>
          <w:ilvl w:val="0"/>
          <w:numId w:val="2"/>
        </w:numPr>
        <w:spacing w:after="90"/>
      </w:pPr>
      <w:r>
        <w:rPr>
          <w:rFonts w:ascii="Calibri" w:cs="Calibri" w:eastAsia="Calibri" w:hAnsi="Calibri"/>
          <w:color w:val="3B3B3B"/>
          <w:sz w:val="21"/>
          <w:szCs w:val="21"/>
        </w:rPr>
        <w:t xml:space="preserve">Conduite</w:t>
      </w:r>
    </w:p>
    <w:p>
      <w:pPr>
        <w:pStyle w:val="ListParagraph"/>
        <w:numPr>
          <w:ilvl w:val="0"/>
          <w:numId w:val="2"/>
        </w:numPr>
        <w:spacing w:after="90"/>
      </w:pPr>
      <w:r>
        <w:rPr>
          <w:rFonts w:ascii="Calibri" w:cs="Calibri" w:eastAsia="Calibri" w:hAnsi="Calibri"/>
          <w:color w:val="3B3B3B"/>
          <w:sz w:val="21"/>
          <w:szCs w:val="21"/>
        </w:rPr>
        <w:t xml:space="preserve">Clients</w:t>
      </w:r>
    </w:p>
    <w:p>
      <w:pPr>
        <w:pStyle w:val="ListParagraph"/>
        <w:numPr>
          <w:ilvl w:val="0"/>
          <w:numId w:val="2"/>
        </w:numPr>
        <w:spacing w:after="90"/>
      </w:pPr>
      <w:r>
        <w:rPr>
          <w:rFonts w:ascii="Calibri" w:cs="Calibri" w:eastAsia="Calibri" w:hAnsi="Calibri"/>
          <w:color w:val="3B3B3B"/>
          <w:sz w:val="21"/>
          <w:szCs w:val="21"/>
        </w:rPr>
        <w:t xml:space="preserve">Facturation SMS</w:t>
      </w:r>
    </w:p>
    <w:p>
      <w:pPr>
        <w:pStyle w:val="ListParagraph"/>
        <w:numPr>
          <w:ilvl w:val="0"/>
          <w:numId w:val="2"/>
        </w:numPr>
        <w:spacing w:after="90"/>
      </w:pPr>
      <w:r>
        <w:rPr>
          <w:rFonts w:ascii="Calibri" w:cs="Calibri" w:eastAsia="Calibri" w:hAnsi="Calibri"/>
          <w:color w:val="3B3B3B"/>
          <w:sz w:val="21"/>
          <w:szCs w:val="21"/>
        </w:rPr>
        <w:t xml:space="preserve">Administration</w:t>
      </w:r>
    </w:p>
    <w:p>
      <w:pPr>
        <w:spacing w:after="160" w:line="300"/>
        <w:jc w:val="both"/>
      </w:pPr>
      <w:r>
        <w:rPr>
          <w:rFonts w:ascii="Calibri" w:cs="Calibri" w:eastAsia="Calibri" w:hAnsi="Calibri"/>
          <w:color w:val="3B3B3B"/>
          <w:sz w:val="21"/>
          <w:szCs w:val="21"/>
        </w:rPr>
        <w:t xml:space="preserve">Le pied du menu affiche le logo et la signature institutionnelle de SISBM (« Sécuriser, construire, connecter, former »).</w:t>
      </w:r>
    </w:p>
    <w:p>
      <w:pPr>
        <w:pStyle w:val="Heading2"/>
        <w:spacing w:after="150" w:before="300"/>
      </w:pPr>
      <w:r>
        <w:rPr>
          <w:rFonts w:ascii="Calibri" w:cs="Calibri" w:eastAsia="Calibri" w:hAnsi="Calibri"/>
          <w:b/>
          <w:bCs/>
          <w:color w:val="1E4C85"/>
          <w:sz w:val="25"/>
          <w:szCs w:val="25"/>
        </w:rPr>
        <w:t xml:space="preserve">4.2. En-tête (header)</w:t>
      </w:r>
    </w:p>
    <w:p>
      <w:pPr>
        <w:pStyle w:val="ListParagraph"/>
        <w:numPr>
          <w:ilvl w:val="0"/>
          <w:numId w:val="2"/>
        </w:numPr>
        <w:spacing w:after="90"/>
      </w:pPr>
      <w:r>
        <w:rPr>
          <w:rFonts w:ascii="Calibri" w:cs="Calibri" w:eastAsia="Calibri" w:hAnsi="Calibri"/>
          <w:color w:val="3B3B3B"/>
          <w:sz w:val="21"/>
          <w:szCs w:val="21"/>
        </w:rPr>
        <w:t xml:space="preserve">Logo et nom de la plateforme « SISBM CORE » avec sous-titre descriptif.</w:t>
      </w:r>
    </w:p>
    <w:p>
      <w:pPr>
        <w:pStyle w:val="ListParagraph"/>
        <w:numPr>
          <w:ilvl w:val="0"/>
          <w:numId w:val="2"/>
        </w:numPr>
        <w:spacing w:after="90"/>
      </w:pPr>
      <w:r>
        <w:rPr>
          <w:rFonts w:ascii="Calibri" w:cs="Calibri" w:eastAsia="Calibri" w:hAnsi="Calibri"/>
          <w:color w:val="3B3B3B"/>
          <w:sz w:val="21"/>
          <w:szCs w:val="21"/>
        </w:rPr>
        <w:t xml:space="preserve">Barre de recherche globale (véhicule, conducteur, zone).</w:t>
      </w:r>
    </w:p>
    <w:p>
      <w:pPr>
        <w:pStyle w:val="ListParagraph"/>
        <w:numPr>
          <w:ilvl w:val="0"/>
          <w:numId w:val="2"/>
        </w:numPr>
        <w:spacing w:after="90"/>
      </w:pPr>
      <w:r>
        <w:rPr>
          <w:rFonts w:ascii="Calibri" w:cs="Calibri" w:eastAsia="Calibri" w:hAnsi="Calibri"/>
          <w:color w:val="3B3B3B"/>
          <w:sz w:val="21"/>
          <w:szCs w:val="21"/>
        </w:rPr>
        <w:t xml:space="preserve">Date et heure courantes.</w:t>
      </w:r>
    </w:p>
    <w:p>
      <w:pPr>
        <w:pStyle w:val="ListParagraph"/>
        <w:numPr>
          <w:ilvl w:val="0"/>
          <w:numId w:val="2"/>
        </w:numPr>
        <w:spacing w:after="90"/>
      </w:pPr>
      <w:r>
        <w:rPr>
          <w:rFonts w:ascii="Calibri" w:cs="Calibri" w:eastAsia="Calibri" w:hAnsi="Calibri"/>
          <w:color w:val="3B3B3B"/>
          <w:sz w:val="21"/>
          <w:szCs w:val="21"/>
        </w:rPr>
        <w:t xml:space="preserve">Icône de notifications avec badge de comptage.</w:t>
      </w:r>
    </w:p>
    <w:p>
      <w:pPr>
        <w:pStyle w:val="ListParagraph"/>
        <w:numPr>
          <w:ilvl w:val="0"/>
          <w:numId w:val="2"/>
        </w:numPr>
        <w:spacing w:after="90"/>
      </w:pPr>
      <w:r>
        <w:rPr>
          <w:rFonts w:ascii="Calibri" w:cs="Calibri" w:eastAsia="Calibri" w:hAnsi="Calibri"/>
          <w:color w:val="3B3B3B"/>
          <w:sz w:val="21"/>
          <w:szCs w:val="21"/>
        </w:rPr>
        <w:t xml:space="preserve">Bloc utilisateur connecté (avatar, rôle « Administrateur », menu déroulant).</w:t>
      </w:r>
    </w:p>
    <w:p>
      <w:pPr>
        <w:pStyle w:val="Heading2"/>
        <w:spacing w:after="150" w:before="300"/>
      </w:pPr>
      <w:r>
        <w:rPr>
          <w:rFonts w:ascii="Calibri" w:cs="Calibri" w:eastAsia="Calibri" w:hAnsi="Calibri"/>
          <w:b/>
          <w:bCs/>
          <w:color w:val="1E4C85"/>
          <w:sz w:val="25"/>
          <w:szCs w:val="25"/>
        </w:rPr>
        <w:t xml:space="preserve">4.3. Bandeau d'indicateurs clés (KPI)</w:t>
      </w:r>
    </w:p>
    <w:p>
      <w:pPr>
        <w:spacing w:after="160" w:line="300"/>
        <w:jc w:val="both"/>
      </w:pPr>
      <w:r>
        <w:rPr>
          <w:rFonts w:ascii="Calibri" w:cs="Calibri" w:eastAsia="Calibri" w:hAnsi="Calibri"/>
          <w:color w:val="3B3B3B"/>
          <w:sz w:val="21"/>
          <w:szCs w:val="21"/>
        </w:rPr>
        <w:t xml:space="preserve">Cinq cartes d'indicateurs synthétiques, actualisées en continu :</w:t>
      </w:r>
    </w:p>
    <w:tbl>
      <w:tblPr>
        <w:tblW w:type="dxa" w:w="900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2900"/>
        <w:gridCol w:w="3500"/>
      </w:tblGrid>
      <w:tr>
        <w:trPr>
          <w:tblHeader/>
        </w:trPr>
        <w:tc>
          <w:tcPr>
            <w:tcW w:type="dxa" w:w="26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Indicateur</w:t>
            </w:r>
          </w:p>
        </w:tc>
        <w:tc>
          <w:tcPr>
            <w:tcW w:type="dxa" w:w="29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Exemple de valeur</w:t>
            </w:r>
          </w:p>
        </w:tc>
        <w:tc>
          <w:tcPr>
            <w:tcW w:type="dxa" w:w="35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Complément affiché</w:t>
            </w:r>
          </w:p>
        </w:tc>
      </w:tr>
      <w:tr>
        <w:tc>
          <w:tcPr>
            <w:tcW w:type="dxa" w:w="2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Véhicules en service</w:t>
            </w:r>
          </w:p>
        </w:tc>
        <w:tc>
          <w:tcPr>
            <w:tcW w:type="dxa" w:w="29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24 / 28</w:t>
            </w:r>
          </w:p>
        </w:tc>
        <w:tc>
          <w:tcPr>
            <w:tcW w:type="dxa" w:w="35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 opérationnel (ex. 86 %)</w:t>
            </w:r>
          </w:p>
        </w:tc>
      </w:tr>
      <w:tr>
        <w:tc>
          <w:tcPr>
            <w:tcW w:type="dxa" w:w="2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Véhicules en déplacement</w:t>
            </w:r>
          </w:p>
        </w:tc>
        <w:tc>
          <w:tcPr>
            <w:tcW w:type="dxa" w:w="29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20</w:t>
            </w:r>
          </w:p>
        </w:tc>
        <w:tc>
          <w:tcPr>
            <w:tcW w:type="dxa" w:w="35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Mention « en temps réel »</w:t>
            </w:r>
          </w:p>
        </w:tc>
      </w:tr>
      <w:tr>
        <w:tc>
          <w:tcPr>
            <w:tcW w:type="dxa" w:w="2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Véhicules à l'arrêt</w:t>
            </w:r>
          </w:p>
        </w:tc>
        <w:tc>
          <w:tcPr>
            <w:tcW w:type="dxa" w:w="29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4</w:t>
            </w:r>
          </w:p>
        </w:tc>
        <w:tc>
          <w:tcPr>
            <w:tcW w:type="dxa" w:w="35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Détail hors service / en pause</w:t>
            </w:r>
          </w:p>
        </w:tc>
      </w:tr>
      <w:tr>
        <w:tc>
          <w:tcPr>
            <w:tcW w:type="dxa" w:w="2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Vitesse moyenne</w:t>
            </w:r>
          </w:p>
        </w:tc>
        <w:tc>
          <w:tcPr>
            <w:tcW w:type="dxa" w:w="29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48 km/h</w:t>
            </w:r>
          </w:p>
        </w:tc>
        <w:tc>
          <w:tcPr>
            <w:tcW w:type="dxa" w:w="35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Variation vs veille (ex. -12 %)</w:t>
            </w:r>
          </w:p>
        </w:tc>
      </w:tr>
      <w:tr>
        <w:tc>
          <w:tcPr>
            <w:tcW w:type="dxa" w:w="2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Consommation carburant</w:t>
            </w:r>
          </w:p>
        </w:tc>
        <w:tc>
          <w:tcPr>
            <w:tcW w:type="dxa" w:w="29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342 L</w:t>
            </w:r>
          </w:p>
        </w:tc>
        <w:tc>
          <w:tcPr>
            <w:tcW w:type="dxa" w:w="35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Variation vs veille (ex. -8 %)</w:t>
            </w:r>
          </w:p>
        </w:tc>
      </w:tr>
    </w:tbl>
    <w:p>
      <w:pPr>
        <w:spacing w:after="160" w:line="300"/>
        <w:jc w:val="both"/>
      </w:pPr>
      <w:r>
        <w:rPr>
          <w:rFonts w:ascii="Calibri" w:cs="Calibri" w:eastAsia="Calibri" w:hAnsi="Calibri"/>
          <w:color w:val="3B3B3B"/>
          <w:sz w:val="21"/>
          <w:szCs w:val="21"/>
        </w:rPr>
        <w:t xml:space="preserve"/>
      </w:r>
    </w:p>
    <w:p>
      <w:pPr>
        <w:pStyle w:val="Heading2"/>
        <w:spacing w:after="150" w:before="300"/>
      </w:pPr>
      <w:r>
        <w:rPr>
          <w:rFonts w:ascii="Calibri" w:cs="Calibri" w:eastAsia="Calibri" w:hAnsi="Calibri"/>
          <w:b/>
          <w:bCs/>
          <w:color w:val="1E4C85"/>
          <w:sz w:val="25"/>
          <w:szCs w:val="25"/>
        </w:rPr>
        <w:t xml:space="preserve">4.4. Carte de supervision temps réel</w:t>
      </w:r>
    </w:p>
    <w:p>
      <w:pPr>
        <w:spacing w:after="160" w:line="300"/>
        <w:jc w:val="both"/>
      </w:pPr>
      <w:r>
        <w:rPr>
          <w:rFonts w:ascii="Calibri" w:cs="Calibri" w:eastAsia="Calibri" w:hAnsi="Calibri"/>
          <w:color w:val="3B3B3B"/>
          <w:sz w:val="21"/>
          <w:szCs w:val="21"/>
        </w:rPr>
        <w:t xml:space="preserve">Zone centrale affichant la carte d'Abidjan (ou zone de couverture) avec :</w:t>
      </w:r>
    </w:p>
    <w:p>
      <w:pPr>
        <w:pStyle w:val="ListParagraph"/>
        <w:numPr>
          <w:ilvl w:val="0"/>
          <w:numId w:val="2"/>
        </w:numPr>
        <w:spacing w:after="90"/>
      </w:pPr>
      <w:r>
        <w:rPr>
          <w:rFonts w:ascii="Calibri" w:cs="Calibri" w:eastAsia="Calibri" w:hAnsi="Calibri"/>
          <w:color w:val="3B3B3B"/>
          <w:sz w:val="21"/>
          <w:szCs w:val="21"/>
        </w:rPr>
        <w:t xml:space="preserve">Marqueurs véhicules colorés selon leur statut : en déplacement, à l'arrêt, en alerte, hors ligne.</w:t>
      </w:r>
    </w:p>
    <w:p>
      <w:pPr>
        <w:pStyle w:val="ListParagraph"/>
        <w:numPr>
          <w:ilvl w:val="0"/>
          <w:numId w:val="2"/>
        </w:numPr>
        <w:spacing w:after="90"/>
      </w:pPr>
      <w:r>
        <w:rPr>
          <w:rFonts w:ascii="Calibri" w:cs="Calibri" w:eastAsia="Calibri" w:hAnsi="Calibri"/>
          <w:color w:val="3B3B3B"/>
          <w:sz w:val="21"/>
          <w:szCs w:val="21"/>
        </w:rPr>
        <w:t xml:space="preserve">Étiquettes d'immatriculation flottantes sur les marqueurs actifs.</w:t>
      </w:r>
    </w:p>
    <w:p>
      <w:pPr>
        <w:pStyle w:val="ListParagraph"/>
        <w:numPr>
          <w:ilvl w:val="0"/>
          <w:numId w:val="2"/>
        </w:numPr>
        <w:spacing w:after="90"/>
      </w:pPr>
      <w:r>
        <w:rPr>
          <w:rFonts w:ascii="Calibri" w:cs="Calibri" w:eastAsia="Calibri" w:hAnsi="Calibri"/>
          <w:color w:val="3B3B3B"/>
          <w:sz w:val="21"/>
          <w:szCs w:val="21"/>
        </w:rPr>
        <w:t xml:space="preserve">Tracé d'itinéraire pour un ou plusieurs véhicules sélectionnés.</w:t>
      </w:r>
    </w:p>
    <w:p>
      <w:pPr>
        <w:pStyle w:val="ListParagraph"/>
        <w:numPr>
          <w:ilvl w:val="0"/>
          <w:numId w:val="2"/>
        </w:numPr>
        <w:spacing w:after="90"/>
      </w:pPr>
      <w:r>
        <w:rPr>
          <w:rFonts w:ascii="Calibri" w:cs="Calibri" w:eastAsia="Calibri" w:hAnsi="Calibri"/>
          <w:color w:val="3B3B3B"/>
          <w:sz w:val="21"/>
          <w:szCs w:val="21"/>
        </w:rPr>
        <w:t xml:space="preserve">Légende des statuts avec compteur par catégorie.</w:t>
      </w:r>
    </w:p>
    <w:p>
      <w:pPr>
        <w:pStyle w:val="ListParagraph"/>
        <w:numPr>
          <w:ilvl w:val="0"/>
          <w:numId w:val="2"/>
        </w:numPr>
        <w:spacing w:after="90"/>
      </w:pPr>
      <w:r>
        <w:rPr>
          <w:rFonts w:ascii="Calibri" w:cs="Calibri" w:eastAsia="Calibri" w:hAnsi="Calibri"/>
          <w:color w:val="3B3B3B"/>
          <w:sz w:val="21"/>
          <w:szCs w:val="21"/>
        </w:rPr>
        <w:t xml:space="preserve">Filtre déroulant « Toutes les catégories » pour affiner l'affichage.</w:t>
      </w:r>
    </w:p>
    <w:p>
      <w:pPr>
        <w:pStyle w:val="ListParagraph"/>
        <w:numPr>
          <w:ilvl w:val="0"/>
          <w:numId w:val="2"/>
        </w:numPr>
        <w:spacing w:after="90"/>
      </w:pPr>
      <w:r>
        <w:rPr>
          <w:rFonts w:ascii="Calibri" w:cs="Calibri" w:eastAsia="Calibri" w:hAnsi="Calibri"/>
          <w:color w:val="3B3B3B"/>
          <w:sz w:val="21"/>
          <w:szCs w:val="21"/>
        </w:rPr>
        <w:t xml:space="preserve">Outils de zoom et de couches (contrôles +/− et sélecteur de fond de carte).</w:t>
      </w:r>
    </w:p>
    <w:p>
      <w:pPr>
        <w:pStyle w:val="ListParagraph"/>
        <w:numPr>
          <w:ilvl w:val="0"/>
          <w:numId w:val="2"/>
        </w:numPr>
        <w:spacing w:after="90"/>
      </w:pPr>
      <w:r>
        <w:rPr>
          <w:rFonts w:ascii="Calibri" w:cs="Calibri" w:eastAsia="Calibri" w:hAnsi="Calibri"/>
          <w:color w:val="3B3B3B"/>
          <w:sz w:val="21"/>
          <w:szCs w:val="21"/>
        </w:rPr>
        <w:t xml:space="preserve">Échelle cartographique.</w:t>
      </w:r>
    </w:p>
    <w:p>
      <w:pPr>
        <w:pStyle w:val="Heading2"/>
        <w:spacing w:after="150" w:before="300"/>
      </w:pPr>
      <w:r>
        <w:rPr>
          <w:rFonts w:ascii="Calibri" w:cs="Calibri" w:eastAsia="Calibri" w:hAnsi="Calibri"/>
          <w:b/>
          <w:bCs/>
          <w:color w:val="1E4C85"/>
          <w:sz w:val="25"/>
          <w:szCs w:val="25"/>
        </w:rPr>
        <w:t xml:space="preserve">4.5. Raccourcis d'action rapide</w:t>
      </w:r>
    </w:p>
    <w:p>
      <w:pPr>
        <w:spacing w:after="160" w:line="300"/>
        <w:jc w:val="both"/>
      </w:pPr>
      <w:r>
        <w:rPr>
          <w:rFonts w:ascii="Calibri" w:cs="Calibri" w:eastAsia="Calibri" w:hAnsi="Calibri"/>
          <w:color w:val="3B3B3B"/>
          <w:sz w:val="21"/>
          <w:szCs w:val="21"/>
        </w:rPr>
        <w:t xml:space="preserve">Rangée de cinq raccourcis sous la carte, chacun avec icône, libellé et courte description, pointant vers les modules : Gestion des zones, Gestion des vitesses, Gestion des horaires, Règles de gestion, Rapports.</w:t>
      </w:r>
    </w:p>
    <w:p>
      <w:pPr>
        <w:pStyle w:val="Heading2"/>
        <w:spacing w:after="150" w:before="300"/>
      </w:pPr>
      <w:r>
        <w:rPr>
          <w:rFonts w:ascii="Calibri" w:cs="Calibri" w:eastAsia="Calibri" w:hAnsi="Calibri"/>
          <w:b/>
          <w:bCs/>
          <w:color w:val="1E4C85"/>
          <w:sz w:val="25"/>
          <w:szCs w:val="25"/>
        </w:rPr>
        <w:t xml:space="preserve">4.6. Panneau « Alertes récentes »</w:t>
      </w:r>
    </w:p>
    <w:p>
      <w:pPr>
        <w:spacing w:after="160" w:line="300"/>
        <w:jc w:val="both"/>
      </w:pPr>
      <w:r>
        <w:rPr>
          <w:rFonts w:ascii="Calibri" w:cs="Calibri" w:eastAsia="Calibri" w:hAnsi="Calibri"/>
          <w:color w:val="3B3B3B"/>
          <w:sz w:val="21"/>
          <w:szCs w:val="21"/>
        </w:rPr>
        <w:t xml:space="preserve">Liste des dernières alertes avec badge de sévérité (couleur), libellé, véhicule concerné, détail (ex. dépassement de vitesse et seuil), et horodatage. Lien « Voir tout » vers le module Alertes complet. Les niveaux de criticité suivent la classification du rapport fonctionnel :</w:t>
      </w:r>
    </w:p>
    <w:tbl>
      <w:tblPr>
        <w:tblW w:type="dxa" w:w="9000"/>
        <w:tblBorders>
          <w:top w:val="single" w:color="C9D6E5" w:sz="4"/>
          <w:left w:val="single" w:color="C9D6E5" w:sz="4"/>
          <w:bottom w:val="single" w:color="C9D6E5" w:sz="4"/>
          <w:right w:val="single" w:color="C9D6E5" w:sz="4"/>
          <w:insideH w:val="single" w:color="C9D6E5" w:sz="4"/>
          <w:insideV w:val="single" w:color="C9D6E5" w:sz="4"/>
        </w:tblBorders>
      </w:tblPr>
      <w:tblGrid>
        <w:gridCol w:w="1800"/>
        <w:gridCol w:w="3600"/>
        <w:gridCol w:w="3600"/>
      </w:tblGrid>
      <w:tr>
        <w:trPr>
          <w:tblHeader/>
        </w:trPr>
        <w:tc>
          <w:tcPr>
            <w:tcW w:type="dxa" w:w="18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Niveau</w:t>
            </w:r>
          </w:p>
        </w:tc>
        <w:tc>
          <w:tcPr>
            <w:tcW w:type="dxa" w:w="36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Exemples d'événements</w:t>
            </w:r>
          </w:p>
        </w:tc>
        <w:tc>
          <w:tcPr>
            <w:tcW w:type="dxa" w:w="36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Action de référence</w:t>
            </w:r>
          </w:p>
        </w:tc>
      </w:tr>
      <w:tr>
        <w:tc>
          <w:tcPr>
            <w:tcW w:type="dxa" w:w="18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Critique</w:t>
            </w:r>
          </w:p>
        </w:tc>
        <w:tc>
          <w:tcPr>
            <w:tcW w:type="dxa" w:w="3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SOS, coupure d'alimentation, suspicion de brouillage</w:t>
            </w:r>
          </w:p>
        </w:tc>
        <w:tc>
          <w:tcPr>
            <w:tcW w:type="dxa" w:w="3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Alerte prioritaire + audit</w:t>
            </w:r>
          </w:p>
        </w:tc>
      </w:tr>
      <w:tr>
        <w:tc>
          <w:tcPr>
            <w:tcW w:type="dxa" w:w="18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Majeur</w:t>
            </w:r>
          </w:p>
        </w:tc>
        <w:tc>
          <w:tcPr>
            <w:tcW w:type="dxa" w:w="3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Sortie de zone autorisée, remorquage, vibration</w:t>
            </w:r>
          </w:p>
        </w:tc>
        <w:tc>
          <w:tcPr>
            <w:tcW w:type="dxa" w:w="3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Immobilisation si configurée</w:t>
            </w:r>
          </w:p>
        </w:tc>
      </w:tr>
      <w:tr>
        <w:tc>
          <w:tcPr>
            <w:tcW w:type="dxa" w:w="18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Moyen</w:t>
            </w:r>
          </w:p>
        </w:tc>
        <w:tc>
          <w:tcPr>
            <w:tcW w:type="dxa" w:w="3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Dépassement de vitesse, moteur ON/OFF</w:t>
            </w:r>
          </w:p>
        </w:tc>
        <w:tc>
          <w:tcPr>
            <w:tcW w:type="dxa" w:w="36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Notification simple</w:t>
            </w:r>
          </w:p>
        </w:tc>
      </w:tr>
      <w:tr>
        <w:tc>
          <w:tcPr>
            <w:tcW w:type="dxa" w:w="18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Info</w:t>
            </w:r>
          </w:p>
        </w:tc>
        <w:tc>
          <w:tcPr>
            <w:tcW w:type="dxa" w:w="3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Rapport de position, kilométrage</w:t>
            </w:r>
          </w:p>
        </w:tc>
        <w:tc>
          <w:tcPr>
            <w:tcW w:type="dxa" w:w="36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Historisation</w:t>
            </w:r>
          </w:p>
        </w:tc>
      </w:tr>
    </w:tbl>
    <w:p>
      <w:pPr>
        <w:spacing w:after="160" w:line="300"/>
        <w:jc w:val="both"/>
      </w:pPr>
      <w:r>
        <w:rPr>
          <w:rFonts w:ascii="Calibri" w:cs="Calibri" w:eastAsia="Calibri" w:hAnsi="Calibri"/>
          <w:color w:val="3B3B3B"/>
          <w:sz w:val="21"/>
          <w:szCs w:val="21"/>
        </w:rPr>
        <w:t xml:space="preserve"/>
      </w:r>
    </w:p>
    <w:p>
      <w:pPr>
        <w:pStyle w:val="Heading2"/>
        <w:spacing w:after="150" w:before="300"/>
      </w:pPr>
      <w:r>
        <w:rPr>
          <w:rFonts w:ascii="Calibri" w:cs="Calibri" w:eastAsia="Calibri" w:hAnsi="Calibri"/>
          <w:b/>
          <w:bCs/>
          <w:color w:val="1E4C85"/>
          <w:sz w:val="25"/>
          <w:szCs w:val="25"/>
        </w:rPr>
        <w:t xml:space="preserve">4.7. Panneau « Incidents en cours »</w:t>
      </w:r>
    </w:p>
    <w:p>
      <w:pPr>
        <w:spacing w:after="160" w:line="300"/>
        <w:jc w:val="both"/>
      </w:pPr>
      <w:r>
        <w:rPr>
          <w:rFonts w:ascii="Calibri" w:cs="Calibri" w:eastAsia="Calibri" w:hAnsi="Calibri"/>
          <w:color w:val="3B3B3B"/>
          <w:sz w:val="21"/>
          <w:szCs w:val="21"/>
        </w:rPr>
        <w:t xml:space="preserve">Liste des incidents ouverts avec badge de statut, libellé (ex. accident détecté, freinage brusque), véhicule et zone concernés, horodatage, et lien « Voir tout » vers le module Incidents.</w:t>
      </w:r>
    </w:p>
    <w:p>
      <w:pPr>
        <w:pStyle w:val="Heading2"/>
        <w:spacing w:after="150" w:before="300"/>
      </w:pPr>
      <w:r>
        <w:rPr>
          <w:rFonts w:ascii="Calibri" w:cs="Calibri" w:eastAsia="Calibri" w:hAnsi="Calibri"/>
          <w:b/>
          <w:bCs/>
          <w:color w:val="1E4C85"/>
          <w:sz w:val="25"/>
          <w:szCs w:val="25"/>
        </w:rPr>
        <w:t xml:space="preserve">4.8. Tableau « Flux de véhicules (dernières 24h) »</w:t>
      </w:r>
    </w:p>
    <w:p>
      <w:pPr>
        <w:spacing w:after="160" w:line="300"/>
        <w:jc w:val="both"/>
      </w:pPr>
      <w:r>
        <w:rPr>
          <w:rFonts w:ascii="Calibri" w:cs="Calibri" w:eastAsia="Calibri" w:hAnsi="Calibri"/>
          <w:color w:val="3B3B3B"/>
          <w:sz w:val="21"/>
          <w:szCs w:val="21"/>
        </w:rPr>
        <w:t xml:space="preserve">Tableau listant, pour chaque véhicule : immatriculation, conducteur, dernière position connue, statut (avec puce colorée), vitesse instantanée. Lien « Voir tous les véhicules » en bas de tableau.</w:t>
      </w:r>
    </w:p>
    <w:p>
      <w:pPr>
        <w:pStyle w:val="Heading2"/>
        <w:spacing w:after="150" w:before="300"/>
      </w:pPr>
      <w:r>
        <w:rPr>
          <w:rFonts w:ascii="Calibri" w:cs="Calibri" w:eastAsia="Calibri" w:hAnsi="Calibri"/>
          <w:b/>
          <w:bCs/>
          <w:color w:val="1E4C85"/>
          <w:sz w:val="25"/>
          <w:szCs w:val="25"/>
        </w:rPr>
        <w:t xml:space="preserve">4.9. Widget « État de la flotte »</w:t>
      </w:r>
    </w:p>
    <w:p>
      <w:pPr>
        <w:pStyle w:val="ListParagraph"/>
        <w:numPr>
          <w:ilvl w:val="0"/>
          <w:numId w:val="2"/>
        </w:numPr>
        <w:spacing w:after="90"/>
      </w:pPr>
      <w:r>
        <w:rPr>
          <w:rFonts w:ascii="Calibri" w:cs="Calibri" w:eastAsia="Calibri" w:hAnsi="Calibri"/>
          <w:color w:val="3B3B3B"/>
          <w:sz w:val="21"/>
          <w:szCs w:val="21"/>
        </w:rPr>
        <w:t xml:space="preserve">Graphique en anneau (donut) répartissant la flotte par statut : en déplacement, à l'arrêt, hors ligne, en maintenance, avec pourcentages et total au centre.</w:t>
      </w:r>
    </w:p>
    <w:p>
      <w:pPr>
        <w:pStyle w:val="ListParagraph"/>
        <w:numPr>
          <w:ilvl w:val="0"/>
          <w:numId w:val="2"/>
        </w:numPr>
        <w:spacing w:after="90"/>
      </w:pPr>
      <w:r>
        <w:rPr>
          <w:rFonts w:ascii="Calibri" w:cs="Calibri" w:eastAsia="Calibri" w:hAnsi="Calibri"/>
          <w:color w:val="3B3B3B"/>
          <w:sz w:val="21"/>
          <w:szCs w:val="21"/>
        </w:rPr>
        <w:t xml:space="preserve">Graphique en barres « Évolution des incidents/alertes » sur les 7 derniers jours, avec légende à deux séries (incidents / alertes).</w:t>
      </w:r>
    </w:p>
    <w:p>
      <w:pPr>
        <w:pStyle w:val="Heading2"/>
        <w:spacing w:after="150" w:before="300"/>
      </w:pPr>
      <w:r>
        <w:rPr>
          <w:rFonts w:ascii="Calibri" w:cs="Calibri" w:eastAsia="Calibri" w:hAnsi="Calibri"/>
          <w:b/>
          <w:bCs/>
          <w:color w:val="1E4C85"/>
          <w:sz w:val="25"/>
          <w:szCs w:val="25"/>
        </w:rPr>
        <w:t xml:space="preserve">4.10. Panneau « Rapports populaires »</w:t>
      </w:r>
    </w:p>
    <w:p>
      <w:pPr>
        <w:spacing w:after="160" w:line="300"/>
        <w:jc w:val="both"/>
      </w:pPr>
      <w:r>
        <w:rPr>
          <w:rFonts w:ascii="Calibri" w:cs="Calibri" w:eastAsia="Calibri" w:hAnsi="Calibri"/>
          <w:color w:val="3B3B3B"/>
          <w:sz w:val="21"/>
          <w:szCs w:val="21"/>
        </w:rPr>
        <w:t xml:space="preserve">Liste des rapports les plus consultés (déplacement quotidien, infractions de vitesse, consommation carburant, incidents, maintenance) avec format et poids du fichier, et bouton de téléchargement par ligne. Lien « Voir tout » vers le module Rapports.</w:t>
      </w:r>
    </w:p>
    <w:p>
      <w:pPr>
        <w:pStyle w:val="Heading1"/>
        <w:pBdr>
          <w:bottom w:val="single" w:color="0B2A52" w:sz="8" w:space="4"/>
        </w:pBdr>
        <w:spacing w:after="200" w:before="400"/>
      </w:pPr>
      <w:r>
        <w:rPr>
          <w:rFonts w:ascii="Calibri" w:cs="Calibri" w:eastAsia="Calibri" w:hAnsi="Calibri"/>
          <w:b/>
          <w:bCs/>
          <w:color w:val="0B2A52"/>
          <w:sz w:val="30"/>
          <w:szCs w:val="30"/>
        </w:rPr>
        <w:t xml:space="preserve">5. Spécifications techniques de la maquette</w:t>
      </w:r>
    </w:p>
    <w:p>
      <w:pPr>
        <w:pStyle w:val="Heading2"/>
        <w:spacing w:after="150" w:before="300"/>
      </w:pPr>
      <w:r>
        <w:rPr>
          <w:rFonts w:ascii="Calibri" w:cs="Calibri" w:eastAsia="Calibri" w:hAnsi="Calibri"/>
          <w:b/>
          <w:bCs/>
          <w:color w:val="1E4C85"/>
          <w:sz w:val="25"/>
          <w:szCs w:val="25"/>
        </w:rPr>
        <w:t xml:space="preserve">5.1. Nature du livrable</w:t>
      </w:r>
    </w:p>
    <w:p>
      <w:pPr>
        <w:spacing w:after="160" w:line="300"/>
        <w:jc w:val="both"/>
      </w:pPr>
      <w:r>
        <w:rPr>
          <w:rFonts w:ascii="Calibri" w:cs="Calibri" w:eastAsia="Calibri" w:hAnsi="Calibri"/>
          <w:color w:val="3B3B3B"/>
          <w:sz w:val="21"/>
          <w:szCs w:val="21"/>
        </w:rPr>
        <w:t xml:space="preserve">Il s'agit d'une maquette haute-fidélité interactive (front-end uniquement), sans connexion à une base de données réelle. Les données affichées sont des données simulées (« mock data ») représentatives des cas d'usage décrits dans le rapport fonctionnel SISBM CORE.</w:t>
      </w:r>
    </w:p>
    <w:p>
      <w:pPr>
        <w:pStyle w:val="Heading2"/>
        <w:spacing w:after="150" w:before="300"/>
      </w:pPr>
      <w:r>
        <w:rPr>
          <w:rFonts w:ascii="Calibri" w:cs="Calibri" w:eastAsia="Calibri" w:hAnsi="Calibri"/>
          <w:b/>
          <w:bCs/>
          <w:color w:val="1E4C85"/>
          <w:sz w:val="25"/>
          <w:szCs w:val="25"/>
        </w:rPr>
        <w:t xml:space="preserve">5.2. Interactions attendues</w:t>
      </w:r>
    </w:p>
    <w:p>
      <w:pPr>
        <w:pStyle w:val="ListParagraph"/>
        <w:numPr>
          <w:ilvl w:val="0"/>
          <w:numId w:val="2"/>
        </w:numPr>
        <w:spacing w:after="90"/>
      </w:pPr>
      <w:r>
        <w:rPr>
          <w:rFonts w:ascii="Calibri" w:cs="Calibri" w:eastAsia="Calibri" w:hAnsi="Calibri"/>
          <w:color w:val="3B3B3B"/>
          <w:sz w:val="21"/>
          <w:szCs w:val="21"/>
        </w:rPr>
        <w:t xml:space="preserve">Navigation entre les entrées du menu latéral (au moins un changement d'état visuel actif/inactif ; les écrans secondaires peuvent rester à l'état de maquette simplifiée).</w:t>
      </w:r>
    </w:p>
    <w:p>
      <w:pPr>
        <w:pStyle w:val="ListParagraph"/>
        <w:numPr>
          <w:ilvl w:val="0"/>
          <w:numId w:val="2"/>
        </w:numPr>
        <w:spacing w:after="90"/>
      </w:pPr>
      <w:r>
        <w:rPr>
          <w:rFonts w:ascii="Calibri" w:cs="Calibri" w:eastAsia="Calibri" w:hAnsi="Calibri"/>
          <w:color w:val="3B3B3B"/>
          <w:sz w:val="21"/>
          <w:szCs w:val="21"/>
        </w:rPr>
        <w:t xml:space="preserve">Sélection d'un véhicule sur la carte ou dans le tableau pour afficher son détail / itinéraire.</w:t>
      </w:r>
    </w:p>
    <w:p>
      <w:pPr>
        <w:pStyle w:val="ListParagraph"/>
        <w:numPr>
          <w:ilvl w:val="0"/>
          <w:numId w:val="2"/>
        </w:numPr>
        <w:spacing w:after="90"/>
      </w:pPr>
      <w:r>
        <w:rPr>
          <w:rFonts w:ascii="Calibri" w:cs="Calibri" w:eastAsia="Calibri" w:hAnsi="Calibri"/>
          <w:color w:val="3B3B3B"/>
          <w:sz w:val="21"/>
          <w:szCs w:val="21"/>
        </w:rPr>
        <w:t xml:space="preserve">Filtrage de la carte par catégorie de statut.</w:t>
      </w:r>
    </w:p>
    <w:p>
      <w:pPr>
        <w:pStyle w:val="ListParagraph"/>
        <w:numPr>
          <w:ilvl w:val="0"/>
          <w:numId w:val="2"/>
        </w:numPr>
        <w:spacing w:after="90"/>
      </w:pPr>
      <w:r>
        <w:rPr>
          <w:rFonts w:ascii="Calibri" w:cs="Calibri" w:eastAsia="Calibri" w:hAnsi="Calibri"/>
          <w:color w:val="3B3B3B"/>
          <w:sz w:val="21"/>
          <w:szCs w:val="21"/>
        </w:rPr>
        <w:t xml:space="preserve">Survol et clic sur les cartes KPI, alertes et incidents (états hover / focus).</w:t>
      </w:r>
    </w:p>
    <w:p>
      <w:pPr>
        <w:pStyle w:val="ListParagraph"/>
        <w:numPr>
          <w:ilvl w:val="0"/>
          <w:numId w:val="2"/>
        </w:numPr>
        <w:spacing w:after="90"/>
      </w:pPr>
      <w:r>
        <w:rPr>
          <w:rFonts w:ascii="Calibri" w:cs="Calibri" w:eastAsia="Calibri" w:hAnsi="Calibri"/>
          <w:color w:val="3B3B3B"/>
          <w:sz w:val="21"/>
          <w:szCs w:val="21"/>
        </w:rPr>
        <w:t xml:space="preserve">Comportement responsive a minima pour desktop et tablette large.</w:t>
      </w:r>
    </w:p>
    <w:p>
      <w:pPr>
        <w:pStyle w:val="Heading2"/>
        <w:spacing w:after="150" w:before="300"/>
      </w:pPr>
      <w:r>
        <w:rPr>
          <w:rFonts w:ascii="Calibri" w:cs="Calibri" w:eastAsia="Calibri" w:hAnsi="Calibri"/>
          <w:b/>
          <w:bCs/>
          <w:color w:val="1E4C85"/>
          <w:sz w:val="25"/>
          <w:szCs w:val="25"/>
        </w:rPr>
        <w:t xml:space="preserve">5.3. Contraintes techniques</w:t>
      </w:r>
    </w:p>
    <w:p>
      <w:pPr>
        <w:pStyle w:val="ListParagraph"/>
        <w:numPr>
          <w:ilvl w:val="0"/>
          <w:numId w:val="2"/>
        </w:numPr>
        <w:spacing w:after="90"/>
      </w:pPr>
      <w:r>
        <w:rPr>
          <w:rFonts w:ascii="Calibri" w:cs="Calibri" w:eastAsia="Calibri" w:hAnsi="Calibri"/>
          <w:color w:val="3B3B3B"/>
          <w:sz w:val="21"/>
          <w:szCs w:val="21"/>
        </w:rPr>
        <w:t xml:space="preserve">Technologies web standards (HTML, CSS, JavaScript ou React) pour une exécution autonome dans un navigateur.</w:t>
      </w:r>
    </w:p>
    <w:p>
      <w:pPr>
        <w:pStyle w:val="ListParagraph"/>
        <w:numPr>
          <w:ilvl w:val="0"/>
          <w:numId w:val="2"/>
        </w:numPr>
        <w:spacing w:after="90"/>
      </w:pPr>
      <w:r>
        <w:rPr>
          <w:rFonts w:ascii="Calibri" w:cs="Calibri" w:eastAsia="Calibri" w:hAnsi="Calibri"/>
          <w:color w:val="3B3B3B"/>
          <w:sz w:val="21"/>
          <w:szCs w:val="21"/>
        </w:rPr>
        <w:t xml:space="preserve">Respect strict de la charte graphique SISBM (section 6).</w:t>
      </w:r>
    </w:p>
    <w:p>
      <w:pPr>
        <w:pStyle w:val="ListParagraph"/>
        <w:numPr>
          <w:ilvl w:val="0"/>
          <w:numId w:val="2"/>
        </w:numPr>
        <w:spacing w:after="90"/>
      </w:pPr>
      <w:r>
        <w:rPr>
          <w:rFonts w:ascii="Calibri" w:cs="Calibri" w:eastAsia="Calibri" w:hAnsi="Calibri"/>
          <w:color w:val="3B3B3B"/>
          <w:sz w:val="21"/>
          <w:szCs w:val="21"/>
        </w:rPr>
        <w:t xml:space="preserve">Code structuré et commenté afin de servir de base au développement final de l'écran.</w:t>
      </w:r>
    </w:p>
    <w:p>
      <w:pPr>
        <w:pStyle w:val="ListParagraph"/>
        <w:numPr>
          <w:ilvl w:val="0"/>
          <w:numId w:val="2"/>
        </w:numPr>
        <w:spacing w:after="90"/>
      </w:pPr>
      <w:r>
        <w:rPr>
          <w:rFonts w:ascii="Calibri" w:cs="Calibri" w:eastAsia="Calibri" w:hAnsi="Calibri"/>
          <w:color w:val="3B3B3B"/>
          <w:sz w:val="21"/>
          <w:szCs w:val="21"/>
        </w:rPr>
        <w:t xml:space="preserve">Aucune dépendance à un service externe payant ou à une clé API réelle ; toute carte doit fonctionner avec des données simulées ou une librairie de cartographie libre.</w:t>
      </w:r>
    </w:p>
    <w:p>
      <w:pPr>
        <w:pStyle w:val="Heading1"/>
        <w:pBdr>
          <w:bottom w:val="single" w:color="0B2A52" w:sz="8" w:space="4"/>
        </w:pBdr>
        <w:spacing w:after="200" w:before="400"/>
      </w:pPr>
      <w:r>
        <w:rPr>
          <w:rFonts w:ascii="Calibri" w:cs="Calibri" w:eastAsia="Calibri" w:hAnsi="Calibri"/>
          <w:b/>
          <w:bCs/>
          <w:color w:val="0B2A52"/>
          <w:sz w:val="30"/>
          <w:szCs w:val="30"/>
        </w:rPr>
        <w:t xml:space="preserve">6. Charte graphique et identité visuelle</w:t>
      </w:r>
    </w:p>
    <w:p>
      <w:pPr>
        <w:pStyle w:val="ListParagraph"/>
        <w:numPr>
          <w:ilvl w:val="0"/>
          <w:numId w:val="2"/>
        </w:numPr>
        <w:spacing w:after="90"/>
      </w:pPr>
      <w:r>
        <w:rPr>
          <w:rFonts w:ascii="Calibri" w:cs="Calibri" w:eastAsia="Calibri" w:hAnsi="Calibri"/>
          <w:color w:val="3B3B3B"/>
          <w:sz w:val="21"/>
          <w:szCs w:val="21"/>
        </w:rPr>
        <w:t xml:space="preserve">Couleur dominante : bleu marine institutionnel SISBM, décliné en dégradés pour la barre latérale et les en-têtes.</w:t>
      </w:r>
    </w:p>
    <w:p>
      <w:pPr>
        <w:pStyle w:val="ListParagraph"/>
        <w:numPr>
          <w:ilvl w:val="0"/>
          <w:numId w:val="2"/>
        </w:numPr>
        <w:spacing w:after="90"/>
      </w:pPr>
      <w:r>
        <w:rPr>
          <w:rFonts w:ascii="Calibri" w:cs="Calibri" w:eastAsia="Calibri" w:hAnsi="Calibri"/>
          <w:color w:val="3B3B3B"/>
          <w:sz w:val="21"/>
          <w:szCs w:val="21"/>
        </w:rPr>
        <w:t xml:space="preserve">Couleurs fonctionnelles : vert (statut normal / en déplacement), orange (attention / à l'arrêt), rouge (alerte / critique), gris (hors ligne).</w:t>
      </w:r>
    </w:p>
    <w:p>
      <w:pPr>
        <w:pStyle w:val="ListParagraph"/>
        <w:numPr>
          <w:ilvl w:val="0"/>
          <w:numId w:val="2"/>
        </w:numPr>
        <w:spacing w:after="90"/>
      </w:pPr>
      <w:r>
        <w:rPr>
          <w:rFonts w:ascii="Calibri" w:cs="Calibri" w:eastAsia="Calibri" w:hAnsi="Calibri"/>
          <w:color w:val="3B3B3B"/>
          <w:sz w:val="21"/>
          <w:szCs w:val="21"/>
        </w:rPr>
        <w:t xml:space="preserve">Typographie sans-serif, lisible, hiérarchisée (titres, sous-titres, corps de texte, légendes).</w:t>
      </w:r>
    </w:p>
    <w:p>
      <w:pPr>
        <w:pStyle w:val="ListParagraph"/>
        <w:numPr>
          <w:ilvl w:val="0"/>
          <w:numId w:val="2"/>
        </w:numPr>
        <w:spacing w:after="90"/>
      </w:pPr>
      <w:r>
        <w:rPr>
          <w:rFonts w:ascii="Calibri" w:cs="Calibri" w:eastAsia="Calibri" w:hAnsi="Calibri"/>
          <w:color w:val="3B3B3B"/>
          <w:sz w:val="21"/>
          <w:szCs w:val="21"/>
        </w:rPr>
        <w:t xml:space="preserve">Composants uniformes : cartes à coins arrondis, badges de statut colorés, icônes linéaires cohérentes avec celles du menu.</w:t>
      </w:r>
    </w:p>
    <w:p>
      <w:pPr>
        <w:pStyle w:val="ListParagraph"/>
        <w:numPr>
          <w:ilvl w:val="0"/>
          <w:numId w:val="2"/>
        </w:numPr>
        <w:spacing w:after="90"/>
      </w:pPr>
      <w:r>
        <w:rPr>
          <w:rFonts w:ascii="Calibri" w:cs="Calibri" w:eastAsia="Calibri" w:hAnsi="Calibri"/>
          <w:color w:val="3B3B3B"/>
          <w:sz w:val="21"/>
          <w:szCs w:val="21"/>
        </w:rPr>
        <w:t xml:space="preserve">Logo SISBM et signature « Sécuriser, construire, connecter, former » repris en pied de menu, conformément à l'identité de marque.</w:t>
      </w:r>
    </w:p>
    <w:p>
      <w:pPr>
        <w:pStyle w:val="Heading1"/>
        <w:pBdr>
          <w:bottom w:val="single" w:color="0B2A52" w:sz="8" w:space="4"/>
        </w:pBdr>
        <w:spacing w:after="200" w:before="400"/>
      </w:pPr>
      <w:r>
        <w:rPr>
          <w:rFonts w:ascii="Calibri" w:cs="Calibri" w:eastAsia="Calibri" w:hAnsi="Calibri"/>
          <w:b/>
          <w:bCs/>
          <w:color w:val="0B2A52"/>
          <w:sz w:val="30"/>
          <w:szCs w:val="30"/>
        </w:rPr>
        <w:t xml:space="preserve">7. Livrables attendus</w:t>
      </w:r>
    </w:p>
    <w:p>
      <w:pPr>
        <w:pStyle w:val="ListParagraph"/>
        <w:numPr>
          <w:ilvl w:val="0"/>
          <w:numId w:val="3"/>
        </w:numPr>
        <w:spacing w:after="90"/>
      </w:pPr>
      <w:r>
        <w:rPr>
          <w:rFonts w:ascii="Calibri" w:cs="Calibri" w:eastAsia="Calibri" w:hAnsi="Calibri"/>
          <w:color w:val="3B3B3B"/>
          <w:sz w:val="21"/>
          <w:szCs w:val="21"/>
        </w:rPr>
        <w:t xml:space="preserve">Maquette web interactive fonctionnelle (fichier(s) source + version démontrable dans un navigateur).</w:t>
      </w:r>
    </w:p>
    <w:p>
      <w:pPr>
        <w:pStyle w:val="ListParagraph"/>
        <w:numPr>
          <w:ilvl w:val="0"/>
          <w:numId w:val="3"/>
        </w:numPr>
        <w:spacing w:after="90"/>
      </w:pPr>
      <w:r>
        <w:rPr>
          <w:rFonts w:ascii="Calibri" w:cs="Calibri" w:eastAsia="Calibri" w:hAnsi="Calibri"/>
          <w:color w:val="3B3B3B"/>
          <w:sz w:val="21"/>
          <w:szCs w:val="21"/>
        </w:rPr>
        <w:t xml:space="preserve">Jeu de données simulées cohérent avec les scénarios du rapport fonctionnel (véhicules, alertes, incidents, rapports).</w:t>
      </w:r>
    </w:p>
    <w:p>
      <w:pPr>
        <w:pStyle w:val="ListParagraph"/>
        <w:numPr>
          <w:ilvl w:val="0"/>
          <w:numId w:val="3"/>
        </w:numPr>
        <w:spacing w:after="90"/>
      </w:pPr>
      <w:r>
        <w:rPr>
          <w:rFonts w:ascii="Calibri" w:cs="Calibri" w:eastAsia="Calibri" w:hAnsi="Calibri"/>
          <w:color w:val="3B3B3B"/>
          <w:sz w:val="21"/>
          <w:szCs w:val="21"/>
        </w:rPr>
        <w:t xml:space="preserve">Courte note de présentation des choix d'interface et des écarts éventuels par rapport à la maquette de référence.</w:t>
      </w:r>
    </w:p>
    <w:p>
      <w:pPr>
        <w:pStyle w:val="ListParagraph"/>
        <w:numPr>
          <w:ilvl w:val="0"/>
          <w:numId w:val="3"/>
        </w:numPr>
        <w:spacing w:after="90"/>
      </w:pPr>
      <w:r>
        <w:rPr>
          <w:rFonts w:ascii="Calibri" w:cs="Calibri" w:eastAsia="Calibri" w:hAnsi="Calibri"/>
          <w:color w:val="3B3B3B"/>
          <w:sz w:val="21"/>
          <w:szCs w:val="21"/>
        </w:rPr>
        <w:t xml:space="preserve">Captures d'écran / export visuel pour intégration dans les supports de présentation interne.</w:t>
      </w:r>
    </w:p>
    <w:p>
      <w:pPr>
        <w:pStyle w:val="Heading1"/>
        <w:pBdr>
          <w:bottom w:val="single" w:color="0B2A52" w:sz="8" w:space="4"/>
        </w:pBdr>
        <w:spacing w:after="200" w:before="400"/>
      </w:pPr>
      <w:r>
        <w:rPr>
          <w:rFonts w:ascii="Calibri" w:cs="Calibri" w:eastAsia="Calibri" w:hAnsi="Calibri"/>
          <w:b/>
          <w:bCs/>
          <w:color w:val="0B2A52"/>
          <w:sz w:val="30"/>
          <w:szCs w:val="30"/>
        </w:rPr>
        <w:t xml:space="preserve">8. Planning indicatif</w:t>
      </w:r>
    </w:p>
    <w:tbl>
      <w:tblPr>
        <w:tblW w:type="dxa" w:w="9000"/>
        <w:tblBorders>
          <w:top w:val="single" w:color="C9D6E5" w:sz="4"/>
          <w:left w:val="single" w:color="C9D6E5" w:sz="4"/>
          <w:bottom w:val="single" w:color="C9D6E5" w:sz="4"/>
          <w:right w:val="single" w:color="C9D6E5" w:sz="4"/>
          <w:insideH w:val="single" w:color="C9D6E5" w:sz="4"/>
          <w:insideV w:val="single" w:color="C9D6E5" w:sz="4"/>
        </w:tblBorders>
      </w:tblPr>
      <w:tblGrid>
        <w:gridCol w:w="4200"/>
        <w:gridCol w:w="2800"/>
        <w:gridCol w:w="2000"/>
      </w:tblGrid>
      <w:tr>
        <w:trPr>
          <w:tblHeader/>
        </w:trPr>
        <w:tc>
          <w:tcPr>
            <w:tcW w:type="dxa" w:w="42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Étape</w:t>
            </w:r>
          </w:p>
        </w:tc>
        <w:tc>
          <w:tcPr>
            <w:tcW w:type="dxa" w:w="28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Contenu</w:t>
            </w:r>
          </w:p>
        </w:tc>
        <w:tc>
          <w:tcPr>
            <w:tcW w:type="dxa" w:w="2000"/>
            <w:shd w:fill="0B2A52"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Durée estimée</w:t>
            </w:r>
          </w:p>
        </w:tc>
      </w:tr>
      <w:tr>
        <w:tc>
          <w:tcPr>
            <w:tcW w:type="dxa" w:w="42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Cadrage</w:t>
            </w:r>
          </w:p>
        </w:tc>
        <w:tc>
          <w:tcPr>
            <w:tcW w:type="dxa" w:w="28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Validation du présent cahier des charges</w:t>
            </w:r>
          </w:p>
        </w:tc>
        <w:tc>
          <w:tcPr>
            <w:tcW w:type="dxa" w:w="2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1 jour</w:t>
            </w:r>
          </w:p>
        </w:tc>
      </w:tr>
      <w:tr>
        <w:tc>
          <w:tcPr>
            <w:tcW w:type="dxa" w:w="42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Conception</w:t>
            </w:r>
          </w:p>
        </w:tc>
        <w:tc>
          <w:tcPr>
            <w:tcW w:type="dxa" w:w="28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Structure HTML/CSS, charte graphique, composants</w:t>
            </w:r>
          </w:p>
        </w:tc>
        <w:tc>
          <w:tcPr>
            <w:tcW w:type="dxa" w:w="2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2 jours</w:t>
            </w:r>
          </w:p>
        </w:tc>
      </w:tr>
      <w:tr>
        <w:tc>
          <w:tcPr>
            <w:tcW w:type="dxa" w:w="42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Développement interactif</w:t>
            </w:r>
          </w:p>
        </w:tc>
        <w:tc>
          <w:tcPr>
            <w:tcW w:type="dxa" w:w="28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Interactions, données simulées, responsive</w:t>
            </w:r>
          </w:p>
        </w:tc>
        <w:tc>
          <w:tcPr>
            <w:tcW w:type="dxa" w:w="2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2-3 jours</w:t>
            </w:r>
          </w:p>
        </w:tc>
      </w:tr>
      <w:tr>
        <w:tc>
          <w:tcPr>
            <w:tcW w:type="dxa" w:w="42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Revue et ajustements</w:t>
            </w:r>
          </w:p>
        </w:tc>
        <w:tc>
          <w:tcPr>
            <w:tcW w:type="dxa" w:w="28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Retours hiérarchie / SOC, corrections</w:t>
            </w:r>
          </w:p>
        </w:tc>
        <w:tc>
          <w:tcPr>
            <w:tcW w:type="dxa" w:w="2000"/>
            <w:shd w:fill="EEF3F9" w:val="clear"/>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1-2 jours</w:t>
            </w:r>
          </w:p>
        </w:tc>
      </w:tr>
      <w:tr>
        <w:tc>
          <w:tcPr>
            <w:tcW w:type="dxa" w:w="42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Livraison</w:t>
            </w:r>
          </w:p>
        </w:tc>
        <w:tc>
          <w:tcPr>
            <w:tcW w:type="dxa" w:w="28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Remise finale et présentation</w:t>
            </w:r>
          </w:p>
        </w:tc>
        <w:tc>
          <w:tcPr>
            <w:tcW w:type="dxa" w:w="2000"/>
            <w:tcMar>
              <w:top w:type="dxa" w:w="80"/>
              <w:left w:type="dxa" w:w="100"/>
              <w:bottom w:type="dxa" w:w="80"/>
              <w:right w:type="dxa" w:w="100"/>
            </w:tcMar>
            <w:vAlign w:val="center"/>
          </w:tcPr>
          <w:p>
            <w:pPr>
              <w:jc w:val="left"/>
            </w:pPr>
            <w:r>
              <w:rPr>
                <w:rFonts w:ascii="Calibri" w:cs="Calibri" w:eastAsia="Calibri" w:hAnsi="Calibri"/>
                <w:color w:val="3B3B3B"/>
                <w:sz w:val="19"/>
                <w:szCs w:val="19"/>
              </w:rPr>
              <w:t xml:space="preserve">1 jour</w:t>
            </w:r>
          </w:p>
        </w:tc>
      </w:tr>
    </w:tbl>
    <w:p>
      <w:pPr>
        <w:spacing w:after="160" w:line="300"/>
        <w:jc w:val="both"/>
      </w:pPr>
      <w:r>
        <w:rPr>
          <w:rFonts w:ascii="Calibri" w:cs="Calibri" w:eastAsia="Calibri" w:hAnsi="Calibri"/>
          <w:color w:val="3B3B3B"/>
          <w:sz w:val="21"/>
          <w:szCs w:val="21"/>
        </w:rPr>
        <w:t xml:space="preserve"/>
      </w:r>
    </w:p>
    <w:p>
      <w:pPr>
        <w:pStyle w:val="Heading1"/>
        <w:pBdr>
          <w:bottom w:val="single" w:color="0B2A52" w:sz="8" w:space="4"/>
        </w:pBdr>
        <w:spacing w:after="200" w:before="400"/>
      </w:pPr>
      <w:r>
        <w:rPr>
          <w:rFonts w:ascii="Calibri" w:cs="Calibri" w:eastAsia="Calibri" w:hAnsi="Calibri"/>
          <w:b/>
          <w:bCs/>
          <w:color w:val="0B2A52"/>
          <w:sz w:val="30"/>
          <w:szCs w:val="30"/>
        </w:rPr>
        <w:t xml:space="preserve">9. Critères de validation</w:t>
      </w:r>
    </w:p>
    <w:p>
      <w:pPr>
        <w:pStyle w:val="ListParagraph"/>
        <w:numPr>
          <w:ilvl w:val="0"/>
          <w:numId w:val="2"/>
        </w:numPr>
        <w:spacing w:after="90"/>
      </w:pPr>
      <w:r>
        <w:rPr>
          <w:rFonts w:ascii="Calibri" w:cs="Calibri" w:eastAsia="Calibri" w:hAnsi="Calibri"/>
          <w:color w:val="3B3B3B"/>
          <w:sz w:val="21"/>
          <w:szCs w:val="21"/>
        </w:rPr>
        <w:t xml:space="preserve">Conformité visuelle avec la maquette de référence et la charte graphique SISBM.</w:t>
      </w:r>
    </w:p>
    <w:p>
      <w:pPr>
        <w:pStyle w:val="ListParagraph"/>
        <w:numPr>
          <w:ilvl w:val="0"/>
          <w:numId w:val="2"/>
        </w:numPr>
        <w:spacing w:after="90"/>
      </w:pPr>
      <w:r>
        <w:rPr>
          <w:rFonts w:ascii="Calibri" w:cs="Calibri" w:eastAsia="Calibri" w:hAnsi="Calibri"/>
          <w:color w:val="3B3B3B"/>
          <w:sz w:val="21"/>
          <w:szCs w:val="21"/>
        </w:rPr>
        <w:t xml:space="preserve">Présence et cohérence de l'ensemble des zones fonctionnelles listées en section 4.</w:t>
      </w:r>
    </w:p>
    <w:p>
      <w:pPr>
        <w:pStyle w:val="ListParagraph"/>
        <w:numPr>
          <w:ilvl w:val="0"/>
          <w:numId w:val="2"/>
        </w:numPr>
        <w:spacing w:after="90"/>
      </w:pPr>
      <w:r>
        <w:rPr>
          <w:rFonts w:ascii="Calibri" w:cs="Calibri" w:eastAsia="Calibri" w:hAnsi="Calibri"/>
          <w:color w:val="3B3B3B"/>
          <w:sz w:val="21"/>
          <w:szCs w:val="21"/>
        </w:rPr>
        <w:t xml:space="preserve">Fluidité des interactions de base (navigation, filtres, sélection).</w:t>
      </w:r>
    </w:p>
    <w:p>
      <w:pPr>
        <w:pStyle w:val="ListParagraph"/>
        <w:numPr>
          <w:ilvl w:val="0"/>
          <w:numId w:val="2"/>
        </w:numPr>
        <w:spacing w:after="90"/>
      </w:pPr>
      <w:r>
        <w:rPr>
          <w:rFonts w:ascii="Calibri" w:cs="Calibri" w:eastAsia="Calibri" w:hAnsi="Calibri"/>
          <w:color w:val="3B3B3B"/>
          <w:sz w:val="21"/>
          <w:szCs w:val="21"/>
        </w:rPr>
        <w:t xml:space="preserve">Lisibilité des indicateurs et de la hiérarchie de l'information (KPI → carte → alertes/incidents → détail).</w:t>
      </w:r>
    </w:p>
    <w:p>
      <w:pPr>
        <w:pStyle w:val="ListParagraph"/>
        <w:numPr>
          <w:ilvl w:val="0"/>
          <w:numId w:val="2"/>
        </w:numPr>
        <w:spacing w:after="90"/>
      </w:pPr>
      <w:r>
        <w:rPr>
          <w:rFonts w:ascii="Calibri" w:cs="Calibri" w:eastAsia="Calibri" w:hAnsi="Calibri"/>
          <w:color w:val="3B3B3B"/>
          <w:sz w:val="21"/>
          <w:szCs w:val="21"/>
        </w:rPr>
        <w:t xml:space="preserve">Validation finale par la hiérarchie SISBM avant passage en développement de l'écran définitif.</w:t>
      </w:r>
    </w:p>
    <w:p>
      <w:pPr>
        <w:spacing w:before="400"/>
      </w:pPr>
    </w:p>
    <w:p>
      <w:pPr>
        <w:spacing w:after="160" w:line="300"/>
        <w:jc w:val="center"/>
      </w:pPr>
      <w:r>
        <w:rPr>
          <w:rFonts w:ascii="Calibri" w:cs="Calibri" w:eastAsia="Calibri" w:hAnsi="Calibri"/>
          <w:i/>
          <w:iCs/>
          <w:color w:val="3B3B3B"/>
          <w:sz w:val="21"/>
          <w:szCs w:val="21"/>
        </w:rPr>
        <w:t xml:space="preserve">Fin du cahier des charges.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C8CA0"/>
        <w:sz w:val="16"/>
        <w:szCs w:val="16"/>
      </w:rPr>
      <w:t xml:space="preserve">Page </w:t>
    </w:r>
    <w:r>
      <w:rPr>
        <w:rFonts w:ascii="Calibri" w:cs="Calibri" w:eastAsia="Calibri" w:hAnsi="Calibri"/>
        <w:color w:val="7C8CA0"/>
        <w:sz w:val="16"/>
        <w:szCs w:val="16"/>
      </w:rPr>
      <w:fldChar w:fldCharType="begin"/>
      <w:instrText xml:space="preserve">PAGE</w:instrText>
      <w:fldChar w:fldCharType="separate"/>
      <w:fldChar w:fldCharType="end"/>
    </w:r>
    <w:r>
      <w:rPr>
        <w:rFonts w:ascii="Calibri" w:cs="Calibri" w:eastAsia="Calibri" w:hAnsi="Calibri"/>
        <w:color w:val="7C8CA0"/>
        <w:sz w:val="16"/>
        <w:szCs w:val="16"/>
      </w:rPr>
      <w:t xml:space="preserve"> / </w:t>
    </w:r>
    <w:r>
      <w:rPr>
        <w:rFonts w:ascii="Calibri" w:cs="Calibri" w:eastAsia="Calibri" w:hAnsi="Calibri"/>
        <w:color w:val="7C8C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4" w:space="4"/>
      </w:pBdr>
      <w:jc w:val="right"/>
    </w:pPr>
    <w:r>
      <w:rPr>
        <w:rFonts w:ascii="Calibri" w:cs="Calibri" w:eastAsia="Calibri" w:hAnsi="Calibri"/>
        <w:color w:val="7C8CA0"/>
        <w:sz w:val="16"/>
        <w:szCs w:val="16"/>
      </w:rPr>
      <w:t xml:space="preserve">SISBM CORE — Cahier des charges maquette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f3044f23a7a125d0c475467f251104777924f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2026-09-14T11:21:43.778Z</dcterms:created>
  <dcterms:modified xsi:type="dcterms:W3CDTF">2026-09-14T11:21:43.778Z</dcterms:modified>
</cp:coreProperties>
</file>

<file path=docProps/custom.xml><?xml version="1.0" encoding="utf-8"?>
<Properties xmlns="http://schemas.openxmlformats.org/officeDocument/2006/custom-properties" xmlns:vt="http://schemas.openxmlformats.org/officeDocument/2006/docPropsVTypes"/>
</file>