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15.0" w:type="dxa"/>
        <w:jc w:val="left"/>
        <w:tblInd w:w="-55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55"/>
        <w:gridCol w:w="1635"/>
        <w:gridCol w:w="1605"/>
        <w:gridCol w:w="1890"/>
        <w:gridCol w:w="1905"/>
        <w:gridCol w:w="1425"/>
        <w:tblGridChange w:id="0">
          <w:tblGrid>
            <w:gridCol w:w="1755"/>
            <w:gridCol w:w="1635"/>
            <w:gridCol w:w="1605"/>
            <w:gridCol w:w="1890"/>
            <w:gridCol w:w="1905"/>
            <w:gridCol w:w="1425"/>
          </w:tblGrid>
        </w:tblGridChange>
      </w:tblGrid>
      <w:tr>
        <w:trPr>
          <w:cantSplit w:val="0"/>
          <w:trHeight w:val="1080" w:hRule="atLeast"/>
          <w:tblHeader w:val="0"/>
        </w:trPr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shd w:fill="6d9eeb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Dispositivo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shd w:fill="6d9eeb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Resolución típica (px)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shd w:fill="6d9eeb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aprox. (PPI)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shd w:fill="6d9eeb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lógica (dp/dpi)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shd w:fill="6d9eeb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Tamaño típico (pulgadas)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shd w:fill="6d9eeb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45" w:hRule="atLeast"/>
          <w:tblHeader w:val="0"/>
        </w:trPr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Teléfono inteligente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2400×1080 a 3000×1440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400–500 ppi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Basado en 3x–4x escala sobre 160 dpi (≈420–480 dpi efectivos en Android/iOS modernos)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6.1–6.7" (gama media/alta actual)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Android, iOS</w:t>
            </w:r>
          </w:p>
        </w:tc>
      </w:tr>
      <w:tr>
        <w:trPr>
          <w:cantSplit w:val="0"/>
          <w:trHeight w:val="2730" w:hRule="atLeast"/>
          <w:tblHeader w:val="0"/>
        </w:trPr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Reloj inteligente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330×330 a 480×480 (circular) / 374×446 a 416×496 (rectangular)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300–330 ppi</w:t>
            </w:r>
            <w:hyperlink r:id="rId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Usualmente 1x–2x sobre 160 dpi; densidad lógica cercana a 320 dpi (dp) en muchos modelos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1.3–1.6" de diagonal visible</w:t>
            </w:r>
            <w:hyperlink r:id="rId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Wear OS, watchOS</w:t>
            </w:r>
          </w:p>
        </w:tc>
      </w:tr>
      <w:tr>
        <w:trPr>
          <w:cantSplit w:val="0"/>
          <w:trHeight w:val="2445" w:hRule="atLeast"/>
          <w:tblHeader w:val="0"/>
        </w:trPr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Smart TV / pantalla inteligente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1920×1080 (FHD) o 3840×2160 (4K)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80–120 ppi (muy baja vs. móvil, depende del tamaño)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No se trabaja en dp; se diseña a 1080p/4K independientes de densidad, escalando por resolución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43–65" en hogar, muy común 50–55"</w:t>
            </w:r>
          </w:p>
        </w:tc>
        <w:tc>
          <w:tcPr>
            <w:tcBorders>
              <w:top w:color="dddddd" w:space="0" w:sz="3" w:val="single"/>
              <w:left w:color="dddddd" w:space="0" w:sz="3" w:val="single"/>
              <w:bottom w:color="dddddd" w:space="0" w:sz="3" w:val="single"/>
              <w:right w:color="dddddd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Tizen, webOS, Google TV / Android TV, otros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="379.20000000000005" w:lineRule="auto"/>
        <w:ind w:left="0" w:firstLine="0"/>
        <w:rPr>
          <w:rFonts w:ascii="Nunito" w:cs="Nunito" w:eastAsia="Nunito" w:hAnsi="Nunito"/>
          <w:color w:val="273239"/>
          <w:sz w:val="27"/>
          <w:szCs w:val="27"/>
        </w:rPr>
      </w:pPr>
      <w:r w:rsidDel="00000000" w:rsidR="00000000" w:rsidRPr="00000000">
        <w:rPr>
          <w:rFonts w:ascii="Nunito" w:cs="Nunito" w:eastAsia="Nunito" w:hAnsi="Nunito"/>
          <w:color w:val="273239"/>
          <w:sz w:val="27"/>
          <w:szCs w:val="27"/>
          <w:rtl w:val="0"/>
        </w:rPr>
        <w:t xml:space="preserve">La diferencia importante:</w:t>
      </w:r>
    </w:p>
    <w:p w:rsidR="00000000" w:rsidDel="00000000" w:rsidP="00000000" w:rsidRDefault="00000000" w:rsidRPr="00000000" w14:paraId="0000001C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="379.20000000000005" w:lineRule="auto"/>
        <w:ind w:left="720" w:hanging="360"/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7"/>
          <w:szCs w:val="27"/>
          <w:rtl w:val="0"/>
        </w:rPr>
        <w:t xml:space="preserve">px</w:t>
      </w:r>
      <w:r w:rsidDel="00000000" w:rsidR="00000000" w:rsidRPr="00000000">
        <w:rPr>
          <w:rFonts w:ascii="Nunito" w:cs="Nunito" w:eastAsia="Nunito" w:hAnsi="Nunito"/>
          <w:color w:val="273239"/>
          <w:sz w:val="27"/>
          <w:szCs w:val="27"/>
          <w:rtl w:val="0"/>
        </w:rPr>
        <w:t xml:space="preserve"> d</w:t>
      </w: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epende directamente de la pantalla y su densidad de pixeles y la calidad de la pantalla.</w:t>
        <w:br w:type="textWrapping"/>
        <w:t xml:space="preserve">Un botón de </w:t>
      </w:r>
      <w:r w:rsidDel="00000000" w:rsidR="00000000" w:rsidRPr="00000000">
        <w:rPr>
          <w:rFonts w:ascii="Roboto Mono" w:cs="Roboto Mono" w:eastAsia="Roboto Mono" w:hAnsi="Roboto Mono"/>
          <w:sz w:val="27"/>
          <w:szCs w:val="27"/>
          <w:rtl w:val="0"/>
        </w:rPr>
        <w:t xml:space="preserve">100px</w:t>
      </w: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 puede verse grande en un celular con baja calidad y pequeño en uno de alta calidad de pixeles.</w:t>
      </w:r>
    </w:p>
    <w:p w:rsidR="00000000" w:rsidDel="00000000" w:rsidP="00000000" w:rsidRDefault="00000000" w:rsidRPr="00000000" w14:paraId="0000001D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="379.20000000000005" w:lineRule="auto"/>
        <w:ind w:left="720" w:hanging="360"/>
        <w:rPr>
          <w:color w:val="00000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7"/>
          <w:szCs w:val="27"/>
          <w:rtl w:val="0"/>
        </w:rPr>
        <w:t xml:space="preserve">dp / dip</w:t>
      </w: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 son lo mismo y mantiene el tamaño visual parecido entre pantallas.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="379.20000000000005" w:lineRule="auto"/>
        <w:ind w:left="0" w:firstLine="0"/>
        <w:rPr>
          <w:rFonts w:ascii="Nunito" w:cs="Nunito" w:eastAsia="Nunito" w:hAnsi="Nunito"/>
          <w:sz w:val="27"/>
          <w:szCs w:val="27"/>
        </w:rPr>
      </w:pP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Ejemplo:</w:t>
      </w:r>
    </w:p>
    <w:p w:rsidR="00000000" w:rsidDel="00000000" w:rsidP="00000000" w:rsidRDefault="00000000" w:rsidRPr="00000000" w14:paraId="0000001F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379.20000000000005" w:lineRule="auto"/>
        <w:ind w:left="720" w:hanging="360"/>
        <w:rPr>
          <w:color w:val="000000"/>
        </w:rPr>
      </w:pP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1dp = 1px en mdpi</w:t>
      </w:r>
    </w:p>
    <w:p w:rsidR="00000000" w:rsidDel="00000000" w:rsidP="00000000" w:rsidRDefault="00000000" w:rsidRPr="00000000" w14:paraId="00000020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379.20000000000005" w:lineRule="auto"/>
        <w:ind w:left="720" w:hanging="360"/>
        <w:rPr>
          <w:color w:val="000000"/>
        </w:rPr>
      </w:pP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1dp = 2px en xhdpi</w:t>
      </w:r>
    </w:p>
    <w:p w:rsidR="00000000" w:rsidDel="00000000" w:rsidP="00000000" w:rsidRDefault="00000000" w:rsidRPr="00000000" w14:paraId="00000021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="379.20000000000005" w:lineRule="auto"/>
        <w:ind w:left="720" w:hanging="360"/>
        <w:rPr>
          <w:color w:val="000000"/>
        </w:rPr>
      </w:pP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1dp = 3px en xxhdpi</w:t>
      </w:r>
    </w:p>
    <w:p w:rsidR="00000000" w:rsidDel="00000000" w:rsidP="00000000" w:rsidRDefault="00000000" w:rsidRPr="00000000" w14:paraId="0000002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="379.20000000000005" w:lineRule="auto"/>
        <w:ind w:left="0" w:firstLine="0"/>
        <w:rPr>
          <w:rFonts w:ascii="Nunito" w:cs="Nunito" w:eastAsia="Nunito" w:hAnsi="Nunito"/>
          <w:sz w:val="27"/>
          <w:szCs w:val="27"/>
        </w:rPr>
      </w:pP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Entonces:</w:t>
      </w:r>
    </w:p>
    <w:p w:rsidR="00000000" w:rsidDel="00000000" w:rsidP="00000000" w:rsidRDefault="00000000" w:rsidRPr="00000000" w14:paraId="00000023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379.20000000000005" w:lineRule="auto"/>
        <w:ind w:left="720" w:hanging="360"/>
        <w:rPr>
          <w:color w:val="000000"/>
        </w:rPr>
      </w:pP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16dp en pantalla xxhdpi = 48px reales</w:t>
      </w:r>
    </w:p>
    <w:p w:rsidR="00000000" w:rsidDel="00000000" w:rsidP="00000000" w:rsidRDefault="00000000" w:rsidRPr="00000000" w14:paraId="00000024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="379.20000000000005" w:lineRule="auto"/>
        <w:ind w:left="720" w:hanging="360"/>
      </w:pPr>
      <w:r w:rsidDel="00000000" w:rsidR="00000000" w:rsidRPr="00000000">
        <w:rPr>
          <w:rFonts w:ascii="Nunito" w:cs="Nunito" w:eastAsia="Nunito" w:hAnsi="Nunito"/>
          <w:b w:val="1"/>
          <w:bCs w:val="1"/>
          <w:sz w:val="27"/>
          <w:szCs w:val="27"/>
          <w:rtl w:val="0"/>
        </w:rPr>
        <w:t xml:space="preserve">sp</w:t>
      </w: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 es como </w:t>
      </w:r>
      <w:r w:rsidDel="00000000" w:rsidR="00000000" w:rsidRPr="00000000">
        <w:rPr>
          <w:rFonts w:ascii="Roboto Mono" w:cs="Roboto Mono" w:eastAsia="Roboto Mono" w:hAnsi="Roboto Mono"/>
          <w:sz w:val="27"/>
          <w:szCs w:val="27"/>
          <w:rtl w:val="0"/>
        </w:rPr>
        <w:t xml:space="preserve">dp</w:t>
      </w:r>
      <w:r w:rsidDel="00000000" w:rsidR="00000000" w:rsidRPr="00000000">
        <w:rPr>
          <w:rFonts w:ascii="Nunito" w:cs="Nunito" w:eastAsia="Nunito" w:hAnsi="Nunito"/>
          <w:sz w:val="27"/>
          <w:szCs w:val="27"/>
          <w:rtl w:val="0"/>
        </w:rPr>
        <w:t xml:space="preserve">, </w:t>
      </w:r>
      <w:r w:rsidDel="00000000" w:rsidR="00000000" w:rsidRPr="00000000">
        <w:rPr>
          <w:rFonts w:ascii="Nunito" w:cs="Nunito" w:eastAsia="Nunito" w:hAnsi="Nunito"/>
          <w:color w:val="273239"/>
          <w:sz w:val="27"/>
          <w:szCs w:val="27"/>
          <w:rtl w:val="0"/>
        </w:rPr>
        <w:t xml:space="preserve">pero además respeta la configuración de accesibilidad del usuario, por esa razón es más recomendable para texto.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181350" cy="1447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273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(Para el caso de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sp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, la conversión es idéntica, pero multiplicada por el factor de preferencia de texto del usuario)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gw3bfesdq57n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Teléfono (Android / iOS)</w:t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wdhqn6e8obvv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Esquemas de usabilidad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Navegación por gestos a pantalla completa</w:t>
      </w:r>
    </w:p>
    <w:p w:rsidR="00000000" w:rsidDel="00000000" w:rsidP="00000000" w:rsidRDefault="00000000" w:rsidRPr="00000000" w14:paraId="0000002C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Deslizar desde el borde lateral para “Atrás”, swipe desde el borde inferior para ir a Home o ver apps recientes (iOS y Android modernos).</w:t>
      </w:r>
    </w:p>
    <w:p w:rsidR="00000000" w:rsidDel="00000000" w:rsidP="00000000" w:rsidRDefault="00000000" w:rsidRPr="00000000" w14:paraId="0000002D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Implica dejar espacio libre en los bordes inferiores/laterales y evitar colocar acciones críticas exactamente donde el sistema captura gestos.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Bottom navigation / barras inferiores</w:t>
      </w:r>
    </w:p>
    <w:p w:rsidR="00000000" w:rsidDel="00000000" w:rsidP="00000000" w:rsidRDefault="00000000" w:rsidRPr="00000000" w14:paraId="0000002F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Patrón de navegación fija con 3–5 destinos principales accesibles con el pulgar, más una sección “Más” o “Menú” si hace falta.</w:t>
      </w:r>
    </w:p>
    <w:p w:rsidR="00000000" w:rsidDel="00000000" w:rsidP="00000000" w:rsidRDefault="00000000" w:rsidRPr="00000000" w14:paraId="00000030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Favorece accesibilidad al concentrar las principales rutas de navegación en la parte inferior, más fácil de alcanzar que la barra superior en teléfonos grandes.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6lmampdqo64n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Criterios de accesibilidad</w:t>
      </w:r>
    </w:p>
    <w:p w:rsidR="00000000" w:rsidDel="00000000" w:rsidP="00000000" w:rsidRDefault="00000000" w:rsidRPr="00000000" w14:paraId="00000032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Tamaño mínimo de objetivos táctiles</w:t>
      </w:r>
    </w:p>
    <w:p w:rsidR="00000000" w:rsidDel="00000000" w:rsidP="00000000" w:rsidRDefault="00000000" w:rsidRPr="00000000" w14:paraId="00000033">
      <w:pPr>
        <w:numPr>
          <w:ilvl w:val="1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Recomendación habitual: áreas interactuables de al menos 44×44 px o dp en la mayoría de pantallas móviles, subiendo a 48–56 dp en densidades altas para garantizar que se puedan pulsar con el dedo sin errores.</w:t>
      </w:r>
    </w:p>
    <w:p w:rsidR="00000000" w:rsidDel="00000000" w:rsidP="00000000" w:rsidRDefault="00000000" w:rsidRPr="00000000" w14:paraId="00000034">
      <w:pPr>
        <w:numPr>
          <w:ilvl w:val="1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Botones demasiado pequeños o muy juntos aumentan errores, fatiga y frustración, especialmente en personas con dificultad motora.</w:t>
      </w:r>
    </w:p>
    <w:p w:rsidR="00000000" w:rsidDel="00000000" w:rsidP="00000000" w:rsidRDefault="00000000" w:rsidRPr="00000000" w14:paraId="00000035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legible y contraste suficiente</w:t>
      </w:r>
    </w:p>
    <w:p w:rsidR="00000000" w:rsidDel="00000000" w:rsidP="00000000" w:rsidRDefault="00000000" w:rsidRPr="00000000" w14:paraId="00000036">
      <w:pPr>
        <w:numPr>
          <w:ilvl w:val="1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Para cuerpo de texto, se recomiendan tamaños efectivos en torno a 14–16 sp mínimos, y mayores para contenido principal (ej. 16–18 sp) dependiendo de la tipografía.</w:t>
      </w:r>
    </w:p>
    <w:p w:rsidR="00000000" w:rsidDel="00000000" w:rsidP="00000000" w:rsidRDefault="00000000" w:rsidRPr="00000000" w14:paraId="00000037">
      <w:pPr>
        <w:numPr>
          <w:ilvl w:val="1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Según WCAG AA, contraste mínimo 4.5:1 entre texto y fondo (3:1 para títulos grandes), para que sea legible en exteriores y por usuarios con baja visión o daltonismo.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o5l6zumzo5c4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6b08y1mhz0f3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Reloj inteligente (Wear OS, watchOS, etc.)</w:t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cwvp2bh12kfo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Esquemas de usabilidad</w:t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Interacción principal por gestos verticales y toques</w:t>
      </w:r>
    </w:p>
    <w:p w:rsidR="00000000" w:rsidDel="00000000" w:rsidP="00000000" w:rsidRDefault="00000000" w:rsidRPr="00000000" w14:paraId="0000003C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Scroll vertical (swipe arriba/abajo) para recorrer listas o tarjetas, tap único para activar acciones, y pulsación prolongada para cambiar watchfaces o acceder a ajustes contextuales.</w:t>
      </w:r>
    </w:p>
    <w:p w:rsidR="00000000" w:rsidDel="00000000" w:rsidP="00000000" w:rsidRDefault="00000000" w:rsidRPr="00000000" w14:paraId="0000003D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La superficie es pequeña, por lo que se privilegian listas simples, tarjetas a pantalla completa y acciones con toques directos, evitando gestos complejos.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Corona digital / botones físicos como complemento</w:t>
      </w:r>
    </w:p>
    <w:p w:rsidR="00000000" w:rsidDel="00000000" w:rsidP="00000000" w:rsidRDefault="00000000" w:rsidRPr="00000000" w14:paraId="0000003F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En watchOS y algunos Wear OS, la corona o botón lateral se usa para desplazamiento fino, zoom o invocar el menú de apps, reduciendo la necesidad de cubrir la pantalla con el dedo.</w:t>
      </w:r>
    </w:p>
    <w:p w:rsidR="00000000" w:rsidDel="00000000" w:rsidP="00000000" w:rsidRDefault="00000000" w:rsidRPr="00000000" w14:paraId="00000040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Esto mejora la precisión (importante en pantallas tan pequeñas) y permite que personas con menor destreza táctil puedan manejar la interfaz con hardware físico.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506ft2dmu3br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Criterios de accesibilidad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Elementos grandes y separados</w:t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Por el tamaño reducido de la pantalla, botones y tarjetas deben ocupar buena parte del ancho, con separación vertical suficiente para evitar toques erróneos.</w:t>
      </w:r>
    </w:p>
    <w:p w:rsidR="00000000" w:rsidDel="00000000" w:rsidP="00000000" w:rsidRDefault="00000000" w:rsidRPr="00000000" w14:paraId="00000044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Suele recomendarse mantener una sola acción primaria por pantalla, o muy pocas, y usar listas de ítems “a toda anchura”.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Tipografía clara y minimalista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Texto de interfaz con tamaños efectivos mayores que en móvil (por ejemplo, tamaños visuales equivalentes a 16–18 sp o más), priorizando palabras clave, iconos claros y poco texto.</w:t>
      </w:r>
    </w:p>
    <w:p w:rsidR="00000000" w:rsidDel="00000000" w:rsidP="00000000" w:rsidRDefault="00000000" w:rsidRPr="00000000" w14:paraId="00000047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Minimizar la cantidad de información por pantalla y evitar recargar la vista ayuda tanto a usuarios con baja visión como a quienes consultan el reloj solo por segundos.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op7bad90kiaz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w5o1ky48xdgv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Smart TV / Pantalla inteligente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h6h4un6vbgea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Esquemas de usabilidad</w:t>
      </w:r>
    </w:p>
    <w:p w:rsidR="00000000" w:rsidDel="00000000" w:rsidP="00000000" w:rsidRDefault="00000000" w:rsidRPr="00000000" w14:paraId="0000004B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Navegación por foco con control remoto</w:t>
      </w:r>
    </w:p>
    <w:p w:rsidR="00000000" w:rsidDel="00000000" w:rsidP="00000000" w:rsidRDefault="00000000" w:rsidRPr="00000000" w14:paraId="0000004C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El usuario mueve un “focus” visible (resaltado) con flechas del mando o joystick, y confirma con un botón OK/Enter.</w:t>
      </w:r>
    </w:p>
    <w:p w:rsidR="00000000" w:rsidDel="00000000" w:rsidP="00000000" w:rsidRDefault="00000000" w:rsidRPr="00000000" w14:paraId="0000004D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La interfaz se estructura en rejillas y carruseles horizontales/verticales, con un orden de foco predecible (por ejemplo, primero horizontal, luego vertical).</w:t>
      </w:r>
    </w:p>
    <w:p w:rsidR="00000000" w:rsidDel="00000000" w:rsidP="00000000" w:rsidRDefault="00000000" w:rsidRPr="00000000" w14:paraId="0000004E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Menú principal persistente / “home hub”</w:t>
      </w:r>
    </w:p>
    <w:p w:rsidR="00000000" w:rsidDel="00000000" w:rsidP="00000000" w:rsidRDefault="00000000" w:rsidRPr="00000000" w14:paraId="0000004F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Muchas TVs usan un “home” de contenido en carruseles (apps, recomendaciones, secciones recientes) y, dentro de cada app, menús laterales o superiores para navegar categorías.</w:t>
      </w:r>
    </w:p>
    <w:p w:rsidR="00000000" w:rsidDel="00000000" w:rsidP="00000000" w:rsidRDefault="00000000" w:rsidRPr="00000000" w14:paraId="00000050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Es clave que el usuario nunca se “pierda”: debe poder volver fácilmente a Home y entender en qué sección está gracias a breadcrumbs, encabezados y estados de selección claros.</w:t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j93o8xfeu3nm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Criterios de accesibilidad</w:t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grande y legible a distancia</w:t>
      </w:r>
    </w:p>
    <w:p w:rsidR="00000000" w:rsidDel="00000000" w:rsidP="00000000" w:rsidRDefault="00000000" w:rsidRPr="00000000" w14:paraId="00000053">
      <w:pPr>
        <w:numPr>
          <w:ilvl w:val="1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Para diseño a 1080p/4K, se recomiendan tamaños de texto significativamente mayores que en móvil; por ejemplo, textos de navegación en torno a 24–32 px (o más) a 1080p, y escalados proporcionalmente en 4K, para ser legibles a 2–3 metros.</w:t>
      </w:r>
    </w:p>
    <w:p w:rsidR="00000000" w:rsidDel="00000000" w:rsidP="00000000" w:rsidRDefault="00000000" w:rsidRPr="00000000" w14:paraId="00000054">
      <w:pPr>
        <w:numPr>
          <w:ilvl w:val="1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Fuentes sans-serif simples, líneas cortas y buena separación entre líneas mejoran la lectura rápida desde el sofá.</w:t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Contraste alto y foco claramente visible</w:t>
      </w:r>
    </w:p>
    <w:p w:rsidR="00000000" w:rsidDel="00000000" w:rsidP="00000000" w:rsidRDefault="00000000" w:rsidRPr="00000000" w14:paraId="00000056">
      <w:pPr>
        <w:numPr>
          <w:ilvl w:val="1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Igual que en web/móvil, al menos contraste 4.5:1 para texto normal y 3:1 para texto grande, pero en TV es recomendable ir incluso más alto por el brillo ambiental y la calidad variable de las pantallas.</w:t>
      </w:r>
    </w:p>
    <w:p w:rsidR="00000000" w:rsidDel="00000000" w:rsidP="00000000" w:rsidRDefault="00000000" w:rsidRPr="00000000" w14:paraId="00000057">
      <w:pPr>
        <w:numPr>
          <w:ilvl w:val="1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El estado de foco debe ser muy evidente (bordes gruesos, sombras, cambio de color significativo), para que las personas con baja visión o a mayor distancia identifiquen fácilmente qué elemento están controlando.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Una app instalada puede pedir permiso para acceder a muchos tipos de datos del dispositivo; no todos tienen el mismo impacto en la privacidad,</w:t>
      </w:r>
    </w:p>
    <w:p w:rsidR="00000000" w:rsidDel="00000000" w:rsidP="00000000" w:rsidRDefault="00000000" w:rsidRPr="00000000" w14:paraId="00000059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de sensibles</w:t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2sqtwkr762l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Ubicación precisa (GPS)</w:t>
      </w:r>
    </w:p>
    <w:p w:rsidR="00000000" w:rsidDel="00000000" w:rsidP="00000000" w:rsidRDefault="00000000" w:rsidRPr="00000000" w14:paraId="0000005C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coordenadas exactas, historial de ubicaciones, geocercas.developer.</w:t>
      </w:r>
    </w:p>
    <w:p w:rsidR="00000000" w:rsidDel="00000000" w:rsidP="00000000" w:rsidRDefault="00000000" w:rsidRPr="00000000" w14:paraId="0000005D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seguimiento de rutina diaria, saber dónde vive/trabaja, lugares sensibles (hospitales, templos, manifestaciones).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272wrvzrxh2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Cámara</w:t>
      </w:r>
    </w:p>
    <w:p w:rsidR="00000000" w:rsidDel="00000000" w:rsidP="00000000" w:rsidRDefault="00000000" w:rsidRPr="00000000" w14:paraId="0000005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fotos, video, lectura de códigos, escaneo de documentos, stream de la cámara.</w:t>
      </w:r>
    </w:p>
    <w:p w:rsidR="00000000" w:rsidDel="00000000" w:rsidP="00000000" w:rsidRDefault="00000000" w:rsidRPr="00000000" w14:paraId="0000006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grabar sin consentimiento, capturar documentos privados, caras, entorno del hogar.</w:t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ehe3un6yj4d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Micrófono</w:t>
      </w:r>
    </w:p>
    <w:p w:rsidR="00000000" w:rsidDel="00000000" w:rsidP="00000000" w:rsidRDefault="00000000" w:rsidRPr="00000000" w14:paraId="0000006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grabación de audio, llamadas VoIP, notas de voz.</w:t>
      </w:r>
    </w:p>
    <w:p w:rsidR="00000000" w:rsidDel="00000000" w:rsidP="00000000" w:rsidRDefault="00000000" w:rsidRPr="00000000" w14:paraId="0000006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escuchar conversaciones, obtener voz para biometría, deducir hábitos y entorno.</w:t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y1mq9pqpca7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de salud / actividad física</w:t>
      </w:r>
    </w:p>
    <w:p w:rsidR="00000000" w:rsidDel="00000000" w:rsidP="00000000" w:rsidRDefault="00000000" w:rsidRPr="00000000" w14:paraId="0000006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ritmo cardiaco, sueño, pasos, entrenamientos, datos de apps de salud (“Health, Wellness, Fitness”, “Body Sensors”).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revelar enfermedades, hábitos, embarazo, salud mental, etc.; muy sensibles a nivel médico y legal.</w:t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sn1838i81ki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Mensajes SMS y llamadas (registros)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leer/enviar SMS, ver registro de llamadas, a veces contenido de mensajes (ej. OTP).</w:t>
      </w:r>
    </w:p>
    <w:p w:rsidR="00000000" w:rsidDel="00000000" w:rsidP="00000000" w:rsidRDefault="00000000" w:rsidRPr="00000000" w14:paraId="00000069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robo de códigos de verificación, espionaje de comunicaciones, ingeniería social.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8dwpwsea4eo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98wei20sh7y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Contactos</w:t>
      </w:r>
    </w:p>
    <w:p w:rsidR="00000000" w:rsidDel="00000000" w:rsidP="00000000" w:rsidRDefault="00000000" w:rsidRPr="00000000" w14:paraId="0000006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nombres, teléfonos, correos, notas de la agenda.</w:t>
      </w:r>
    </w:p>
    <w:p w:rsidR="00000000" w:rsidDel="00000000" w:rsidP="00000000" w:rsidRDefault="00000000" w:rsidRPr="00000000" w14:paraId="0000006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spam a contactos, phishing personalizado, mapeo de redes sociales.</w:t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9kseykihvph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Calendario</w:t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eventos, localización de citas, asistentes, notas.</w:t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conocer rutinas, viajes, horarios, reuniones, citas médicas.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dem4v57nsf4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Archivos personales / almacenamiento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fotos, videos, documentos, descargas (“Files”, “Photos and videos”, “Music and audio”).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exfiltración de documentos, lectura de contenido privado, metadatos de fotos (ubicación, fechas).</w:t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tgrb34dmigs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Identificadores y cuentas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cuentas configuradas en el dispositivo, ID de publicidad, identificadores de app/dispositivo.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tracking entre apps, vincular actividad a una identidad concreta.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h0rq3ulqvjl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Ubicación aproximada</w:t>
      </w:r>
    </w:p>
    <w:p w:rsidR="00000000" w:rsidDel="00000000" w:rsidP="00000000" w:rsidRDefault="00000000" w:rsidRPr="00000000" w14:paraId="00000078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ciudad o región (sin GPS exacto), inferida por red móvil o Wi‑Fi.developer.</w:t>
      </w:r>
    </w:p>
    <w:p w:rsidR="00000000" w:rsidDel="00000000" w:rsidP="00000000" w:rsidRDefault="00000000" w:rsidRPr="00000000" w14:paraId="00000079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segmentación geográfica, perfilado por país/ciudad; menos grave que la ubicación exacta, pero sigue siendo dato personal.</w:t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enbp38e2gu7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Actividad física básica</w:t>
      </w:r>
    </w:p>
    <w:p w:rsidR="00000000" w:rsidDel="00000000" w:rsidP="00000000" w:rsidRDefault="00000000" w:rsidRPr="00000000" w14:paraId="0000007B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detección de pasos, “Physical activity” (caminando, en coche, bicicleta), sin métricas médicas detalladas.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inferir hábitos (sedentarismo, horario de ejercicio), pero menos crítico que datos médicos completos.</w:t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whjkabvp9dt" w:id="23"/>
      <w:bookmarkEnd w:id="2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bwynzl7cji9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Sensores de movimiento y entorno</w:t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acelerómetro, giroscopio, brújula, luz ambiental, proximidad.</w:t>
      </w:r>
    </w:p>
    <w:p w:rsidR="00000000" w:rsidDel="00000000" w:rsidP="00000000" w:rsidRDefault="00000000" w:rsidRPr="00000000" w14:paraId="0000008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inferir patrones de uso o actividad, posibles ataques avanzados (detección de tecleo), pero en la práctica el riesgo habitual es moderado.</w:t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r6kilat51g1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Uso de apps y analítica</w:t>
      </w:r>
    </w:p>
    <w:p w:rsidR="00000000" w:rsidDel="00000000" w:rsidP="00000000" w:rsidRDefault="00000000" w:rsidRPr="00000000" w14:paraId="00000082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qué app usas, frecuencia, eventos internos, analítica enviada a terceros.</w:t>
      </w:r>
    </w:p>
    <w:p w:rsidR="00000000" w:rsidDel="00000000" w:rsidP="00000000" w:rsidRDefault="00000000" w:rsidRPr="00000000" w14:paraId="00000083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perfilado de intereses, hábitos, publicidad muy segmentada; más serio cuando se cruza con IDs persistentes.</w:t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p6f8bdxxydu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de baja a media sensibilidad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sfzin4y28hr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Estado del sistema y red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tipo de conexión (Wi‑Fi/datos), estado de batería, almacenamiento disponible, nombre de red, dispositivos cercanos (“Nearby devices”).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fingerprinting del dispositivo, patrones de conexión, pero normalmente no exponen directamente identidad sin combinarse con otros datos.</w:t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tkphf4sr9ug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Notificaciones y tokens push</w:t>
      </w:r>
    </w:p>
    <w:p w:rsidR="00000000" w:rsidDel="00000000" w:rsidP="00000000" w:rsidRDefault="00000000" w:rsidRPr="00000000" w14:paraId="00000089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permiso para enviarte notificaciones, token de dispositivo para push.</w:t>
      </w:r>
    </w:p>
    <w:p w:rsidR="00000000" w:rsidDel="00000000" w:rsidP="00000000" w:rsidRDefault="00000000" w:rsidRPr="00000000" w14:paraId="0000008A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spam de notificaciones, posibles filtraciones si se asocian a cuentas muy identificables.</w:t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h4k58ws93hm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Información técnica y de configuración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Qué incluye: modelo del dispositivo, versión de sistema operativo, idioma, zona horaria, tamaño de pantalla.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Riesgos: fingerprinting cuando se combina con otros datos, pero aislados suelen ser poco problemáticos.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rPr/>
      </w:pPr>
      <w:bookmarkStart w:colFirst="0" w:colLast="0" w:name="_gjubaw15d64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Conclusión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diferencias de diseño entre smartphone, reloj inteligente y Smart TV, cada dispositivo se usa para cosas distintas, contextos, distancia, tamaño de pantalla y forma y eso hace que el desarrollador deba tomar decisiones específicas sobre arquitectura, UI y funcionalidades para cada proyecto. En el móvil, el usuario sostiene el dispositivo en la mano, siempre está a corta distancia de la vista y puede interactuar con muchos elementos como scroll, swipe y teclados completos adaptados para móvil, esto permite interfaces cómodas, formularios y flujos relativamente largos. En un smartwatch, en cambio, el tiempo de uso es muy fugaz, la pantalla es pequeña y suele usarse para notificaciones por lo que solo se usan toques simples, scroll vertical y algún botón o scroll físico, por lo que al diseñar experiencias útiles con poca información, acciones muy directas y simples. En la Smart TV ocurre lo contrario: la pantalla es enorme, el usuario está lejos y la interacción se realiza con un control limitado (flechas y botón OK), de modo que la interfaz debe ser legible desde lejos, con pocos elementos y un orden simple.</w:t>
      </w:r>
    </w:p>
    <w:p w:rsidR="00000000" w:rsidDel="00000000" w:rsidP="00000000" w:rsidRDefault="00000000" w:rsidRPr="00000000" w14:paraId="00000092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Estas diferencias se traducen en decisiones de diseño y UX de cada producto. En móvil se prioriza un diseño para una pantalla táctil, patrones como botones de navegación hacia atrás o entre pantallas y gestos de sistema, el desarrollador debe cuidar cada elemento, contraste y accesibilidad del texto para una gran variedad de pantalla. En el smartwatch, el desarrollador tiene que reducir la app a las tareas más simples, siendo una extensión del smartphone y aprovechando la app de reloj como satélite: notificaciones accionables, confirmaciones rápidas. En TV, el desarrollador se enfrenta a otro reto: navegar por una estructura bien alineada, asegurar que los estados seleccionados se vean claramente para que el usuario visualmente confirme que se presione el botón, usar tipografías muy grandes y minimizar la cantidad de texto, porque escribir con un control remoto es horrible y el usuario no tolera puede sentir pesada su interacción.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Georgia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unito" w:cs="Nunito" w:eastAsia="Nunito" w:hAnsi="Nunito"/>
        <w:b w:val="0"/>
        <w:bCs w:val="0"/>
        <w:i w:val="0"/>
        <w:iCs w:val="0"/>
        <w:smallCaps w:val="0"/>
        <w:strike w:val="0"/>
        <w:color w:val="273239"/>
        <w:sz w:val="27"/>
        <w:szCs w:val="27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s://support.apple.com/es-us/121202" TargetMode="External"/><Relationship Id="rId7" Type="http://schemas.openxmlformats.org/officeDocument/2006/relationships/hyperlink" Target="https://support.apple.com/es-us/121202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