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ptos" w:hAnsi="Aptos" w:eastAsia="Aptos"/>
          <w:b/>
          <w:color w:val="B46A3C"/>
          <w:sz w:val="16"/>
        </w:rPr>
        <w:t>REVISED COMMERCIAL PROPOSAL</w:t>
      </w:r>
    </w:p>
    <w:p>
      <w:pPr>
        <w:pStyle w:val="Title"/>
        <w:spacing w:after="80"/>
      </w:pPr>
      <w:r>
        <w:rPr>
          <w:rFonts w:ascii="Aptos Display" w:hAnsi="Aptos Display" w:eastAsia="Aptos Display"/>
          <w:b/>
          <w:color w:val="111111"/>
          <w:sz w:val="52"/>
        </w:rPr>
        <w:t>KLIYA MVP INTEGRATION &amp; TECHNICAL SUPPORT</w:t>
      </w:r>
    </w:p>
    <w:p>
      <w:pPr>
        <w:spacing w:after="160"/>
      </w:pPr>
      <w:r>
        <w:rPr>
          <w:rFonts w:ascii="Aptos" w:hAnsi="Aptos" w:eastAsia="Aptos"/>
          <w:b w:val="0"/>
          <w:color w:val="666666"/>
          <w:sz w:val="22"/>
        </w:rPr>
        <w:t>Prepared by Daybreak Tech-Innovations (Pty) Ltd</w:t>
      </w:r>
    </w:p>
    <w:p>
      <w:pPr>
        <w:spacing w:after="160"/>
      </w:pPr>
      <w:r>
        <w:rPr>
          <w:rFonts w:ascii="Aptos" w:hAnsi="Aptos" w:eastAsia="Aptos"/>
          <w:b w:val="0"/>
          <w:color w:val="B46A3C"/>
          <w:sz w:val="16"/>
        </w:rPr>
        <w:t>━━━━━━━━━━━━━━━━━━━━━━━━━━━━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D4CC"/>
          <w:left w:val="single" w:sz="4" w:space="0" w:color="D8D4CC"/>
          <w:bottom w:val="single" w:sz="4" w:space="0" w:color="D8D4CC"/>
          <w:right w:val="single" w:sz="4" w:space="0" w:color="D8D4CC"/>
          <w:insideH w:val="single" w:sz="4" w:space="0" w:color="D8D4CC"/>
          <w:insideV w:val="single" w:sz="4" w:space="0" w:color="D8D4CC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3F1ED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>CLIENT</w:t>
            </w:r>
          </w:p>
        </w:tc>
        <w:tc>
          <w:tcPr>
            <w:tcW w:type="dxa" w:w="510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11111"/>
                <w:sz w:val="18"/>
              </w:rPr>
              <w:t>Kliya / [Client legal entity]</w:t>
            </w:r>
          </w:p>
        </w:tc>
      </w:tr>
      <w:tr>
        <w:trPr>
          <w:cantSplit/>
        </w:trPr>
        <w:tc>
          <w:tcPr>
            <w:tcW w:type="dxa" w:w="5100"/>
            <w:shd w:fill="F3F1ED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>PROPOSAL REFERENCE</w:t>
            </w:r>
          </w:p>
        </w:tc>
        <w:tc>
          <w:tcPr>
            <w:tcW w:type="dxa" w:w="510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11111"/>
                <w:sz w:val="18"/>
              </w:rPr>
              <w:t>DB-KLIYA-MVP-REV2-110926</w:t>
            </w:r>
          </w:p>
        </w:tc>
      </w:tr>
      <w:tr>
        <w:trPr>
          <w:cantSplit/>
        </w:trPr>
        <w:tc>
          <w:tcPr>
            <w:tcW w:type="dxa" w:w="5100"/>
            <w:shd w:fill="F3F1ED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>ISSUE DATE</w:t>
            </w:r>
          </w:p>
        </w:tc>
        <w:tc>
          <w:tcPr>
            <w:tcW w:type="dxa" w:w="510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11111"/>
                <w:sz w:val="18"/>
              </w:rPr>
              <w:t>11 September 2026</w:t>
            </w:r>
          </w:p>
        </w:tc>
      </w:tr>
      <w:tr>
        <w:trPr>
          <w:cantSplit/>
        </w:trPr>
        <w:tc>
          <w:tcPr>
            <w:tcW w:type="dxa" w:w="5100"/>
            <w:shd w:fill="F3F1ED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>VALID UNTIL</w:t>
            </w:r>
          </w:p>
        </w:tc>
        <w:tc>
          <w:tcPr>
            <w:tcW w:type="dxa" w:w="510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11111"/>
                <w:sz w:val="18"/>
              </w:rPr>
              <w:t>25 September 2026</w:t>
            </w:r>
          </w:p>
        </w:tc>
      </w:tr>
      <w:tr>
        <w:trPr>
          <w:cantSplit/>
        </w:trPr>
        <w:tc>
          <w:tcPr>
            <w:tcW w:type="dxa" w:w="5100"/>
            <w:shd w:fill="F3F1ED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>PROJECT INVESTMENT</w:t>
            </w:r>
          </w:p>
        </w:tc>
        <w:tc>
          <w:tcPr>
            <w:tcW w:type="dxa" w:w="510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11111"/>
                <w:sz w:val="18"/>
              </w:rPr>
              <w:t>R230,000 fixed project fee (VAT only if applicable)</w:t>
            </w:r>
          </w:p>
        </w:tc>
      </w:tr>
      <w:tr>
        <w:trPr>
          <w:cantSplit/>
        </w:trPr>
        <w:tc>
          <w:tcPr>
            <w:tcW w:type="dxa" w:w="5100"/>
            <w:shd w:fill="F3F1ED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>ESTIMATED EFFORT</w:t>
            </w:r>
          </w:p>
        </w:tc>
        <w:tc>
          <w:tcPr>
            <w:tcW w:type="dxa" w:w="510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11111"/>
                <w:sz w:val="18"/>
              </w:rPr>
            </w:r>
            <w:r>
              <w:rPr>
                <w:rFonts w:ascii="Aptos" w:hAnsi="Aptos"/>
                <w:b w:val="0"/>
                <w:sz w:val="16"/>
              </w:rPr>
              <w:t>Approximately 209 engineering hours at R1,100/hour</w:t>
            </w:r>
          </w:p>
        </w:tc>
      </w:tr>
      <w:tr>
        <w:trPr>
          <w:cantSplit/>
        </w:trPr>
        <w:tc>
          <w:tcPr>
            <w:tcW w:type="dxa" w:w="5100"/>
            <w:shd w:fill="F3F1ED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>ESTIMATED DELIVERY</w:t>
            </w:r>
          </w:p>
        </w:tc>
        <w:tc>
          <w:tcPr>
            <w:tcW w:type="dxa" w:w="510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11111"/>
                <w:sz w:val="18"/>
              </w:rPr>
              <w:t>8–10 weeks of active delivery, subject to client/vendor access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rPr>
          <w:rFonts w:ascii="Aptos" w:hAnsi="Aptos" w:eastAsia="Aptos"/>
          <w:b w:val="0"/>
          <w:color w:val="111111"/>
          <w:sz w:val="19"/>
        </w:rPr>
        <w:t>This revised proposal responds to Kliya’s founder-issued MVP Integration &amp; Technical Support Brief. Daybreak’s role is to implement, validate and harden selected third-party integrations around the existing Kliya MVP. The core product build, product flows and visual system are not included.</w:t>
      </w:r>
    </w:p>
    <w:p>
      <w:r>
        <w:rPr>
          <w:rFonts w:ascii="Aptos" w:hAnsi="Aptos" w:eastAsia="Aptos"/>
          <w:b w:val="0"/>
          <w:color w:val="111111"/>
          <w:sz w:val="19"/>
        </w:rPr>
        <w:t>The engagement is structured as a modular integration programme: approved providers are connected through a maintainable backend/API layer, external outputs are mapped into Kliya’s internal structures, failure states are handled gracefully, and the final implementation is documented for future maintenance or provider replacement.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space="0" w:color="B46A3C"/>
          <w:left w:val="single" w:sz="8" w:space="0" w:color="B46A3C"/>
          <w:bottom w:val="single" w:sz="8" w:space="0" w:color="B46A3C"/>
          <w:right w:val="single" w:sz="8" w:space="0" w:color="B46A3C"/>
          <w:insideH w:val="single" w:sz="8" w:space="0" w:color="B46A3C"/>
          <w:insideV w:val="single" w:sz="8" w:space="0" w:color="B46A3C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shd w:fill="F3F1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B46A3C"/>
                <w:sz w:val="17"/>
              </w:rPr>
              <w:t>COMMERCIAL BASIS</w:t>
            </w:r>
          </w:p>
          <w:p>
            <w:r>
              <w:rPr>
                <w:rFonts w:ascii="Aptos" w:hAnsi="Aptos" w:eastAsia="Aptos"/>
                <w:b w:val="0"/>
                <w:color w:val="111111"/>
                <w:sz w:val="18"/>
              </w:rPr>
            </w:r>
            <w:r>
              <w:rPr>
                <w:rFonts w:ascii="Aptos" w:hAnsi="Aptos"/>
                <w:sz w:val="18"/>
              </w:rPr>
              <w:t>The revised scope is estimated at approximately 209 engineering hours at Daybreak’s standard R1,100/hour rate, giving an estimated labour basis of R229,900. The commercial project fee is fixed at R230,000. The hours are planning estimates mapped to the approved workstreams; the engagement is priced for delivery of the agreed scope and outcomes, not for consuming an arbitrary block of hours.</w:t>
            </w:r>
          </w:p>
        </w:tc>
      </w:tr>
    </w:tbl>
    <w:p/>
    <w:p>
      <w:pPr>
        <w:pStyle w:val="Heading1"/>
      </w:pPr>
      <w:r>
        <w:t>2. Scope of Work</w:t>
      </w:r>
    </w:p>
    <w:p>
      <w:pPr>
        <w:pStyle w:val="ListBullet"/>
        <w:ind w:left="227" w:hanging="113"/>
      </w:pPr>
      <w:r>
        <w:rPr>
          <w:rFonts w:ascii="Aptos" w:hAnsi="Aptos" w:eastAsia="Aptos"/>
          <w:b w:val="0"/>
          <w:color w:val="111111"/>
          <w:sz w:val="18"/>
        </w:rPr>
        <w:t>Implement approved third-party APIs/SDKs into the existing Kliya MVP.</w:t>
      </w:r>
    </w:p>
    <w:p>
      <w:pPr>
        <w:pStyle w:val="ListBullet"/>
        <w:ind w:left="227" w:hanging="113"/>
      </w:pPr>
      <w:r>
        <w:rPr>
          <w:rFonts w:ascii="Aptos" w:hAnsi="Aptos" w:eastAsia="Aptos"/>
          <w:b w:val="0"/>
          <w:color w:val="111111"/>
          <w:sz w:val="18"/>
        </w:rPr>
        <w:t>Build and harden the backend/API layer required for each approved integration.</w:t>
      </w:r>
    </w:p>
    <w:p>
      <w:pPr>
        <w:pStyle w:val="ListBullet"/>
        <w:ind w:left="227" w:hanging="113"/>
      </w:pPr>
      <w:r>
        <w:rPr>
          <w:rFonts w:ascii="Aptos" w:hAnsi="Aptos" w:eastAsia="Aptos"/>
          <w:b w:val="0"/>
          <w:color w:val="111111"/>
          <w:sz w:val="18"/>
        </w:rPr>
        <w:t>Map provider inputs and outputs into Kliya’s internal data structures.</w:t>
      </w:r>
    </w:p>
    <w:p>
      <w:pPr>
        <w:pStyle w:val="ListBullet"/>
        <w:ind w:left="227" w:hanging="113"/>
      </w:pPr>
      <w:r>
        <w:rPr>
          <w:rFonts w:ascii="Aptos" w:hAnsi="Aptos" w:eastAsia="Aptos"/>
          <w:b w:val="0"/>
          <w:color w:val="111111"/>
          <w:sz w:val="18"/>
        </w:rPr>
        <w:t>Implement authentication, secure secret handling, request/response orchestration, retries, rate-limit handling, logging and graceful failure states where appropriate.</w:t>
      </w:r>
    </w:p>
    <w:p>
      <w:pPr>
        <w:pStyle w:val="ListBullet"/>
        <w:ind w:left="227" w:hanging="113"/>
      </w:pPr>
      <w:r>
        <w:rPr>
          <w:rFonts w:ascii="Aptos" w:hAnsi="Aptos" w:eastAsia="Aptos"/>
          <w:b w:val="0"/>
          <w:color w:val="111111"/>
          <w:sz w:val="18"/>
        </w:rPr>
        <w:t>Test end-to-end data flow, document constraints and isolate provider-specific logic behind modular service boundaries.</w:t>
      </w:r>
    </w:p>
    <w:p>
      <w:pPr>
        <w:pStyle w:val="ListBullet"/>
        <w:ind w:left="227" w:hanging="113"/>
      </w:pPr>
      <w:r>
        <w:rPr>
          <w:rFonts w:ascii="Aptos" w:hAnsi="Aptos" w:eastAsia="Aptos"/>
          <w:b w:val="0"/>
          <w:color w:val="111111"/>
          <w:sz w:val="18"/>
        </w:rPr>
        <w:t>Commit bespoke integration code to Kliya-controlled repositories and provide handover documentation.</w:t>
      </w:r>
    </w:p>
    <w:p>
      <w:pPr>
        <w:pStyle w:val="Heading1"/>
      </w:pPr>
      <w:r>
        <w:t>3. Workstream &amp; Investment Breakdown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4CC"/>
          <w:left w:val="single" w:sz="4" w:space="0" w:color="D8D4CC"/>
          <w:bottom w:val="single" w:sz="4" w:space="0" w:color="D8D4CC"/>
          <w:right w:val="single" w:sz="4" w:space="0" w:color="D8D4CC"/>
          <w:insideH w:val="single" w:sz="4" w:space="0" w:color="D8D4CC"/>
          <w:insideV w:val="single" w:sz="4" w:space="0" w:color="D8D4CC"/>
        </w:tblBorders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567"/>
            <w:shd w:fill="1F1F1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2835"/>
            <w:shd w:fill="1F1F1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WORKSTREAM</w:t>
            </w:r>
          </w:p>
        </w:tc>
        <w:tc>
          <w:tcPr>
            <w:tcW w:type="dxa" w:w="4195"/>
            <w:shd w:fill="1F1F1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INCLUDED OUTCOME</w:t>
            </w:r>
          </w:p>
        </w:tc>
        <w:tc>
          <w:tcPr>
            <w:tcW w:type="dxa" w:w="964"/>
            <w:shd w:fill="1F1F1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righ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HOURS</w:t>
            </w:r>
          </w:p>
        </w:tc>
        <w:tc>
          <w:tcPr>
            <w:tcW w:type="dxa" w:w="1247"/>
            <w:shd w:fill="1F1F1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righ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FEE</w:t>
            </w:r>
          </w:p>
        </w:tc>
      </w:tr>
      <w:tr>
        <w:trPr>
          <w:cantSplit/>
        </w:trPr>
        <w:tc>
          <w:tcPr>
            <w:tcW w:type="dxa" w:w="2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111111"/>
                <w:sz w:val="16"/>
              </w:rPr>
              <w:t>01</w:t>
            </w:r>
          </w:p>
        </w:tc>
        <w:tc>
          <w:tcPr>
            <w:tcW w:type="dxa" w:w="2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11111"/>
                <w:sz w:val="16"/>
              </w:rPr>
              <w:t>Integration architecture &amp; backend foundation</w:t>
            </w:r>
          </w:p>
        </w:tc>
        <w:tc>
          <w:tcPr>
            <w:tcW w:type="dxa" w:w="2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111111"/>
                <w:sz w:val="15"/>
              </w:rPr>
              <w:t>Shared integration layer, service boundaries, auth/secrets pattern, request orchestration, baseline observability, data-mapping conventions and environment configuration.</w:t>
            </w:r>
          </w:p>
        </w:tc>
        <w:tc>
          <w:tcPr>
            <w:tcW w:type="dxa" w:w="2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right"/>
            </w:pPr>
            <w:r>
              <w:rPr>
                <w:rFonts w:ascii="Aptos" w:hAnsi="Aptos" w:eastAsia="Aptos"/>
                <w:b w:val="0"/>
                <w:color w:val="111111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22h</w:t>
            </w:r>
          </w:p>
        </w:tc>
        <w:tc>
          <w:tcPr>
            <w:tcW w:type="dxa" w:w="2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right"/>
            </w:pPr>
            <w:r>
              <w:rPr>
                <w:rFonts w:ascii="Aptos" w:hAnsi="Aptos" w:eastAsia="Aptos"/>
                <w:b w:val="0"/>
                <w:color w:val="111111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R24,200</w:t>
            </w:r>
          </w:p>
        </w:tc>
      </w:tr>
      <w:tr>
        <w:trPr>
          <w:cantSplit/>
        </w:trPr>
        <w:tc>
          <w:tcPr>
            <w:tcW w:type="dxa" w:w="2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111111"/>
                <w:sz w:val="16"/>
              </w:rPr>
              <w:t>02</w:t>
            </w:r>
          </w:p>
        </w:tc>
        <w:tc>
          <w:tcPr>
            <w:tcW w:type="dxa" w:w="2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11111"/>
                <w:sz w:val="16"/>
              </w:rPr>
              <w:t>Body Intelligence / body measurement</w:t>
            </w:r>
          </w:p>
        </w:tc>
        <w:tc>
          <w:tcPr>
            <w:tcW w:type="dxa" w:w="2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111111"/>
                <w:sz w:val="15"/>
              </w:rPr>
              <w:t>Integrate one approved measurement provider; map supported body outputs into Kliya’s body profile; persist required data; handle incomplete/failure states; document export/retention limitations.</w:t>
            </w:r>
          </w:p>
        </w:tc>
        <w:tc>
          <w:tcPr>
            <w:tcW w:type="dxa" w:w="2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right"/>
            </w:pPr>
            <w:r>
              <w:rPr>
                <w:rFonts w:ascii="Aptos" w:hAnsi="Aptos" w:eastAsia="Aptos"/>
                <w:b w:val="0"/>
                <w:color w:val="111111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28h</w:t>
            </w:r>
          </w:p>
        </w:tc>
        <w:tc>
          <w:tcPr>
            <w:tcW w:type="dxa" w:w="2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right"/>
            </w:pPr>
            <w:r>
              <w:rPr>
                <w:rFonts w:ascii="Aptos" w:hAnsi="Aptos" w:eastAsia="Aptos"/>
                <w:b w:val="0"/>
                <w:color w:val="111111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R30,800</w:t>
            </w:r>
          </w:p>
        </w:tc>
      </w:tr>
      <w:tr>
        <w:trPr>
          <w:cantSplit/>
        </w:trPr>
        <w:tc>
          <w:tcPr>
            <w:tcW w:type="dxa" w:w="2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111111"/>
                <w:sz w:val="16"/>
              </w:rPr>
              <w:t>03</w:t>
            </w:r>
          </w:p>
        </w:tc>
        <w:tc>
          <w:tcPr>
            <w:tcW w:type="dxa" w:w="2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11111"/>
                <w:sz w:val="16"/>
              </w:rPr>
              <w:t>Virtual Try-On</w:t>
            </w:r>
          </w:p>
        </w:tc>
        <w:tc>
          <w:tcPr>
            <w:tcW w:type="dxa" w:w="2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111111"/>
                <w:sz w:val="15"/>
              </w:rPr>
              <w:t>Integrate one approved VTO provider into the existing journey; support required user/body and garment inputs; return/display results; isolate provider logic; capture latency/failure/usage information where available.</w:t>
            </w:r>
          </w:p>
        </w:tc>
        <w:tc>
          <w:tcPr>
            <w:tcW w:type="dxa" w:w="2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right"/>
            </w:pPr>
            <w:r>
              <w:rPr>
                <w:rFonts w:ascii="Aptos" w:hAnsi="Aptos" w:eastAsia="Aptos"/>
                <w:b w:val="0"/>
                <w:color w:val="111111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28h</w:t>
            </w:r>
          </w:p>
        </w:tc>
        <w:tc>
          <w:tcPr>
            <w:tcW w:type="dxa" w:w="2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right"/>
            </w:pPr>
            <w:r>
              <w:rPr>
                <w:rFonts w:ascii="Aptos" w:hAnsi="Aptos" w:eastAsia="Aptos"/>
                <w:b w:val="0"/>
                <w:color w:val="111111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R30,800</w:t>
            </w:r>
          </w:p>
        </w:tc>
      </w:tr>
      <w:tr>
        <w:trPr>
          <w:cantSplit/>
        </w:trPr>
        <w:tc>
          <w:tcPr>
            <w:tcW w:type="dxa" w:w="2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111111"/>
                <w:sz w:val="16"/>
              </w:rPr>
              <w:t>04</w:t>
            </w:r>
          </w:p>
        </w:tc>
        <w:tc>
          <w:tcPr>
            <w:tcW w:type="dxa" w:w="2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11111"/>
                <w:sz w:val="16"/>
              </w:rPr>
              <w:t>Garment / simulation / fit infrastructure</w:t>
            </w:r>
          </w:p>
        </w:tc>
        <w:tc>
          <w:tcPr>
            <w:tcW w:type="dxa" w:w="2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111111"/>
                <w:sz w:val="15"/>
              </w:rPr>
              <w:t>Integrate one approved technically accessible provider; map required body/garment inputs; retrieve machine-readable fit signals where exposed; document asset-preparation, preprocessing and vendor dependencies.</w:t>
            </w:r>
          </w:p>
        </w:tc>
        <w:tc>
          <w:tcPr>
            <w:tcW w:type="dxa" w:w="2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right"/>
            </w:pPr>
            <w:r>
              <w:rPr>
                <w:rFonts w:ascii="Aptos" w:hAnsi="Aptos" w:eastAsia="Aptos"/>
                <w:b w:val="0"/>
                <w:color w:val="111111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32h</w:t>
            </w:r>
          </w:p>
        </w:tc>
        <w:tc>
          <w:tcPr>
            <w:tcW w:type="dxa" w:w="2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right"/>
            </w:pPr>
            <w:r>
              <w:rPr>
                <w:rFonts w:ascii="Aptos" w:hAnsi="Aptos" w:eastAsia="Aptos"/>
                <w:b w:val="0"/>
                <w:color w:val="111111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R35,200</w:t>
            </w:r>
          </w:p>
        </w:tc>
      </w:tr>
      <w:tr>
        <w:trPr>
          <w:cantSplit/>
        </w:trPr>
        <w:tc>
          <w:tcPr>
            <w:tcW w:type="dxa" w:w="2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111111"/>
                <w:sz w:val="16"/>
              </w:rPr>
              <w:t>05</w:t>
            </w:r>
          </w:p>
        </w:tc>
        <w:tc>
          <w:tcPr>
            <w:tcW w:type="dxa" w:w="2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11111"/>
                <w:sz w:val="16"/>
              </w:rPr>
              <w:t>PointAI validation &amp; lightweight path</w:t>
            </w:r>
          </w:p>
        </w:tc>
        <w:tc>
          <w:tcPr>
            <w:tcW w:type="dxa" w:w="2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111111"/>
                <w:sz w:val="15"/>
              </w:rPr>
              <w:t>Validate commercial/technical access, required inputs and available outputs; implement a lightweight MVP path where access supports it, otherwise provide a documented blocker and exact next action.</w:t>
            </w:r>
          </w:p>
        </w:tc>
        <w:tc>
          <w:tcPr>
            <w:tcW w:type="dxa" w:w="2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right"/>
            </w:pPr>
            <w:r>
              <w:rPr>
                <w:rFonts w:ascii="Aptos" w:hAnsi="Aptos" w:eastAsia="Aptos"/>
                <w:b w:val="0"/>
                <w:color w:val="111111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10h</w:t>
            </w:r>
          </w:p>
        </w:tc>
        <w:tc>
          <w:tcPr>
            <w:tcW w:type="dxa" w:w="2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right"/>
            </w:pPr>
            <w:r>
              <w:rPr>
                <w:rFonts w:ascii="Aptos" w:hAnsi="Aptos" w:eastAsia="Aptos"/>
                <w:b w:val="0"/>
                <w:color w:val="111111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R11,000</w:t>
            </w:r>
          </w:p>
        </w:tc>
      </w:tr>
      <w:tr>
        <w:trPr>
          <w:cantSplit/>
        </w:trPr>
        <w:tc>
          <w:tcPr>
            <w:tcW w:type="dxa" w:w="2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111111"/>
                <w:sz w:val="16"/>
              </w:rPr>
              <w:t>06</w:t>
            </w:r>
          </w:p>
        </w:tc>
        <w:tc>
          <w:tcPr>
            <w:tcW w:type="dxa" w:w="2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11111"/>
                <w:sz w:val="16"/>
              </w:rPr>
              <w:t>Product ingestion / Garment Intelligence</w:t>
            </w:r>
          </w:p>
        </w:tc>
        <w:tc>
          <w:tcPr>
            <w:tcW w:type="dxa" w:w="2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111111"/>
                <w:sz w:val="15"/>
              </w:rPr>
              <w:t>Support approved product inputs including URL/image/size chart/measurements/fabric/manual data; normalise into a common garment structure; retain data provenance; maintain fallback when retailer extraction is unreliable.</w:t>
            </w:r>
          </w:p>
        </w:tc>
        <w:tc>
          <w:tcPr>
            <w:tcW w:type="dxa" w:w="2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right"/>
            </w:pPr>
            <w:r>
              <w:rPr>
                <w:rFonts w:ascii="Aptos" w:hAnsi="Aptos" w:eastAsia="Aptos"/>
                <w:b w:val="0"/>
                <w:color w:val="111111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27h</w:t>
            </w:r>
          </w:p>
        </w:tc>
        <w:tc>
          <w:tcPr>
            <w:tcW w:type="dxa" w:w="2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right"/>
            </w:pPr>
            <w:r>
              <w:rPr>
                <w:rFonts w:ascii="Aptos" w:hAnsi="Aptos" w:eastAsia="Aptos"/>
                <w:b w:val="0"/>
                <w:color w:val="111111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R29,700</w:t>
            </w:r>
          </w:p>
        </w:tc>
      </w:tr>
      <w:tr>
        <w:trPr>
          <w:cantSplit/>
        </w:trPr>
        <w:tc>
          <w:tcPr>
            <w:tcW w:type="dxa" w:w="2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111111"/>
                <w:sz w:val="16"/>
              </w:rPr>
              <w:t>07</w:t>
            </w:r>
          </w:p>
        </w:tc>
        <w:tc>
          <w:tcPr>
            <w:tcW w:type="dxa" w:w="2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11111"/>
                <w:sz w:val="16"/>
              </w:rPr>
              <w:t>Affiliate commerce / creator attribution</w:t>
            </w:r>
          </w:p>
        </w:tc>
        <w:tc>
          <w:tcPr>
            <w:tcW w:type="dxa" w:w="2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111111"/>
                <w:sz w:val="15"/>
              </w:rPr>
              <w:t>Implement one approved MVP affiliate network (Impact or CJ); support approved account model, link generation and available attribution/commission mapping; structure the interface so another network can be added later.</w:t>
            </w:r>
          </w:p>
        </w:tc>
        <w:tc>
          <w:tcPr>
            <w:tcW w:type="dxa" w:w="2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right"/>
            </w:pPr>
            <w:r>
              <w:rPr>
                <w:rFonts w:ascii="Aptos" w:hAnsi="Aptos" w:eastAsia="Aptos"/>
                <w:b w:val="0"/>
                <w:color w:val="111111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25h</w:t>
            </w:r>
          </w:p>
        </w:tc>
        <w:tc>
          <w:tcPr>
            <w:tcW w:type="dxa" w:w="2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right"/>
            </w:pPr>
            <w:r>
              <w:rPr>
                <w:rFonts w:ascii="Aptos" w:hAnsi="Aptos" w:eastAsia="Aptos"/>
                <w:b w:val="0"/>
                <w:color w:val="111111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R27,500</w:t>
            </w:r>
          </w:p>
        </w:tc>
      </w:tr>
      <w:tr>
        <w:trPr>
          <w:cantSplit/>
        </w:trPr>
        <w:tc>
          <w:tcPr>
            <w:tcW w:type="dxa" w:w="2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111111"/>
                <w:sz w:val="16"/>
              </w:rPr>
              <w:t>08</w:t>
            </w:r>
          </w:p>
        </w:tc>
        <w:tc>
          <w:tcPr>
            <w:tcW w:type="dxa" w:w="2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11111"/>
                <w:sz w:val="16"/>
              </w:rPr>
              <w:t>QA, security hardening, documentation &amp; handover</w:t>
            </w:r>
          </w:p>
        </w:tc>
        <w:tc>
          <w:tcPr>
            <w:tcW w:type="dxa" w:w="2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111111"/>
                <w:sz w:val="15"/>
              </w:rPr>
              <w:t>Cross-workstream testing, failure-path validation, basic usage/cost visibility, sensitive-data handling checks, technical documentation, known-limitations register, handover and final acceptance support.</w:t>
            </w:r>
          </w:p>
        </w:tc>
        <w:tc>
          <w:tcPr>
            <w:tcW w:type="dxa" w:w="2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right"/>
            </w:pPr>
            <w:r>
              <w:rPr>
                <w:rFonts w:ascii="Aptos" w:hAnsi="Aptos" w:eastAsia="Aptos"/>
                <w:b w:val="0"/>
                <w:color w:val="111111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37h</w:t>
            </w:r>
          </w:p>
        </w:tc>
        <w:tc>
          <w:tcPr>
            <w:tcW w:type="dxa" w:w="2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right"/>
            </w:pPr>
            <w:r>
              <w:rPr>
                <w:rFonts w:ascii="Aptos" w:hAnsi="Aptos" w:eastAsia="Aptos"/>
                <w:b w:val="0"/>
                <w:color w:val="111111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R40,700</w:t>
            </w:r>
          </w:p>
        </w:tc>
      </w:tr>
      <w:tr>
        <w:trPr>
          <w:cantSplit/>
        </w:trPr>
        <w:tc>
          <w:tcPr>
            <w:tcW w:type="dxa" w:w="6120"/>
            <w:gridSpan w:val="3"/>
            <w:shd w:fill="F3F1ED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11111"/>
                <w:sz w:val="17"/>
              </w:rPr>
            </w:r>
            <w:r>
              <w:rPr>
                <w:rFonts w:ascii="Aptos" w:hAnsi="Aptos"/>
                <w:b/>
                <w:sz w:val="17"/>
              </w:rPr>
              <w:t>ESTIMATED LABOUR BASIS</w:t>
            </w:r>
          </w:p>
        </w:tc>
        <w:tc>
          <w:tcPr>
            <w:tcW w:type="dxa" w:w="2040"/>
            <w:shd w:fill="F3F1ED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jc w:val="right"/>
            </w:pPr>
            <w:r>
              <w:rPr>
                <w:rFonts w:ascii="Aptos" w:hAnsi="Aptos" w:eastAsia="Aptos"/>
                <w:b/>
                <w:color w:val="111111"/>
                <w:sz w:val="17"/>
              </w:rPr>
            </w:r>
            <w:r>
              <w:rPr>
                <w:rFonts w:ascii="Aptos" w:hAnsi="Aptos"/>
                <w:b/>
                <w:sz w:val="17"/>
              </w:rPr>
              <w:t>209h</w:t>
            </w:r>
          </w:p>
        </w:tc>
        <w:tc>
          <w:tcPr>
            <w:tcW w:type="dxa" w:w="2040"/>
            <w:shd w:fill="F3F1ED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jc w:val="right"/>
            </w:pPr>
            <w:r>
              <w:rPr>
                <w:rFonts w:ascii="Aptos" w:hAnsi="Aptos" w:eastAsia="Aptos"/>
                <w:b/>
                <w:color w:val="111111"/>
                <w:sz w:val="17"/>
              </w:rPr>
            </w:r>
            <w:r>
              <w:rPr>
                <w:rFonts w:ascii="Aptos" w:hAnsi="Aptos"/>
                <w:b/>
                <w:sz w:val="17"/>
              </w:rPr>
              <w:t>R229,900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space="0" w:color="B46A3C"/>
          <w:left w:val="single" w:sz="8" w:space="0" w:color="B46A3C"/>
          <w:bottom w:val="single" w:sz="8" w:space="0" w:color="B46A3C"/>
          <w:right w:val="single" w:sz="8" w:space="0" w:color="B46A3C"/>
          <w:insideH w:val="single" w:sz="8" w:space="0" w:color="B46A3C"/>
          <w:insideV w:val="single" w:sz="8" w:space="0" w:color="B46A3C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shd w:fill="F3F1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B46A3C"/>
                <w:sz w:val="17"/>
              </w:rPr>
              <w:t>IMPORTANT WORKSTREAM ASSUMPTION</w:t>
            </w:r>
          </w:p>
          <w:p>
            <w:r>
              <w:rPr>
                <w:rFonts w:ascii="Aptos" w:hAnsi="Aptos" w:eastAsia="Aptos"/>
                <w:b w:val="0"/>
                <w:color w:val="111111"/>
                <w:sz w:val="18"/>
              </w:rPr>
            </w:r>
            <w:r>
              <w:rPr>
                <w:rFonts w:ascii="Aptos" w:hAnsi="Aptos"/>
                <w:sz w:val="18"/>
              </w:rPr>
              <w:t>The R230,000 fixed fee is the commercially rounded project price for the 209-hour estimate. It reflects the revised integration-only brief and excludes the broader full-product build. The estimate assumes one selected/approved provider per primary integration workstream and one primary affiliate network for MVP implementation. Multiple providers in the same category, a second affiliate network, bespoke vendor workarounds or proprietary model development require a written change request.</w:t>
            </w:r>
          </w:p>
        </w:tc>
      </w:tr>
    </w:tbl>
    <w:p/>
    <w:p>
      <w:pPr>
        <w:pStyle w:val="Heading1"/>
      </w:pPr>
      <w:r>
        <w:t>4. Delivery Approach &amp; Timeline</w:t>
      </w:r>
    </w:p>
    <w:p>
      <w:pPr>
        <w:pStyle w:val="ListNumber"/>
        <w:ind w:left="283" w:hanging="142"/>
      </w:pPr>
      <w:r>
        <w:rPr>
          <w:rFonts w:ascii="Aptos" w:hAnsi="Aptos" w:eastAsia="Aptos"/>
          <w:b w:val="0"/>
          <w:color w:val="111111"/>
          <w:sz w:val="18"/>
        </w:rPr>
        <w:t>Foundation &amp; access: confirm Kliya repositories, environments, credentials, data structures and selected providers.</w:t>
      </w:r>
    </w:p>
    <w:p>
      <w:pPr>
        <w:pStyle w:val="ListNumber"/>
        <w:ind w:left="283" w:hanging="142"/>
      </w:pPr>
      <w:r>
        <w:rPr>
          <w:rFonts w:ascii="Aptos" w:hAnsi="Aptos" w:eastAsia="Aptos"/>
          <w:b w:val="0"/>
          <w:color w:val="111111"/>
          <w:sz w:val="18"/>
        </w:rPr>
        <w:t>Core integrations: implement Body Intelligence, VTO and approved garment/simulation pathways.</w:t>
      </w:r>
    </w:p>
    <w:p>
      <w:pPr>
        <w:pStyle w:val="ListNumber"/>
        <w:ind w:left="283" w:hanging="142"/>
      </w:pPr>
      <w:r>
        <w:rPr>
          <w:rFonts w:ascii="Aptos" w:hAnsi="Aptos" w:eastAsia="Aptos"/>
          <w:b w:val="0"/>
          <w:color w:val="111111"/>
          <w:sz w:val="18"/>
        </w:rPr>
        <w:t>Data &amp; commerce: implement product ingestion / Garment Intelligence and the approved affiliate network.</w:t>
      </w:r>
    </w:p>
    <w:p>
      <w:pPr>
        <w:pStyle w:val="ListNumber"/>
        <w:ind w:left="283" w:hanging="142"/>
      </w:pPr>
      <w:r>
        <w:rPr>
          <w:rFonts w:ascii="Aptos" w:hAnsi="Aptos" w:eastAsia="Aptos"/>
          <w:b w:val="0"/>
          <w:color w:val="111111"/>
          <w:sz w:val="18"/>
        </w:rPr>
        <w:t>Hardening: validate errors, retries, fallbacks, logging, sensitive-data handling and environment configuration.</w:t>
      </w:r>
    </w:p>
    <w:p>
      <w:pPr>
        <w:pStyle w:val="ListNumber"/>
        <w:ind w:left="283" w:hanging="142"/>
      </w:pPr>
      <w:r>
        <w:rPr>
          <w:rFonts w:ascii="Aptos" w:hAnsi="Aptos" w:eastAsia="Aptos"/>
          <w:b w:val="0"/>
          <w:color w:val="111111"/>
          <w:sz w:val="18"/>
        </w:rPr>
        <w:t>Acceptance &amp; handover: complete technical validation, documentation, source-code handover and open-item register.</w:t>
      </w:r>
    </w:p>
    <w:p>
      <w:r>
        <w:rPr>
          <w:rFonts w:ascii="Aptos" w:hAnsi="Aptos" w:eastAsia="Aptos"/>
          <w:b w:val="0"/>
          <w:color w:val="111111"/>
          <w:sz w:val="19"/>
        </w:rPr>
        <w:t>Estimated active delivery window: 8–10 weeks. Calendar timing may extend where Kliya or a third-party vendor has not supplied credentials, commercial approval, licensing, technical documentation, test data or other access required to proceed.</w:t>
      </w:r>
    </w:p>
    <w:p>
      <w:pPr>
        <w:pStyle w:val="Heading1"/>
      </w:pPr>
      <w:r>
        <w:t>5. Client Dependencies</w:t>
      </w:r>
    </w:p>
    <w:p>
      <w:pPr>
        <w:pStyle w:val="ListBullet"/>
        <w:ind w:left="227" w:hanging="113"/>
      </w:pPr>
      <w:r>
        <w:rPr>
          <w:rFonts w:ascii="Aptos" w:hAnsi="Aptos" w:eastAsia="Aptos"/>
          <w:b w:val="0"/>
          <w:color w:val="111111"/>
          <w:sz w:val="18"/>
        </w:rPr>
        <w:t>Access to the existing Kliya codebase, relevant backend/database structures and development/test environments.</w:t>
      </w:r>
    </w:p>
    <w:p>
      <w:pPr>
        <w:pStyle w:val="ListBullet"/>
        <w:ind w:left="227" w:hanging="113"/>
      </w:pPr>
      <w:r>
        <w:rPr>
          <w:rFonts w:ascii="Aptos" w:hAnsi="Aptos" w:eastAsia="Aptos"/>
          <w:b w:val="0"/>
          <w:color w:val="111111"/>
          <w:sz w:val="18"/>
        </w:rPr>
        <w:t>Selection and approval of the provider to be implemented in each workstream.</w:t>
      </w:r>
    </w:p>
    <w:p>
      <w:pPr>
        <w:pStyle w:val="ListBullet"/>
        <w:ind w:left="227" w:hanging="113"/>
      </w:pPr>
      <w:r>
        <w:rPr>
          <w:rFonts w:ascii="Aptos" w:hAnsi="Aptos" w:eastAsia="Aptos"/>
          <w:b w:val="0"/>
          <w:color w:val="111111"/>
          <w:sz w:val="18"/>
        </w:rPr>
        <w:t>Vendor accounts, API/SDK credentials, licences, documentation and test/sandbox access.</w:t>
      </w:r>
    </w:p>
    <w:p>
      <w:pPr>
        <w:pStyle w:val="ListBullet"/>
        <w:ind w:left="227" w:hanging="113"/>
      </w:pPr>
      <w:r>
        <w:rPr>
          <w:rFonts w:ascii="Aptos" w:hAnsi="Aptos" w:eastAsia="Aptos"/>
          <w:b w:val="0"/>
          <w:color w:val="111111"/>
          <w:sz w:val="18"/>
        </w:rPr>
        <w:t>A nominated Kliya decision-maker able to approve technical questions and workstream acceptance.</w:t>
      </w:r>
    </w:p>
    <w:p>
      <w:pPr>
        <w:pStyle w:val="ListBullet"/>
        <w:ind w:left="227" w:hanging="113"/>
      </w:pPr>
      <w:r>
        <w:rPr>
          <w:rFonts w:ascii="Aptos" w:hAnsi="Aptos" w:eastAsia="Aptos"/>
          <w:b w:val="0"/>
          <w:color w:val="111111"/>
          <w:sz w:val="18"/>
        </w:rPr>
        <w:t>Timely product/domain clarification where Kliya-specific data structures or business rules affect integration mapping.</w:t>
      </w:r>
    </w:p>
    <w:p>
      <w:pPr>
        <w:pStyle w:val="Heading1"/>
      </w:pPr>
      <w:r>
        <w:t>6. Explicit Exclusions</w:t>
      </w:r>
    </w:p>
    <w:p>
      <w:pPr>
        <w:pStyle w:val="ListBullet"/>
        <w:ind w:left="227" w:hanging="113"/>
      </w:pPr>
      <w:r>
        <w:rPr>
          <w:rFonts w:ascii="Aptos" w:hAnsi="Aptos" w:eastAsia="Aptos"/>
          <w:b w:val="0"/>
          <w:color w:val="111111"/>
          <w:sz w:val="18"/>
        </w:rPr>
        <w:t>Rebuilding the Kliya MVP or redesigning product journeys/UI.</w:t>
      </w:r>
    </w:p>
    <w:p>
      <w:pPr>
        <w:pStyle w:val="ListBullet"/>
        <w:ind w:left="227" w:hanging="113"/>
      </w:pPr>
      <w:r>
        <w:rPr>
          <w:rFonts w:ascii="Aptos" w:hAnsi="Aptos" w:eastAsia="Aptos"/>
          <w:b w:val="0"/>
          <w:color w:val="111111"/>
          <w:sz w:val="18"/>
        </w:rPr>
        <w:t>Building proprietary body-scanning, garment-reconstruction, cloth-physics or specialist simulation engines.</w:t>
      </w:r>
    </w:p>
    <w:p>
      <w:pPr>
        <w:pStyle w:val="ListBullet"/>
        <w:ind w:left="227" w:hanging="113"/>
      </w:pPr>
      <w:r>
        <w:rPr>
          <w:rFonts w:ascii="Aptos" w:hAnsi="Aptos" w:eastAsia="Aptos"/>
          <w:b w:val="0"/>
          <w:color w:val="111111"/>
          <w:sz w:val="18"/>
        </w:rPr>
        <w:t>Production-scale/high-availability infrastructure or international rollout optimisation.</w:t>
      </w:r>
    </w:p>
    <w:p>
      <w:pPr>
        <w:pStyle w:val="ListBullet"/>
        <w:ind w:left="227" w:hanging="113"/>
      </w:pPr>
      <w:r>
        <w:rPr>
          <w:rFonts w:ascii="Aptos" w:hAnsi="Aptos" w:eastAsia="Aptos"/>
          <w:b w:val="0"/>
          <w:color w:val="111111"/>
          <w:sz w:val="18"/>
        </w:rPr>
        <w:t>Full production-scale retailer integrations or large speculative R&amp;D workstreams.</w:t>
      </w:r>
    </w:p>
    <w:p>
      <w:pPr>
        <w:pStyle w:val="ListBullet"/>
        <w:ind w:left="227" w:hanging="113"/>
      </w:pPr>
      <w:r>
        <w:rPr>
          <w:rFonts w:ascii="Aptos" w:hAnsi="Aptos" w:eastAsia="Aptos"/>
          <w:b w:val="0"/>
          <w:color w:val="111111"/>
          <w:sz w:val="18"/>
        </w:rPr>
        <w:t>Automated creator payout, settlement, withholding/tax or marketplace payment infrastructure.</w:t>
      </w:r>
    </w:p>
    <w:p>
      <w:pPr>
        <w:pStyle w:val="ListBullet"/>
        <w:ind w:left="227" w:hanging="113"/>
      </w:pPr>
      <w:r>
        <w:rPr>
          <w:rFonts w:ascii="Aptos" w:hAnsi="Aptos" w:eastAsia="Aptos"/>
          <w:b w:val="0"/>
          <w:color w:val="111111"/>
          <w:sz w:val="18"/>
        </w:rPr>
        <w:t>Third-party API, SDK, licensing, cloud, hosting, usage, vendor onboarding or commercial fees.</w:t>
      </w:r>
    </w:p>
    <w:p>
      <w:pPr>
        <w:pStyle w:val="ListBullet"/>
        <w:ind w:left="227" w:hanging="113"/>
      </w:pPr>
      <w:r>
        <w:rPr>
          <w:rFonts w:ascii="Aptos" w:hAnsi="Aptos" w:eastAsia="Aptos"/>
          <w:b w:val="0"/>
          <w:color w:val="111111"/>
          <w:sz w:val="18"/>
        </w:rPr>
        <w:t>Any work outside the approved brief unless documented in a written change request.</w:t>
      </w:r>
    </w:p>
    <w:p>
      <w:pPr>
        <w:pStyle w:val="Heading1"/>
      </w:pPr>
      <w:r>
        <w:t>7. Payment Schedule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D4CC"/>
          <w:left w:val="single" w:sz="4" w:space="0" w:color="D8D4CC"/>
          <w:bottom w:val="single" w:sz="4" w:space="0" w:color="D8D4CC"/>
          <w:right w:val="single" w:sz="4" w:space="0" w:color="D8D4CC"/>
          <w:insideH w:val="single" w:sz="4" w:space="0" w:color="D8D4CC"/>
          <w:insideV w:val="single" w:sz="4" w:space="0" w:color="D8D4CC"/>
        </w:tblBorders>
      </w:tblPr>
      <w:tblGrid>
        <w:gridCol w:w="2550"/>
        <w:gridCol w:w="2550"/>
        <w:gridCol w:w="2550"/>
        <w:gridCol w:w="2550"/>
      </w:tblGrid>
      <w:tr>
        <w:trPr>
          <w:cantSplit/>
        </w:trPr>
        <w:tc>
          <w:tcPr>
            <w:tcW w:type="dxa" w:w="2268"/>
            <w:shd w:fill="1F1F1F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MILESTONE</w:t>
            </w:r>
          </w:p>
        </w:tc>
        <w:tc>
          <w:tcPr>
            <w:tcW w:type="dxa" w:w="3742"/>
            <w:shd w:fill="1F1F1F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TRIGGER</w:t>
            </w:r>
          </w:p>
        </w:tc>
        <w:tc>
          <w:tcPr>
            <w:tcW w:type="dxa" w:w="1247"/>
            <w:shd w:fill="1F1F1F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%</w:t>
            </w:r>
          </w:p>
        </w:tc>
        <w:tc>
          <w:tcPr>
            <w:tcW w:type="dxa" w:w="1701"/>
            <w:shd w:fill="1F1F1F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AMOUNT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11111"/>
                <w:sz w:val="17"/>
              </w:rPr>
              <w:t>Commencement deposit</w:t>
            </w:r>
          </w:p>
        </w:tc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111111"/>
                <w:sz w:val="17"/>
              </w:rPr>
              <w:t>Agreement signed; before engineering starts</w:t>
            </w:r>
          </w:p>
        </w:tc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</w:pPr>
            <w:r>
              <w:rPr>
                <w:rFonts w:ascii="Aptos" w:hAnsi="Aptos" w:eastAsia="Aptos"/>
                <w:b w:val="0"/>
                <w:color w:val="111111"/>
                <w:sz w:val="17"/>
              </w:rPr>
              <w:t>50%</w:t>
            </w:r>
          </w:p>
        </w:tc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</w:pPr>
            <w:r>
              <w:rPr>
                <w:rFonts w:ascii="Aptos" w:hAnsi="Aptos" w:eastAsia="Aptos"/>
                <w:b w:val="0"/>
                <w:color w:val="111111"/>
                <w:sz w:val="17"/>
              </w:rPr>
              <w:t>R115,000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11111"/>
                <w:sz w:val="17"/>
              </w:rPr>
              <w:t>Integration midpoint</w:t>
            </w:r>
          </w:p>
        </w:tc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111111"/>
                <w:sz w:val="17"/>
              </w:rPr>
              <w:t>Core integration foundation + first accepted workstreams</w:t>
            </w:r>
          </w:p>
        </w:tc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</w:pPr>
            <w:r>
              <w:rPr>
                <w:rFonts w:ascii="Aptos" w:hAnsi="Aptos" w:eastAsia="Aptos"/>
                <w:b w:val="0"/>
                <w:color w:val="111111"/>
                <w:sz w:val="17"/>
              </w:rPr>
              <w:t>30%</w:t>
            </w:r>
          </w:p>
        </w:tc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</w:pPr>
            <w:r>
              <w:rPr>
                <w:rFonts w:ascii="Aptos" w:hAnsi="Aptos" w:eastAsia="Aptos"/>
                <w:b w:val="0"/>
                <w:color w:val="111111"/>
                <w:sz w:val="17"/>
              </w:rPr>
              <w:t>R69,000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11111"/>
                <w:sz w:val="17"/>
              </w:rPr>
              <w:t>Final acceptance &amp; handover</w:t>
            </w:r>
          </w:p>
        </w:tc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111111"/>
                <w:sz w:val="17"/>
              </w:rPr>
              <w:t>Before final source/documentation handover</w:t>
            </w:r>
          </w:p>
        </w:tc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</w:pPr>
            <w:r>
              <w:rPr>
                <w:rFonts w:ascii="Aptos" w:hAnsi="Aptos" w:eastAsia="Aptos"/>
                <w:b w:val="0"/>
                <w:color w:val="111111"/>
                <w:sz w:val="17"/>
              </w:rPr>
              <w:t>20%</w:t>
            </w:r>
          </w:p>
        </w:tc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</w:pPr>
            <w:r>
              <w:rPr>
                <w:rFonts w:ascii="Aptos" w:hAnsi="Aptos" w:eastAsia="Aptos"/>
                <w:b w:val="0"/>
                <w:color w:val="111111"/>
                <w:sz w:val="17"/>
              </w:rPr>
              <w:t>R46,000</w:t>
            </w:r>
          </w:p>
        </w:tc>
      </w:tr>
    </w:tbl>
    <w:p/>
    <w:p>
      <w:r>
        <w:rPr>
          <w:rFonts w:ascii="Aptos" w:hAnsi="Aptos" w:eastAsia="Aptos"/>
          <w:b w:val="0"/>
          <w:color w:val="111111"/>
          <w:sz w:val="19"/>
        </w:rPr>
        <w:t>The commencement deposit is non-refundable once project work has started, except where required by applicable law or expressly agreed in writing. Out-of-scope work is R1,100/hour and will only be performed after written approval.</w:t>
      </w:r>
    </w:p>
    <w:p>
      <w:pPr>
        <w:pStyle w:val="Heading1"/>
      </w:pPr>
      <w:r>
        <w:t>8. Project Parameters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D4CC"/>
          <w:left w:val="single" w:sz="4" w:space="0" w:color="D8D4CC"/>
          <w:bottom w:val="single" w:sz="4" w:space="0" w:color="D8D4CC"/>
          <w:right w:val="single" w:sz="4" w:space="0" w:color="D8D4CC"/>
          <w:insideH w:val="single" w:sz="4" w:space="0" w:color="D8D4CC"/>
          <w:insideV w:val="single" w:sz="4" w:space="0" w:color="D8D4CC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3F1E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6"/>
              </w:rPr>
              <w:t>CLICKUP</w:t>
            </w:r>
          </w:p>
        </w:tc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color w:val="111111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ClickUp will be used as the client-facing operational record for tasks, milestones, blockers, review notes and delivery evidence. Workstream progress may include time logging for delivery visibility, but the R230,000 engagement is a fixed-scope project fee rather than time-and-materials billing. Commercial changes still require written approval/change control.</w:t>
            </w:r>
          </w:p>
        </w:tc>
      </w:tr>
      <w:tr>
        <w:trPr>
          <w:cantSplit/>
        </w:trPr>
        <w:tc>
          <w:tcPr>
            <w:tcW w:type="dxa" w:w="5100"/>
            <w:shd w:fill="F3F1E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6"/>
              </w:rPr>
              <w:t>ACCEPTANCE</w:t>
            </w:r>
          </w:p>
        </w:tc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color w:val="111111"/>
                <w:sz w:val="17"/>
              </w:rPr>
              <w:t>Each milestone/workstream is reviewed against the agreed scope and acceptance criteria. Written non-conformance feedback should identify the specific requirement not met.</w:t>
            </w:r>
          </w:p>
        </w:tc>
      </w:tr>
      <w:tr>
        <w:trPr>
          <w:cantSplit/>
        </w:trPr>
        <w:tc>
          <w:tcPr>
            <w:tcW w:type="dxa" w:w="5100"/>
            <w:shd w:fill="F3F1E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6"/>
              </w:rPr>
              <w:t>THIRD PARTIES</w:t>
            </w:r>
          </w:p>
        </w:tc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color w:val="111111"/>
                <w:sz w:val="17"/>
              </w:rPr>
              <w:t>Daybreak is responsible for competent implementation of accessible approved integrations, but cannot guarantee vendor approval, uptime, undocumented capabilities or access that the vendor does not provide.</w:t>
            </w:r>
          </w:p>
        </w:tc>
      </w:tr>
      <w:tr>
        <w:trPr>
          <w:cantSplit/>
        </w:trPr>
        <w:tc>
          <w:tcPr>
            <w:tcW w:type="dxa" w:w="5100"/>
            <w:shd w:fill="F3F1E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6"/>
              </w:rPr>
              <w:t>OWNERSHIP</w:t>
            </w:r>
          </w:p>
        </w:tc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color w:val="111111"/>
                <w:sz w:val="17"/>
              </w:rPr>
              <w:t>Bespoke project code and final deliverables transfer to Kliya after full payment. Daybreak retains ownership of pre-existing tools, generic methods, know-how and reusable non-client-specific components.</w:t>
            </w:r>
          </w:p>
        </w:tc>
      </w:tr>
      <w:tr>
        <w:trPr>
          <w:cantSplit/>
        </w:trPr>
        <w:tc>
          <w:tcPr>
            <w:tcW w:type="dxa" w:w="5100"/>
            <w:shd w:fill="F3F1E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6"/>
              </w:rPr>
              <w:t>VALIDITY</w:t>
            </w:r>
          </w:p>
        </w:tc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color w:val="111111"/>
                <w:sz w:val="17"/>
              </w:rPr>
              <w:t>This proposal remains valid until 25 September 2026.</w:t>
            </w:r>
          </w:p>
        </w:tc>
      </w:tr>
    </w:tbl>
    <w:p/>
    <w:p>
      <w:pPr>
        <w:pStyle w:val="Heading1"/>
      </w:pPr>
      <w:r>
        <w:t>9. Next Steps</w:t>
      </w:r>
    </w:p>
    <w:p>
      <w:pPr>
        <w:ind w:left="0" w:firstLine="0"/>
      </w:pPr>
      <w:r>
        <w:rPr>
          <w:rFonts w:ascii="Aptos" w:hAnsi="Aptos" w:eastAsia="Aptos"/>
          <w:b w:val="0"/>
          <w:color w:val="111111"/>
          <w:sz w:val="18"/>
        </w:rPr>
      </w:r>
      <w:r>
        <w:rPr>
          <w:rFonts w:ascii="Aptos" w:hAnsi="Aptos"/>
          <w:sz w:val="18"/>
        </w:rPr>
        <w:t>01  Approve this revised proposal.</w:t>
      </w:r>
    </w:p>
    <w:p>
      <w:pPr>
        <w:ind w:left="0" w:firstLine="0"/>
      </w:pPr>
      <w:r>
        <w:rPr>
          <w:rFonts w:ascii="Aptos" w:hAnsi="Aptos" w:eastAsia="Aptos"/>
          <w:b w:val="0"/>
          <w:color w:val="111111"/>
          <w:sz w:val="18"/>
        </w:rPr>
      </w:r>
      <w:r>
        <w:rPr>
          <w:rFonts w:ascii="Aptos" w:hAnsi="Aptos"/>
          <w:sz w:val="18"/>
        </w:rPr>
        <w:t>02  Complete and sign the Daybreak Services Agreement.</w:t>
      </w:r>
    </w:p>
    <w:p>
      <w:pPr>
        <w:ind w:left="0" w:firstLine="0"/>
      </w:pPr>
      <w:r>
        <w:rPr>
          <w:rFonts w:ascii="Aptos" w:hAnsi="Aptos" w:eastAsia="Aptos"/>
          <w:b w:val="0"/>
          <w:color w:val="111111"/>
          <w:sz w:val="18"/>
        </w:rPr>
      </w:r>
      <w:r>
        <w:rPr>
          <w:rFonts w:ascii="Aptos" w:hAnsi="Aptos"/>
          <w:sz w:val="18"/>
        </w:rPr>
        <w:t>03  Pay the commencement deposit.</w:t>
      </w:r>
    </w:p>
    <w:p>
      <w:pPr>
        <w:ind w:left="0" w:firstLine="0"/>
      </w:pPr>
      <w:r>
        <w:rPr>
          <w:rFonts w:ascii="Aptos" w:hAnsi="Aptos" w:eastAsia="Aptos"/>
          <w:b w:val="0"/>
          <w:color w:val="111111"/>
          <w:sz w:val="18"/>
        </w:rPr>
      </w:r>
      <w:r>
        <w:rPr>
          <w:rFonts w:ascii="Aptos" w:hAnsi="Aptos"/>
          <w:sz w:val="18"/>
        </w:rPr>
        <w:t>04  Provide repository/environment/vendor access and confirm the selected providers.</w:t>
      </w:r>
    </w:p>
    <w:p>
      <w:pPr>
        <w:ind w:left="0" w:firstLine="0"/>
      </w:pPr>
      <w:r>
        <w:rPr>
          <w:rFonts w:ascii="Aptos" w:hAnsi="Aptos" w:eastAsia="Aptos"/>
          <w:b w:val="0"/>
          <w:color w:val="111111"/>
          <w:sz w:val="18"/>
        </w:rPr>
      </w:r>
      <w:r>
        <w:rPr>
          <w:rFonts w:ascii="Aptos" w:hAnsi="Aptos"/>
          <w:sz w:val="18"/>
        </w:rPr>
        <w:t>05  Daybreak opens the ClickUp delivery workspace and begins the integration foundation.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D4CC"/>
          <w:left w:val="single" w:sz="4" w:space="0" w:color="D8D4CC"/>
          <w:bottom w:val="single" w:sz="4" w:space="0" w:color="D8D4CC"/>
          <w:right w:val="single" w:sz="4" w:space="0" w:color="D8D4CC"/>
          <w:insideH w:val="single" w:sz="4" w:space="0" w:color="D8D4CC"/>
          <w:insideV w:val="single" w:sz="4" w:space="0" w:color="D8D4CC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4592"/>
            <w:shd w:fill="F3F1ED"/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>KLIYA / CLIENT</w:t>
            </w:r>
          </w:p>
        </w:tc>
        <w:tc>
          <w:tcPr>
            <w:tcW w:type="dxa" w:w="4592"/>
            <w:shd w:fill="F3F1ED"/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>DAYBREAK</w:t>
            </w:r>
          </w:p>
        </w:tc>
      </w:tr>
      <w:tr>
        <w:trPr>
          <w:cantSplit/>
        </w:trPr>
        <w:tc>
          <w:tcPr>
            <w:tcW w:type="dxa" w:w="4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11111"/>
                <w:sz w:val="17"/>
              </w:rPr>
              <w:t>Name / capacity: __________________________________</w:t>
            </w:r>
          </w:p>
        </w:tc>
        <w:tc>
          <w:tcPr>
            <w:tcW w:type="dxa" w:w="4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11111"/>
                <w:sz w:val="17"/>
              </w:rPr>
              <w:t>Name / capacity: __________________________________</w:t>
            </w:r>
          </w:p>
        </w:tc>
      </w:tr>
      <w:tr>
        <w:trPr>
          <w:cantSplit/>
        </w:trPr>
        <w:tc>
          <w:tcPr>
            <w:tcW w:type="dxa" w:w="4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11111"/>
                <w:sz w:val="17"/>
              </w:rPr>
              <w:t>Signature: __________________________________</w:t>
            </w:r>
          </w:p>
        </w:tc>
        <w:tc>
          <w:tcPr>
            <w:tcW w:type="dxa" w:w="4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11111"/>
                <w:sz w:val="17"/>
              </w:rPr>
              <w:t>Signature: __________________________________</w:t>
            </w:r>
          </w:p>
        </w:tc>
      </w:tr>
      <w:tr>
        <w:trPr>
          <w:cantSplit/>
        </w:trPr>
        <w:tc>
          <w:tcPr>
            <w:tcW w:type="dxa" w:w="4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11111"/>
                <w:sz w:val="17"/>
              </w:rPr>
              <w:t>Date: __________________________________</w:t>
            </w:r>
          </w:p>
        </w:tc>
        <w:tc>
          <w:tcPr>
            <w:tcW w:type="dxa" w:w="4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11111"/>
                <w:sz w:val="17"/>
              </w:rPr>
              <w:t>Date: 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312"/>
      <w:gridCol w:w="3312"/>
      <w:gridCol w:w="3312"/>
    </w:tblGrid>
    <w:tr>
      <w:tc>
        <w:tcPr>
          <w:tcW w:type="dxa" w:w="3312"/>
          <w:vAlign w:val="center"/>
        </w:tcPr>
        <w:p>
          <w:pPr>
            <w:jc w:val="left"/>
          </w:pPr>
          <w:r>
            <w:rPr>
              <w:rFonts w:ascii="Aptos" w:hAnsi="Aptos" w:eastAsia="Aptos"/>
              <w:b w:val="0"/>
              <w:color w:val="666666"/>
              <w:sz w:val="15"/>
            </w:rPr>
            <w:t>Daybreak Tech-Innovations (Pty) Ltd</w:t>
          </w:r>
        </w:p>
      </w:tc>
      <w:tc>
        <w:tcPr>
          <w:tcW w:type="dxa" w:w="3312"/>
          <w:vAlign w:val="center"/>
        </w:tcPr>
        <w:p>
          <w:pPr>
            <w:jc w:val="center"/>
          </w:pPr>
          <w:r>
            <w:rPr>
              <w:rFonts w:ascii="Aptos" w:hAnsi="Aptos" w:eastAsia="Aptos"/>
              <w:b w:val="0"/>
              <w:color w:val="666666"/>
              <w:sz w:val="15"/>
            </w:rPr>
            <w:t>daybreaktech.agency</w:t>
          </w:r>
        </w:p>
      </w:tc>
      <w:tc>
        <w:tcPr>
          <w:tcW w:type="dxa" w:w="3312"/>
          <w:vAlign w:val="center"/>
        </w:tcPr>
        <w:p>
          <w:pPr>
            <w:jc w:val="right"/>
          </w:pPr>
          <w:r>
            <w:rPr>
              <w:rFonts w:ascii="Aptos" w:hAnsi="Aptos" w:eastAsia="Aptos"/>
              <w:b w:val="0"/>
              <w:color w:val="666666"/>
              <w:sz w:val="15"/>
            </w:rPr>
            <w:t>Cape Town / Remote-first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 w:eastAsia="Aptos"/>
        <w:b/>
        <w:color w:val="111111"/>
        <w:sz w:val="18"/>
      </w:rPr>
      <w:t>DAYBREAK</w:t>
    </w:r>
    <w:r>
      <w:rPr>
        <w:rFonts w:ascii="Aptos" w:hAnsi="Aptos" w:eastAsia="Aptos"/>
        <w:b w:val="0"/>
        <w:color w:val="666666"/>
        <w:sz w:val="16"/>
      </w:rPr>
      <w:t xml:space="preserve">   /  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11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1111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1111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1111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