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ptos" w:hAnsi="Aptos" w:eastAsia="Aptos"/>
          <w:b/>
          <w:color w:val="B46A3C"/>
          <w:sz w:val="16"/>
        </w:rPr>
        <w:t>PROFESSIONAL SERVICES AGREEMENT</w:t>
      </w:r>
    </w:p>
    <w:p>
      <w:pPr>
        <w:pStyle w:val="Title"/>
        <w:spacing w:after="80"/>
      </w:pPr>
      <w:r>
        <w:rPr>
          <w:rFonts w:ascii="Aptos Display" w:hAnsi="Aptos Display" w:eastAsia="Aptos Display"/>
          <w:b/>
          <w:color w:val="111111"/>
          <w:sz w:val="52"/>
        </w:rPr>
        <w:t>KLIYA MVP INTEGRATION SERVICES AGREEMENT</w:t>
      </w:r>
    </w:p>
    <w:p>
      <w:pPr>
        <w:spacing w:after="160"/>
      </w:pPr>
      <w:r>
        <w:rPr>
          <w:rFonts w:ascii="Aptos" w:hAnsi="Aptos" w:eastAsia="Aptos"/>
          <w:b w:val="0"/>
          <w:color w:val="666666"/>
          <w:sz w:val="22"/>
        </w:rPr>
        <w:t>Daybreak Tech-Innovations (Pty) Ltd</w:t>
      </w:r>
    </w:p>
    <w:p>
      <w:pPr>
        <w:spacing w:after="160"/>
      </w:pPr>
      <w:r>
        <w:rPr>
          <w:rFonts w:ascii="Aptos" w:hAnsi="Aptos" w:eastAsia="Aptos"/>
          <w:b w:val="0"/>
          <w:color w:val="B46A3C"/>
          <w:sz w:val="16"/>
        </w:rPr>
        <w:t>━━━━━━━━━━━━━━━━━━━━━━━━━━━━</w:t>
      </w:r>
    </w:p>
    <w:tbl>
      <w:tblPr>
        <w:tblW w:type="auto" w:w="0"/>
        <w:jc w:val="left"/>
        <w:tblLayout w:type="fixed"/>
        <w:tblLook w:firstColumn="1" w:firstRow="1" w:lastColumn="0" w:lastRow="0" w:noHBand="0" w:noVBand="1" w:val="04A0"/>
        <w:tblBorders>
          <w:top w:val="single" w:sz="4" w:space="0" w:color="D8D4CC"/>
          <w:left w:val="single" w:sz="4" w:space="0" w:color="D8D4CC"/>
          <w:bottom w:val="single" w:sz="4" w:space="0" w:color="D8D4CC"/>
          <w:right w:val="single" w:sz="4" w:space="0" w:color="D8D4CC"/>
          <w:insideH w:val="single" w:sz="4" w:space="0" w:color="D8D4CC"/>
          <w:insideV w:val="single" w:sz="4" w:space="0" w:color="D8D4CC"/>
        </w:tblBorders>
      </w:tblPr>
      <w:tblGrid>
        <w:gridCol w:w="5100"/>
        <w:gridCol w:w="5100"/>
      </w:tblGrid>
      <w:tr>
        <w:trPr>
          <w:cantSplit/>
        </w:trPr>
        <w:tc>
          <w:tcPr>
            <w:tcW w:type="dxa" w:w="5100"/>
            <w:shd w:fill="F3F1ED"/>
            <w:tcMar>
              <w:top w:w="75" w:type="dxa"/>
              <w:start w:w="100" w:type="dxa"/>
              <w:bottom w:w="75" w:type="dxa"/>
              <w:end w:w="100" w:type="dxa"/>
            </w:tcMar>
          </w:tcPr>
          <w:p>
            <w:r>
              <w:rPr>
                <w:rFonts w:ascii="Aptos" w:hAnsi="Aptos" w:eastAsia="Aptos"/>
                <w:b/>
                <w:color w:val="666666"/>
                <w:sz w:val="17"/>
              </w:rPr>
              <w:t>AGREEMENT REFERENCE</w:t>
            </w:r>
          </w:p>
        </w:tc>
        <w:tc>
          <w:tcPr>
            <w:tcW w:type="dxa" w:w="5100"/>
            <w:tcMar>
              <w:top w:w="75" w:type="dxa"/>
              <w:start w:w="100" w:type="dxa"/>
              <w:bottom w:w="75" w:type="dxa"/>
              <w:end w:w="100" w:type="dxa"/>
            </w:tcMar>
          </w:tcPr>
          <w:p>
            <w:r>
              <w:rPr>
                <w:rFonts w:ascii="Aptos" w:hAnsi="Aptos" w:eastAsia="Aptos"/>
                <w:b w:val="0"/>
                <w:color w:val="111111"/>
                <w:sz w:val="18"/>
              </w:rPr>
              <w:t>DB-KLIYA-MVP-AGR-110926</w:t>
            </w:r>
          </w:p>
        </w:tc>
      </w:tr>
      <w:tr>
        <w:trPr>
          <w:cantSplit/>
        </w:trPr>
        <w:tc>
          <w:tcPr>
            <w:tcW w:type="dxa" w:w="5100"/>
            <w:shd w:fill="F3F1ED"/>
            <w:tcMar>
              <w:top w:w="75" w:type="dxa"/>
              <w:start w:w="100" w:type="dxa"/>
              <w:bottom w:w="75" w:type="dxa"/>
              <w:end w:w="100" w:type="dxa"/>
            </w:tcMar>
          </w:tcPr>
          <w:p>
            <w:r>
              <w:rPr>
                <w:rFonts w:ascii="Aptos" w:hAnsi="Aptos" w:eastAsia="Aptos"/>
                <w:b/>
                <w:color w:val="666666"/>
                <w:sz w:val="17"/>
              </w:rPr>
              <w:t>EFFECTIVE DATE</w:t>
            </w:r>
          </w:p>
        </w:tc>
        <w:tc>
          <w:tcPr>
            <w:tcW w:type="dxa" w:w="5100"/>
            <w:tcMar>
              <w:top w:w="75" w:type="dxa"/>
              <w:start w:w="100" w:type="dxa"/>
              <w:bottom w:w="75" w:type="dxa"/>
              <w:end w:w="100" w:type="dxa"/>
            </w:tcMar>
          </w:tcPr>
          <w:p>
            <w:r>
              <w:rPr>
                <w:rFonts w:ascii="Aptos" w:hAnsi="Aptos" w:eastAsia="Aptos"/>
                <w:b w:val="0"/>
                <w:color w:val="111111"/>
                <w:sz w:val="18"/>
              </w:rPr>
              <w:t>11 September 2026, or date of last signature</w:t>
            </w:r>
          </w:p>
        </w:tc>
      </w:tr>
      <w:tr>
        <w:trPr>
          <w:cantSplit/>
        </w:trPr>
        <w:tc>
          <w:tcPr>
            <w:tcW w:type="dxa" w:w="5100"/>
            <w:shd w:fill="F3F1ED"/>
            <w:tcMar>
              <w:top w:w="75" w:type="dxa"/>
              <w:start w:w="100" w:type="dxa"/>
              <w:bottom w:w="75" w:type="dxa"/>
              <w:end w:w="100" w:type="dxa"/>
            </w:tcMar>
          </w:tcPr>
          <w:p>
            <w:r>
              <w:rPr>
                <w:rFonts w:ascii="Aptos" w:hAnsi="Aptos" w:eastAsia="Aptos"/>
                <w:b/>
                <w:color w:val="666666"/>
                <w:sz w:val="17"/>
              </w:rPr>
              <w:t>DAYBREAK</w:t>
            </w:r>
          </w:p>
        </w:tc>
        <w:tc>
          <w:tcPr>
            <w:tcW w:type="dxa" w:w="5100"/>
            <w:tcMar>
              <w:top w:w="75" w:type="dxa"/>
              <w:start w:w="100" w:type="dxa"/>
              <w:bottom w:w="75" w:type="dxa"/>
              <w:end w:w="100" w:type="dxa"/>
            </w:tcMar>
          </w:tcPr>
          <w:p>
            <w:r>
              <w:rPr>
                <w:rFonts w:ascii="Aptos" w:hAnsi="Aptos" w:eastAsia="Aptos"/>
                <w:b w:val="0"/>
                <w:color w:val="111111"/>
                <w:sz w:val="18"/>
              </w:rPr>
              <w:t>Daybreak Tech-Innovations (Pty) Ltd, Cape Town, South Africa</w:t>
            </w:r>
          </w:p>
        </w:tc>
      </w:tr>
      <w:tr>
        <w:trPr>
          <w:cantSplit/>
        </w:trPr>
        <w:tc>
          <w:tcPr>
            <w:tcW w:type="dxa" w:w="5100"/>
            <w:shd w:fill="F3F1ED"/>
            <w:tcMar>
              <w:top w:w="75" w:type="dxa"/>
              <w:start w:w="100" w:type="dxa"/>
              <w:bottom w:w="75" w:type="dxa"/>
              <w:end w:w="100" w:type="dxa"/>
            </w:tcMar>
          </w:tcPr>
          <w:p>
            <w:r>
              <w:rPr>
                <w:rFonts w:ascii="Aptos" w:hAnsi="Aptos" w:eastAsia="Aptos"/>
                <w:b/>
                <w:color w:val="666666"/>
                <w:sz w:val="17"/>
              </w:rPr>
              <w:t>CLIENT</w:t>
            </w:r>
          </w:p>
        </w:tc>
        <w:tc>
          <w:tcPr>
            <w:tcW w:type="dxa" w:w="5100"/>
            <w:tcMar>
              <w:top w:w="75" w:type="dxa"/>
              <w:start w:w="100" w:type="dxa"/>
              <w:bottom w:w="75" w:type="dxa"/>
              <w:end w:w="100" w:type="dxa"/>
            </w:tcMar>
          </w:tcPr>
          <w:p>
            <w:r>
              <w:rPr>
                <w:rFonts w:ascii="Aptos" w:hAnsi="Aptos" w:eastAsia="Aptos"/>
                <w:b w:val="0"/>
                <w:color w:val="111111"/>
                <w:sz w:val="18"/>
              </w:rPr>
              <w:t>Kliya / [Client legal entity]</w:t>
            </w:r>
          </w:p>
        </w:tc>
      </w:tr>
      <w:tr>
        <w:trPr>
          <w:cantSplit/>
        </w:trPr>
        <w:tc>
          <w:tcPr>
            <w:tcW w:type="dxa" w:w="5100"/>
            <w:shd w:fill="F3F1ED"/>
            <w:tcMar>
              <w:top w:w="75" w:type="dxa"/>
              <w:start w:w="100" w:type="dxa"/>
              <w:bottom w:w="75" w:type="dxa"/>
              <w:end w:w="100" w:type="dxa"/>
            </w:tcMar>
          </w:tcPr>
          <w:p>
            <w:r>
              <w:rPr>
                <w:rFonts w:ascii="Aptos" w:hAnsi="Aptos" w:eastAsia="Aptos"/>
                <w:b/>
                <w:color w:val="666666"/>
                <w:sz w:val="17"/>
              </w:rPr>
              <w:t>PROJECT</w:t>
            </w:r>
          </w:p>
        </w:tc>
        <w:tc>
          <w:tcPr>
            <w:tcW w:type="dxa" w:w="5100"/>
            <w:tcMar>
              <w:top w:w="75" w:type="dxa"/>
              <w:start w:w="100" w:type="dxa"/>
              <w:bottom w:w="75" w:type="dxa"/>
              <w:end w:w="100" w:type="dxa"/>
            </w:tcMar>
          </w:tcPr>
          <w:p>
            <w:r>
              <w:rPr>
                <w:rFonts w:ascii="Aptos" w:hAnsi="Aptos" w:eastAsia="Aptos"/>
                <w:b w:val="0"/>
                <w:color w:val="111111"/>
                <w:sz w:val="18"/>
              </w:rPr>
              <w:t>Kliya MVP Integration &amp; Technical Support</w:t>
            </w:r>
          </w:p>
        </w:tc>
      </w:tr>
      <w:tr>
        <w:trPr>
          <w:cantSplit/>
        </w:trPr>
        <w:tc>
          <w:tcPr>
            <w:tcW w:type="dxa" w:w="5100"/>
            <w:shd w:fill="F3F1ED"/>
            <w:tcMar>
              <w:top w:w="75" w:type="dxa"/>
              <w:start w:w="100" w:type="dxa"/>
              <w:bottom w:w="75" w:type="dxa"/>
              <w:end w:w="100" w:type="dxa"/>
            </w:tcMar>
          </w:tcPr>
          <w:p>
            <w:r>
              <w:rPr>
                <w:rFonts w:ascii="Aptos" w:hAnsi="Aptos" w:eastAsia="Aptos"/>
                <w:b/>
                <w:color w:val="666666"/>
                <w:sz w:val="17"/>
              </w:rPr>
              <w:t>CONTRACT VALUE</w:t>
            </w:r>
          </w:p>
        </w:tc>
        <w:tc>
          <w:tcPr>
            <w:tcW w:type="dxa" w:w="5100"/>
            <w:tcMar>
              <w:top w:w="75" w:type="dxa"/>
              <w:start w:w="100" w:type="dxa"/>
              <w:bottom w:w="75" w:type="dxa"/>
              <w:end w:w="100" w:type="dxa"/>
            </w:tcMar>
          </w:tcPr>
          <w:p>
            <w:r>
              <w:rPr>
                <w:rFonts w:ascii="Aptos" w:hAnsi="Aptos" w:eastAsia="Aptos"/>
                <w:b w:val="0"/>
                <w:color w:val="111111"/>
                <w:sz w:val="18"/>
              </w:rPr>
              <w:t>R230,000 (VAT only if applicable)</w:t>
            </w:r>
          </w:p>
        </w:tc>
      </w:tr>
    </w:tbl>
    <w:p/>
    <w:p>
      <w:pPr>
        <w:pStyle w:val="Heading1"/>
      </w:pPr>
      <w:r>
        <w:t>1. Parties and Contract Documents</w:t>
      </w:r>
    </w:p>
    <w:p>
      <w:r>
        <w:rPr>
          <w:rFonts w:ascii="Aptos" w:hAnsi="Aptos" w:eastAsia="Aptos"/>
          <w:b w:val="0"/>
          <w:color w:val="111111"/>
          <w:sz w:val="19"/>
        </w:rPr>
        <w:t>This Professional Services Agreement (“Agreement”) is between Daybreak Tech-Innovations (Pty) Ltd (“Daybreak”) and Kliya / the legal entity identified in the signature block (“Client”). The Agreement incorporates: (a) the Daybreak Revised Proposal DB-KLIYA-MVP-REV2-110926; and (b) the founder-issued Kliya MVP Integration &amp; Technical Support Brief used for the revised quotation. If documents conflict, this Agreement governs commercial/legal terms and the approved proposal governs priced scope.</w:t>
      </w:r>
    </w:p>
    <w:p>
      <w:pPr>
        <w:pStyle w:val="Heading1"/>
      </w:pPr>
      <w:r>
        <w:t>2. Services and Scope Control</w:t>
      </w:r>
    </w:p>
    <w:p>
      <w:r>
        <w:rPr>
          <w:rFonts w:ascii="Aptos" w:hAnsi="Aptos" w:eastAsia="Aptos"/>
          <w:b w:val="0"/>
          <w:color w:val="111111"/>
          <w:sz w:val="19"/>
        </w:rPr>
        <w:t>Daybreak will perform the approved integration, backend hardening, testing, documentation and handover services described in the proposal. The engagement does not include rebuilding the Kliya MVP, redesigning product journeys/UI, building proprietary body-scanning/garment-reconstruction/cloth-physics technology, production-scale infrastructure, or other excluded work.</w:t>
      </w:r>
    </w:p>
    <w:p>
      <w:r>
        <w:rPr>
          <w:rFonts w:ascii="Aptos" w:hAnsi="Aptos" w:eastAsia="Aptos"/>
          <w:b w:val="0"/>
          <w:color w:val="111111"/>
          <w:sz w:val="19"/>
        </w:rPr>
        <w:t>Provider assumption. Unless expressly stated otherwise in a signed change order, the fixed fee covers one selected/approved provider per primary integration category and one approved affiliate network for MVP implementation. Where a vendor does not provide suitable access, licensing, documentation or technically usable interfaces, Daybreak’s obligation is to identify and document the blocker and recommended next action; Daybreak is not required to create an unscoped proprietary substitute.</w:t>
      </w:r>
    </w:p>
    <w:p>
      <w:pPr>
        <w:pStyle w:val="Heading1"/>
      </w:pPr>
      <w:r>
        <w:t>3. Project Management and ClickUp Record</w:t>
      </w:r>
    </w:p>
    <w:p>
      <w:r>
        <w:rPr>
          <w:rFonts w:ascii="Aptos" w:hAnsi="Aptos" w:eastAsia="Aptos"/>
          <w:b w:val="0"/>
          <w:color w:val="111111"/>
          <w:sz w:val="19"/>
        </w:rPr>
      </w:r>
      <w:r>
        <w:t>ClickUp will be the primary client-facing operational record for delivery. Daybreak will use it to record workstreams, tasks, status, milestone evidence, blockers, dependencies, review notes and acceptance comments. Where used, time logs support delivery transparency and project management; they do not convert the fixed-fee engagement into hourly/time-and-materials billing or require Daybreak to exhaust exactly 209 hours.</w:t>
      </w:r>
    </w:p>
    <w:p>
      <w:pPr>
        <w:pStyle w:val="ListBullet"/>
        <w:ind w:left="227" w:hanging="113"/>
      </w:pPr>
      <w:r>
        <w:rPr>
          <w:rFonts w:ascii="Aptos" w:hAnsi="Aptos" w:eastAsia="Aptos"/>
          <w:b w:val="0"/>
          <w:color w:val="111111"/>
          <w:sz w:val="18"/>
        </w:rPr>
        <w:t>A ClickUp task marked complete is delivery evidence, but completion remains subject to the agreed scope and acceptance process.</w:t>
      </w:r>
    </w:p>
    <w:p>
      <w:pPr>
        <w:pStyle w:val="ListBullet"/>
        <w:ind w:left="227" w:hanging="113"/>
      </w:pPr>
      <w:r>
        <w:rPr>
          <w:rFonts w:ascii="Aptos" w:hAnsi="Aptos" w:eastAsia="Aptos"/>
          <w:b w:val="0"/>
          <w:color w:val="111111"/>
          <w:sz w:val="18"/>
        </w:rPr>
        <w:t>Client feedback, blockers and requests should be recorded in ClickUp or confirmed in writing by an authorised decision-maker.</w:t>
      </w:r>
    </w:p>
    <w:p>
      <w:pPr>
        <w:pStyle w:val="ListBullet"/>
        <w:ind w:left="227" w:hanging="113"/>
      </w:pPr>
      <w:r>
        <w:rPr>
          <w:rFonts w:ascii="Aptos" w:hAnsi="Aptos" w:eastAsia="Aptos"/>
          <w:b w:val="0"/>
          <w:color w:val="111111"/>
          <w:sz w:val="18"/>
        </w:rPr>
        <w:t>ClickUp records may evidence project performance and delay attribution, but they do not change fees, scope or legal terms unless a written change order is approved by both parties.</w:t>
      </w:r>
    </w:p>
    <w:p>
      <w:pPr>
        <w:pStyle w:val="ListBullet"/>
        <w:ind w:left="227" w:hanging="113"/>
      </w:pPr>
      <w:r>
        <w:rPr>
          <w:rFonts w:ascii="Aptos" w:hAnsi="Aptos" w:eastAsia="Aptos"/>
          <w:b w:val="0"/>
          <w:color w:val="111111"/>
          <w:sz w:val="18"/>
        </w:rPr>
        <w:t>Where the Client delays required access, feedback, credentials, approvals or test data, the affected due dates move by at least the duration of the delay and Daybreak is not in breach for the resulting schedule impact.</w:t>
      </w:r>
    </w:p>
    <w:p>
      <w:pPr>
        <w:pStyle w:val="Heading1"/>
      </w:pPr>
      <w:r>
        <w:t>4. Acceptance</w:t>
      </w:r>
    </w:p>
    <w:p>
      <w:r>
        <w:rPr>
          <w:rFonts w:ascii="Aptos" w:hAnsi="Aptos" w:eastAsia="Aptos"/>
          <w:b w:val="0"/>
          <w:color w:val="111111"/>
          <w:sz w:val="19"/>
        </w:rPr>
        <w:t>Daybreak will submit completed workstreams or milestones for review. The Client will have five (5) business days to either accept the submission or provide written, specific non-conformance feedback identifying the agreed requirement that has not been met. If no such feedback is received within that period, the submitted milestone may be treated as accepted for project progression and billing purposes.</w:t>
      </w:r>
    </w:p>
    <w:p>
      <w:r>
        <w:rPr>
          <w:rFonts w:ascii="Aptos" w:hAnsi="Aptos" w:eastAsia="Aptos"/>
          <w:b w:val="0"/>
          <w:color w:val="111111"/>
          <w:sz w:val="19"/>
        </w:rPr>
        <w:t>Defects means reproducible failures of Daybreak’s bespoke work to perform materially in accordance with the agreed scope. Vendor outages, vendor-side defects, undocumented vendor limitations, changes to third-party APIs, new requirements and preference changes are not defects.</w:t>
      </w:r>
    </w:p>
    <w:p>
      <w:pPr>
        <w:pStyle w:val="Heading1"/>
      </w:pPr>
      <w:r>
        <w:t>5. Fees, Invoicing and Payment</w:t>
      </w:r>
    </w:p>
    <w:p>
      <w:pPr>
        <w:pStyle w:val="ListBullet"/>
        <w:ind w:left="227" w:hanging="113"/>
      </w:pPr>
      <w:r>
        <w:rPr>
          <w:rFonts w:ascii="Aptos" w:hAnsi="Aptos" w:eastAsia="Aptos"/>
          <w:b w:val="0"/>
          <w:color w:val="111111"/>
          <w:sz w:val="18"/>
        </w:rPr>
      </w:r>
      <w:r>
        <w:t>Fixed project fee: R230,000, plus VAT only if legally applicable at invoice date. This is based on an estimated 209 engineering hours at Daybreak’s standard R1,100/hour rate (R229,900 estimated labour basis), commercially rounded to R230,000.</w:t>
      </w:r>
    </w:p>
    <w:p>
      <w:pPr>
        <w:pStyle w:val="ListBullet"/>
        <w:ind w:left="227" w:hanging="113"/>
      </w:pPr>
      <w:r>
        <w:rPr>
          <w:rFonts w:ascii="Aptos" w:hAnsi="Aptos" w:eastAsia="Aptos"/>
          <w:b w:val="0"/>
          <w:color w:val="111111"/>
          <w:sz w:val="18"/>
        </w:rPr>
        <w:t>50% commencement deposit: R115,000, due before work starts.</w:t>
      </w:r>
    </w:p>
    <w:p>
      <w:pPr>
        <w:pStyle w:val="ListBullet"/>
        <w:ind w:left="227" w:hanging="113"/>
      </w:pPr>
      <w:r>
        <w:rPr>
          <w:rFonts w:ascii="Aptos" w:hAnsi="Aptos" w:eastAsia="Aptos"/>
          <w:b w:val="0"/>
          <w:color w:val="111111"/>
          <w:sz w:val="18"/>
        </w:rPr>
        <w:t>30% integration-midpoint milestone: R69,000.</w:t>
      </w:r>
    </w:p>
    <w:p>
      <w:pPr>
        <w:pStyle w:val="ListBullet"/>
        <w:ind w:left="227" w:hanging="113"/>
      </w:pPr>
      <w:r>
        <w:rPr>
          <w:rFonts w:ascii="Aptos" w:hAnsi="Aptos" w:eastAsia="Aptos"/>
          <w:b w:val="0"/>
          <w:color w:val="111111"/>
          <w:sz w:val="18"/>
        </w:rPr>
        <w:t>20% final acceptance/handover milestone: R46,000, due before final handover.</w:t>
      </w:r>
    </w:p>
    <w:p>
      <w:pPr>
        <w:pStyle w:val="ListBullet"/>
        <w:ind w:left="227" w:hanging="113"/>
      </w:pPr>
      <w:r>
        <w:rPr>
          <w:rFonts w:ascii="Aptos" w:hAnsi="Aptos" w:eastAsia="Aptos"/>
          <w:b w:val="0"/>
          <w:color w:val="111111"/>
          <w:sz w:val="18"/>
        </w:rPr>
        <w:t>Approved out-of-scope work: R1,100/hour unless a separate fixed price is agreed in writing.</w:t>
      </w:r>
    </w:p>
    <w:p>
      <w:pPr>
        <w:pStyle w:val="ListBullet"/>
        <w:ind w:left="227" w:hanging="113"/>
      </w:pPr>
      <w:r>
        <w:rPr>
          <w:rFonts w:ascii="Aptos" w:hAnsi="Aptos" w:eastAsia="Aptos"/>
          <w:b w:val="0"/>
          <w:color w:val="111111"/>
          <w:sz w:val="18"/>
        </w:rPr>
        <w:t>Third-party vendor, API, SDK, cloud, hosting, licence, usage and commercial onboarding charges are Client costs unless expressly included.</w:t>
      </w:r>
    </w:p>
    <w:p>
      <w:r>
        <w:rPr>
          <w:rFonts w:ascii="Aptos" w:hAnsi="Aptos" w:eastAsia="Aptos"/>
          <w:b w:val="0"/>
          <w:color w:val="111111"/>
          <w:sz w:val="19"/>
        </w:rPr>
        <w:t>Daybreak may suspend work for overdue invoices after written notice. Suspension caused by non-payment extends delivery dates and does not constitute Daybreak delay. Final bespoke source code, handover materials and ownership transfer are conditional on full payment of all undisputed amounts due.</w:t>
      </w:r>
    </w:p>
    <w:p>
      <w:pPr>
        <w:pStyle w:val="Heading1"/>
      </w:pPr>
      <w:r>
        <w:t>6. Change Control</w:t>
      </w:r>
    </w:p>
    <w:p>
      <w:r>
        <w:rPr>
          <w:rFonts w:ascii="Aptos" w:hAnsi="Aptos" w:eastAsia="Aptos"/>
          <w:b w:val="0"/>
          <w:color w:val="111111"/>
          <w:sz w:val="19"/>
        </w:rPr>
        <w:t>Any requirement outside the approved scope must be documented in a written change request that states the change, price and schedule impact. Neither informal messages, calls, meetings nor ClickUp comments create an obligation to perform additional work unless Daybreak expressly approves the change in writing.</w:t>
      </w:r>
    </w:p>
    <w:p>
      <w:r>
        <w:rPr>
          <w:rFonts w:ascii="Aptos" w:hAnsi="Aptos" w:eastAsia="Aptos"/>
          <w:b w:val="0"/>
          <w:color w:val="111111"/>
          <w:sz w:val="19"/>
        </w:rPr>
        <w:t>The Client may approve or defer individual workstreams. If a workstream is deferred before Daybreak begins material work on it, the parties will document the resulting contract-value and schedule adjustment in writing.</w:t>
      </w:r>
    </w:p>
    <w:p>
      <w:pPr>
        <w:pStyle w:val="Heading1"/>
      </w:pPr>
      <w:r>
        <w:t>7. Client Responsibilities and Dependencies</w:t>
      </w:r>
    </w:p>
    <w:p>
      <w:pPr>
        <w:pStyle w:val="ListBullet"/>
        <w:ind w:left="227" w:hanging="113"/>
      </w:pPr>
      <w:r>
        <w:rPr>
          <w:rFonts w:ascii="Aptos" w:hAnsi="Aptos" w:eastAsia="Aptos"/>
          <w:b w:val="0"/>
          <w:color w:val="111111"/>
          <w:sz w:val="18"/>
        </w:rPr>
        <w:t>Provide timely access to Kliya-controlled repositories, environments, database structures and relevant technical documentation.</w:t>
      </w:r>
    </w:p>
    <w:p>
      <w:pPr>
        <w:pStyle w:val="ListBullet"/>
        <w:ind w:left="227" w:hanging="113"/>
      </w:pPr>
      <w:r>
        <w:rPr>
          <w:rFonts w:ascii="Aptos" w:hAnsi="Aptos" w:eastAsia="Aptos"/>
          <w:b w:val="0"/>
          <w:color w:val="111111"/>
          <w:sz w:val="18"/>
        </w:rPr>
        <w:t>Provide or procure required vendor accounts, API keys, SDK access, licences, sandbox access and commercial approvals.</w:t>
      </w:r>
    </w:p>
    <w:p>
      <w:pPr>
        <w:pStyle w:val="ListBullet"/>
        <w:ind w:left="227" w:hanging="113"/>
      </w:pPr>
      <w:r>
        <w:rPr>
          <w:rFonts w:ascii="Aptos" w:hAnsi="Aptos" w:eastAsia="Aptos"/>
          <w:b w:val="0"/>
          <w:color w:val="111111"/>
          <w:sz w:val="18"/>
        </w:rPr>
        <w:t>Nominate one authorised decision-maker for consolidated feedback and approvals.</w:t>
      </w:r>
    </w:p>
    <w:p>
      <w:pPr>
        <w:pStyle w:val="ListBullet"/>
        <w:ind w:left="227" w:hanging="113"/>
      </w:pPr>
      <w:r>
        <w:rPr>
          <w:rFonts w:ascii="Aptos" w:hAnsi="Aptos" w:eastAsia="Aptos"/>
          <w:b w:val="0"/>
          <w:color w:val="111111"/>
          <w:sz w:val="18"/>
        </w:rPr>
        <w:t>Ensure Client-provided content, data and instructions may lawfully be used for the project.</w:t>
      </w:r>
    </w:p>
    <w:p>
      <w:pPr>
        <w:pStyle w:val="ListBullet"/>
        <w:ind w:left="227" w:hanging="113"/>
      </w:pPr>
      <w:r>
        <w:rPr>
          <w:rFonts w:ascii="Aptos" w:hAnsi="Aptos" w:eastAsia="Aptos"/>
          <w:b w:val="0"/>
          <w:color w:val="111111"/>
          <w:sz w:val="18"/>
        </w:rPr>
        <w:t>Promptly notify Daybreak of security, privacy, regulatory or vendor restrictions relevant to body imagery, measurements or other sensitive information.</w:t>
      </w:r>
    </w:p>
    <w:p>
      <w:pPr>
        <w:pStyle w:val="Heading1"/>
      </w:pPr>
      <w:r>
        <w:t>8. Third-Party Services</w:t>
      </w:r>
    </w:p>
    <w:p>
      <w:r>
        <w:rPr>
          <w:rFonts w:ascii="Aptos" w:hAnsi="Aptos" w:eastAsia="Aptos"/>
          <w:b w:val="0"/>
          <w:color w:val="111111"/>
          <w:sz w:val="19"/>
        </w:rPr>
        <w:t>Third-party services are outside Daybreak’s control. Daybreak does not warrant that a vendor will approve Kliya, continue operating an API, maintain pricing, maintain undocumented functionality, achieve a particular latency/accuracy level, or expose data that the vendor does not make available. Daybreak will implement accessible approved integrations with reasonable professional care and document material limitations discovered during the engagement.</w:t>
      </w:r>
    </w:p>
    <w:p>
      <w:pPr>
        <w:pStyle w:val="Heading1"/>
      </w:pPr>
      <w:r>
        <w:t>9. Performance Standard; No Business Outcome Guarantee</w:t>
      </w:r>
    </w:p>
    <w:p>
      <w:r>
        <w:rPr>
          <w:rFonts w:ascii="Aptos" w:hAnsi="Aptos" w:eastAsia="Aptos"/>
          <w:b w:val="0"/>
          <w:color w:val="111111"/>
          <w:sz w:val="19"/>
        </w:rPr>
      </w:r>
      <w:r>
        <w:t>Daybreak’s performance is measured against the agreed technical deliverables, acceptance criteria, documented ClickUp tasks/milestones and reasonable professional engineering standards. The 209-hour figure is a good-faith planning estimate for the revised scope, not a promise that every estimated hour must be consumed. Daybreak does not guarantee commercial results, user adoption, affiliate revenue, conversion rate, vendor acceptance, third-party accuracy or other business outcomes not expressly stated as technical acceptance criteria.</w:t>
      </w:r>
    </w:p>
    <w:p>
      <w:pPr>
        <w:pStyle w:val="Heading1"/>
      </w:pPr>
      <w:r>
        <w:t>10. Intellectual Property</w:t>
      </w:r>
    </w:p>
    <w:p>
      <w:r>
        <w:rPr>
          <w:rFonts w:ascii="Aptos" w:hAnsi="Aptos" w:eastAsia="Aptos"/>
          <w:b w:val="0"/>
          <w:color w:val="111111"/>
          <w:sz w:val="19"/>
        </w:rPr>
        <w:t>Upon full payment, the Client receives ownership of bespoke project code and project-specific documentation created specifically for Kliya under this Agreement. Daybreak retains all rights in pre-existing intellectual property, general know-how, reusable libraries, development methods, templates, generic integration patterns and non-client-specific components. To the extent such retained materials are embedded in a deliverable, Daybreak grants the Client a perpetual, non-exclusive licence to use them as part of the Kliya deliverable.</w:t>
      </w:r>
    </w:p>
    <w:p>
      <w:pPr>
        <w:pStyle w:val="Heading1"/>
      </w:pPr>
      <w:r>
        <w:t>11. Confidentiality and Data</w:t>
      </w:r>
    </w:p>
    <w:p>
      <w:r>
        <w:rPr>
          <w:rFonts w:ascii="Aptos" w:hAnsi="Aptos" w:eastAsia="Aptos"/>
          <w:b w:val="0"/>
          <w:color w:val="111111"/>
          <w:sz w:val="19"/>
        </w:rPr>
        <w:t>Each party must protect the other party’s confidential information and use it only for the project. Daybreak will apply reasonable safeguards to credentials, body imagery, measurements and other sensitive project data within the scope of the integration work. The Client remains responsible for establishing the lawful basis, notices, consents, retention rules and product-level privacy requirements for Kliya’s end-user data.</w:t>
      </w:r>
    </w:p>
    <w:p>
      <w:pPr>
        <w:pStyle w:val="Heading1"/>
      </w:pPr>
      <w:r>
        <w:t>12. Defect Correction and Ongoing Support</w:t>
      </w:r>
    </w:p>
    <w:p>
      <w:r>
        <w:rPr>
          <w:rFonts w:ascii="Aptos" w:hAnsi="Aptos" w:eastAsia="Aptos"/>
          <w:b w:val="0"/>
          <w:color w:val="111111"/>
          <w:sz w:val="19"/>
        </w:rPr>
        <w:t>For thirty (30) calendar days after final acceptance, Daybreak will correct reproducible defects in its bespoke delivered integration code that fall within the agreed scope, at no additional professional-services fee. Enhancements, new vendor requirements, third-party changes, new devices/environments, new features and post-acceptance optimisation are excluded and may be quoted separately.</w:t>
      </w:r>
    </w:p>
    <w:p>
      <w:pPr>
        <w:pStyle w:val="Heading1"/>
      </w:pPr>
      <w:r>
        <w:t>13. Suspension and Termination</w:t>
      </w:r>
    </w:p>
    <w:p>
      <w:r>
        <w:rPr>
          <w:rFonts w:ascii="Aptos" w:hAnsi="Aptos" w:eastAsia="Aptos"/>
          <w:b w:val="0"/>
          <w:color w:val="111111"/>
          <w:sz w:val="19"/>
        </w:rPr>
        <w:t>No unilateral termination for convenience. Once work has commenced, neither party may terminate the project merely for convenience unless both parties agree in writing to the termination and its financial consequences.</w:t>
      </w:r>
    </w:p>
    <w:p>
      <w:r>
        <w:rPr>
          <w:rFonts w:ascii="Aptos" w:hAnsi="Aptos" w:eastAsia="Aptos"/>
          <w:b w:val="0"/>
          <w:color w:val="111111"/>
          <w:sz w:val="19"/>
        </w:rPr>
        <w:t>Either party may terminate for material breach if the breaching party fails to cure that breach within ten (10) business days after receiving written notice describing the breach. Daybreak may suspend or terminate immediately for persistent non-payment, unlawful instructions, misuse of Daybreak systems, or conduct that creates a material security/legal risk.</w:t>
      </w:r>
    </w:p>
    <w:p>
      <w:r>
        <w:rPr>
          <w:rFonts w:ascii="Aptos" w:hAnsi="Aptos" w:eastAsia="Aptos"/>
          <w:b w:val="0"/>
          <w:color w:val="111111"/>
          <w:sz w:val="19"/>
        </w:rPr>
        <w:t>If the Client abandons, pauses indefinitely or attempts to cancel the project without an agreed termination, the Client remains responsible for fees earned for completed work, work already materially committed or scheduled, and non-cancellable third-party obligations incurred with Client approval. The commencement deposit is non-refundable once work has started, except to the extent required by applicable law or agreed otherwise in writing.</w:t>
      </w:r>
    </w:p>
    <w:p>
      <w:pPr>
        <w:pStyle w:val="Heading1"/>
      </w:pPr>
      <w:r>
        <w:t>14. Liability</w:t>
      </w:r>
    </w:p>
    <w:p>
      <w:r>
        <w:rPr>
          <w:rFonts w:ascii="Aptos" w:hAnsi="Aptos" w:eastAsia="Aptos"/>
          <w:b w:val="0"/>
          <w:color w:val="111111"/>
          <w:sz w:val="19"/>
        </w:rPr>
        <w:t>To the maximum extent permitted by law, neither party is liable to the other for indirect, incidental, special or consequential loss, including lost profits, lost revenue, lost opportunity or reputational loss arising from the project. Daybreak’s aggregate liability arising from this Agreement will not exceed the professional fees actually paid to Daybreak under this Agreement, except where liability cannot lawfully be limited.</w:t>
      </w:r>
    </w:p>
    <w:p>
      <w:r>
        <w:rPr>
          <w:rFonts w:ascii="Aptos" w:hAnsi="Aptos" w:eastAsia="Aptos"/>
          <w:b w:val="0"/>
          <w:color w:val="111111"/>
          <w:sz w:val="19"/>
        </w:rPr>
        <w:t>Daybreak is not liable for loss caused primarily by third-party vendor outages, vendor data errors, vendor security incidents outside Daybreak-controlled systems, Client modifications, unauthorised access caused by Client credential handling, or Client failure to follow documented requirements.</w:t>
      </w:r>
    </w:p>
    <w:p>
      <w:pPr>
        <w:pStyle w:val="Heading1"/>
      </w:pPr>
      <w:r>
        <w:t>15. Non-Solicitation of Delivery Resources</w:t>
      </w:r>
    </w:p>
    <w:p>
      <w:r>
        <w:rPr>
          <w:rFonts w:ascii="Aptos" w:hAnsi="Aptos" w:eastAsia="Aptos"/>
          <w:b w:val="0"/>
          <w:color w:val="111111"/>
          <w:sz w:val="19"/>
        </w:rPr>
        <w:t>During the project and for twelve (12) months after completion, the Client will not knowingly solicit for direct employment or direct contracting any Daybreak employee or contractor materially involved in the project without Daybreak’s prior written consent. This does not restrict general public recruitment not specifically targeted at Daybreak personnel.</w:t>
      </w:r>
    </w:p>
    <w:p>
      <w:pPr>
        <w:pStyle w:val="Heading1"/>
      </w:pPr>
      <w:r>
        <w:t>16. Force Majeure</w:t>
      </w:r>
    </w:p>
    <w:p>
      <w:r>
        <w:rPr>
          <w:rFonts w:ascii="Aptos" w:hAnsi="Aptos" w:eastAsia="Aptos"/>
          <w:b w:val="0"/>
          <w:color w:val="111111"/>
          <w:sz w:val="19"/>
        </w:rPr>
        <w:t>Neither party is liable for delay caused by events beyond its reasonable control, including widespread infrastructure outages, major vendor/platform failures, natural disasters, civil disruption or government action. The affected party must notify the other reasonably promptly and resume performance when reasonably possible.</w:t>
      </w:r>
    </w:p>
    <w:p>
      <w:pPr>
        <w:pStyle w:val="Heading1"/>
      </w:pPr>
      <w:r>
        <w:t>17. Governing Law and Disputes</w:t>
      </w:r>
    </w:p>
    <w:p>
      <w:r>
        <w:rPr>
          <w:rFonts w:ascii="Aptos" w:hAnsi="Aptos" w:eastAsia="Aptos"/>
          <w:b w:val="0"/>
          <w:color w:val="111111"/>
          <w:sz w:val="19"/>
        </w:rPr>
        <w:t>This Agreement is governed by the laws of the Republic of South Africa. The parties will first attempt in good faith to resolve any dispute through senior-level discussion. If unresolved, either party may pursue the remedies available to it in a court of competent jurisdiction in the Western Cape, subject to any mandatory law that applies otherwise.</w:t>
      </w:r>
    </w:p>
    <w:p>
      <w:pPr>
        <w:pStyle w:val="Heading1"/>
      </w:pPr>
      <w:r>
        <w:t>18. Entire Agreement; Written Amendments</w:t>
      </w:r>
    </w:p>
    <w:p>
      <w:r>
        <w:rPr>
          <w:rFonts w:ascii="Aptos" w:hAnsi="Aptos" w:eastAsia="Aptos"/>
          <w:b w:val="0"/>
          <w:color w:val="111111"/>
          <w:sz w:val="19"/>
        </w:rPr>
        <w:t>This Agreement and the incorporated project documents record the parties’ agreement for the priced scope. Any amendment, waiver, scope change, early termination or settlement must be recorded in writing and approved by authorised representatives of both parties. Electronic signatures and written electronic approvals are acceptable.</w:t>
      </w:r>
    </w:p>
    <w:p>
      <w:pPr>
        <w:pStyle w:val="Heading1"/>
      </w:pPr>
      <w:r>
        <w:t>19. Signatures</w:t>
      </w:r>
    </w:p>
    <w:tbl>
      <w:tblPr>
        <w:tblW w:type="auto" w:w="0"/>
        <w:jc w:val="left"/>
        <w:tblLayout w:type="fixed"/>
        <w:tblLook w:firstColumn="1" w:firstRow="1" w:lastColumn="0" w:lastRow="0" w:noHBand="0" w:noVBand="1" w:val="04A0"/>
        <w:tblBorders>
          <w:top w:val="single" w:sz="4" w:space="0" w:color="D8D4CC"/>
          <w:left w:val="single" w:sz="4" w:space="0" w:color="D8D4CC"/>
          <w:bottom w:val="single" w:sz="4" w:space="0" w:color="D8D4CC"/>
          <w:right w:val="single" w:sz="4" w:space="0" w:color="D8D4CC"/>
          <w:insideH w:val="single" w:sz="4" w:space="0" w:color="D8D4CC"/>
          <w:insideV w:val="single" w:sz="4" w:space="0" w:color="D8D4CC"/>
        </w:tblBorders>
      </w:tblPr>
      <w:tblGrid>
        <w:gridCol w:w="5100"/>
        <w:gridCol w:w="5100"/>
      </w:tblGrid>
      <w:tr>
        <w:trPr>
          <w:cantSplit/>
        </w:trPr>
        <w:tc>
          <w:tcPr>
            <w:tcW w:type="dxa" w:w="4592"/>
            <w:shd w:fill="F3F1ED"/>
          </w:tcPr>
          <w:p>
            <w:r>
              <w:rPr>
                <w:rFonts w:ascii="Aptos" w:hAnsi="Aptos" w:eastAsia="Aptos"/>
                <w:b/>
                <w:color w:val="666666"/>
                <w:sz w:val="17"/>
              </w:rPr>
              <w:t>KLIYA / CLIENT</w:t>
            </w:r>
          </w:p>
        </w:tc>
        <w:tc>
          <w:tcPr>
            <w:tcW w:type="dxa" w:w="4592"/>
            <w:shd w:fill="F3F1ED"/>
          </w:tcPr>
          <w:p>
            <w:r>
              <w:rPr>
                <w:rFonts w:ascii="Aptos" w:hAnsi="Aptos" w:eastAsia="Aptos"/>
                <w:b/>
                <w:color w:val="666666"/>
                <w:sz w:val="17"/>
              </w:rPr>
              <w:t>DAYBREAK</w:t>
            </w:r>
          </w:p>
        </w:tc>
      </w:tr>
      <w:tr>
        <w:trPr>
          <w:cantSplit/>
        </w:trPr>
        <w:tc>
          <w:tcPr>
            <w:tcW w:type="dxa" w:w="4592"/>
            <w:tcMar>
              <w:top w:w="90" w:type="dxa"/>
              <w:start w:w="100" w:type="dxa"/>
              <w:bottom w:w="90" w:type="dxa"/>
              <w:end w:w="100" w:type="dxa"/>
            </w:tcMar>
          </w:tcPr>
          <w:p>
            <w:r>
              <w:rPr>
                <w:rFonts w:ascii="Aptos" w:hAnsi="Aptos" w:eastAsia="Aptos"/>
                <w:b w:val="0"/>
                <w:color w:val="111111"/>
                <w:sz w:val="17"/>
              </w:rPr>
              <w:t>Name / capacity: __________________________________</w:t>
            </w:r>
          </w:p>
        </w:tc>
        <w:tc>
          <w:tcPr>
            <w:tcW w:type="dxa" w:w="4592"/>
            <w:tcMar>
              <w:top w:w="90" w:type="dxa"/>
              <w:start w:w="100" w:type="dxa"/>
              <w:bottom w:w="90" w:type="dxa"/>
              <w:end w:w="100" w:type="dxa"/>
            </w:tcMar>
          </w:tcPr>
          <w:p>
            <w:r>
              <w:rPr>
                <w:rFonts w:ascii="Aptos" w:hAnsi="Aptos" w:eastAsia="Aptos"/>
                <w:b w:val="0"/>
                <w:color w:val="111111"/>
                <w:sz w:val="17"/>
              </w:rPr>
              <w:t>Name / capacity: __________________________________</w:t>
            </w:r>
          </w:p>
        </w:tc>
      </w:tr>
      <w:tr>
        <w:trPr>
          <w:cantSplit/>
        </w:trPr>
        <w:tc>
          <w:tcPr>
            <w:tcW w:type="dxa" w:w="4592"/>
            <w:tcMar>
              <w:top w:w="90" w:type="dxa"/>
              <w:start w:w="100" w:type="dxa"/>
              <w:bottom w:w="90" w:type="dxa"/>
              <w:end w:w="100" w:type="dxa"/>
            </w:tcMar>
          </w:tcPr>
          <w:p>
            <w:r>
              <w:rPr>
                <w:rFonts w:ascii="Aptos" w:hAnsi="Aptos" w:eastAsia="Aptos"/>
                <w:b w:val="0"/>
                <w:color w:val="111111"/>
                <w:sz w:val="17"/>
              </w:rPr>
              <w:t>Signature: __________________________________</w:t>
            </w:r>
          </w:p>
        </w:tc>
        <w:tc>
          <w:tcPr>
            <w:tcW w:type="dxa" w:w="4592"/>
            <w:tcMar>
              <w:top w:w="90" w:type="dxa"/>
              <w:start w:w="100" w:type="dxa"/>
              <w:bottom w:w="90" w:type="dxa"/>
              <w:end w:w="100" w:type="dxa"/>
            </w:tcMar>
          </w:tcPr>
          <w:p>
            <w:r>
              <w:rPr>
                <w:rFonts w:ascii="Aptos" w:hAnsi="Aptos" w:eastAsia="Aptos"/>
                <w:b w:val="0"/>
                <w:color w:val="111111"/>
                <w:sz w:val="17"/>
              </w:rPr>
              <w:t>Signature: __________________________________</w:t>
            </w:r>
          </w:p>
        </w:tc>
      </w:tr>
      <w:tr>
        <w:trPr>
          <w:cantSplit/>
        </w:trPr>
        <w:tc>
          <w:tcPr>
            <w:tcW w:type="dxa" w:w="4592"/>
            <w:tcMar>
              <w:top w:w="90" w:type="dxa"/>
              <w:start w:w="100" w:type="dxa"/>
              <w:bottom w:w="90" w:type="dxa"/>
              <w:end w:w="100" w:type="dxa"/>
            </w:tcMar>
          </w:tcPr>
          <w:p>
            <w:r>
              <w:rPr>
                <w:rFonts w:ascii="Aptos" w:hAnsi="Aptos" w:eastAsia="Aptos"/>
                <w:b w:val="0"/>
                <w:color w:val="111111"/>
                <w:sz w:val="17"/>
              </w:rPr>
              <w:t>Date: __________________________________</w:t>
            </w:r>
          </w:p>
        </w:tc>
        <w:tc>
          <w:tcPr>
            <w:tcW w:type="dxa" w:w="4592"/>
            <w:tcMar>
              <w:top w:w="90" w:type="dxa"/>
              <w:start w:w="100" w:type="dxa"/>
              <w:bottom w:w="90" w:type="dxa"/>
              <w:end w:w="100" w:type="dxa"/>
            </w:tcMar>
          </w:tcPr>
          <w:p>
            <w:r>
              <w:rPr>
                <w:rFonts w:ascii="Aptos" w:hAnsi="Aptos" w:eastAsia="Aptos"/>
                <w:b w:val="0"/>
                <w:color w:val="111111"/>
                <w:sz w:val="17"/>
              </w:rPr>
              <w:t>Date: __________________________________</w:t>
            </w:r>
          </w:p>
        </w:tc>
      </w:tr>
    </w:tbl>
    <w:sectPr w:rsidR="00FC693F" w:rsidRPr="0006063C" w:rsidSect="00034616">
      <w:headerReference w:type="default" r:id="rId9"/>
      <w:footerReference w:type="default" r:id="rId10"/>
      <w:pgSz w:w="12240" w:h="15840"/>
      <w:pgMar w:top="1020"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3312"/>
      <w:gridCol w:w="3312"/>
      <w:gridCol w:w="3312"/>
    </w:tblGrid>
    <w:tr>
      <w:tc>
        <w:tcPr>
          <w:tcW w:type="dxa" w:w="3312"/>
          <w:vAlign w:val="center"/>
        </w:tcPr>
        <w:p>
          <w:pPr>
            <w:jc w:val="left"/>
          </w:pPr>
          <w:r>
            <w:rPr>
              <w:rFonts w:ascii="Aptos" w:hAnsi="Aptos" w:eastAsia="Aptos"/>
              <w:b w:val="0"/>
              <w:color w:val="666666"/>
              <w:sz w:val="15"/>
            </w:rPr>
            <w:t>Daybreak Tech-Innovations (Pty) Ltd</w:t>
          </w:r>
        </w:p>
      </w:tc>
      <w:tc>
        <w:tcPr>
          <w:tcW w:type="dxa" w:w="3312"/>
          <w:vAlign w:val="center"/>
        </w:tcPr>
        <w:p>
          <w:pPr>
            <w:jc w:val="center"/>
          </w:pPr>
          <w:r>
            <w:rPr>
              <w:rFonts w:ascii="Aptos" w:hAnsi="Aptos" w:eastAsia="Aptos"/>
              <w:b w:val="0"/>
              <w:color w:val="666666"/>
              <w:sz w:val="15"/>
            </w:rPr>
            <w:t>daybreaktech.agency</w:t>
          </w:r>
        </w:p>
      </w:tc>
      <w:tc>
        <w:tcPr>
          <w:tcW w:type="dxa" w:w="3312"/>
          <w:vAlign w:val="center"/>
        </w:tcPr>
        <w:p>
          <w:pPr>
            <w:jc w:val="right"/>
          </w:pPr>
          <w:r>
            <w:rPr>
              <w:rFonts w:ascii="Aptos" w:hAnsi="Aptos" w:eastAsia="Aptos"/>
              <w:b w:val="0"/>
              <w:color w:val="666666"/>
              <w:sz w:val="15"/>
            </w:rPr>
            <w:t>Cape Town / Remote-first</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eastAsia="Aptos"/>
        <w:b/>
        <w:color w:val="111111"/>
        <w:sz w:val="18"/>
      </w:rPr>
      <w:t>DAYBREAK</w:t>
    </w:r>
    <w:r>
      <w:rPr>
        <w:rFonts w:ascii="Aptos" w:hAnsi="Aptos" w:eastAsia="Aptos"/>
        <w:b w:val="0"/>
        <w:color w:val="666666"/>
        <w:sz w:val="16"/>
      </w:rPr>
      <w:t xml:space="preserv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1111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11111"/>
      <w:sz w:val="23"/>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1111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Aptos Display" w:hAnsi="Aptos Display"/>
      <w:b/>
      <w:color w:val="11111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