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after="80"/>
      </w:pPr>
      <w:r>
        <w:rPr>
          <w:rFonts w:ascii="Arial" w:hAnsi="Arial" w:eastAsia="Arial"/>
          <w:b/>
          <w:color w:val="2F7D8C"/>
          <w:sz w:val="36"/>
        </w:rPr>
        <w:t>CAP-001</w:t>
      </w:r>
    </w:p>
    <w:p>
      <w:pPr>
        <w:pStyle w:val="Title"/>
        <w:spacing w:after="100"/>
      </w:pPr>
      <w:r>
        <w:rPr>
          <w:rFonts w:ascii="Arial" w:hAnsi="Arial" w:eastAsia="Arial"/>
          <w:b/>
          <w:color w:val="17365D"/>
          <w:sz w:val="56"/>
        </w:rPr>
        <w:t>Supplier Allocation Under Disruption Risk</w:t>
      </w:r>
    </w:p>
    <w:p>
      <w:pPr>
        <w:pStyle w:val="Subtitle"/>
        <w:spacing w:after="360"/>
      </w:pPr>
      <w:r>
        <w:rPr>
          <w:rFonts w:ascii="Arial" w:hAnsi="Arial" w:eastAsia="Arial"/>
          <w:color w:val="2F7D8C"/>
          <w:sz w:val="26"/>
        </w:rPr>
        <w:t>Tier-N End-to-End Cost Model, Modelling Decisions and Dataset Generation Specification</w:t>
      </w:r>
    </w:p>
    <w:p>
      <w:pPr>
        <w:spacing w:after="40"/>
      </w:pPr>
      <w:r>
        <w:rPr>
          <w:rFonts w:ascii="Arial" w:hAnsi="Arial" w:eastAsia="Arial"/>
          <w:b/>
          <w:color w:val="17365D"/>
          <w:sz w:val="20"/>
        </w:rPr>
        <w:t xml:space="preserve">Status: </w:t>
      </w:r>
      <w:r>
        <w:rPr>
          <w:rFonts w:ascii="Arial" w:hAnsi="Arial" w:eastAsia="Arial"/>
          <w:color w:val="1F2933"/>
          <w:sz w:val="20"/>
        </w:rPr>
        <w:t>Approved modelling direction; pending ADR completion and reference-fixture acceptance</w:t>
      </w:r>
    </w:p>
    <w:p>
      <w:pPr>
        <w:spacing w:after="40"/>
      </w:pPr>
      <w:r>
        <w:rPr>
          <w:rFonts w:ascii="Arial" w:hAnsi="Arial" w:eastAsia="Arial"/>
          <w:b/>
          <w:color w:val="17365D"/>
          <w:sz w:val="20"/>
        </w:rPr>
        <w:t xml:space="preserve">Version: </w:t>
      </w:r>
      <w:r>
        <w:rPr>
          <w:rFonts w:ascii="Arial" w:hAnsi="Arial" w:eastAsia="Arial"/>
          <w:color w:val="1F2933"/>
          <w:sz w:val="20"/>
        </w:rPr>
        <w:t>0.3</w:t>
      </w:r>
    </w:p>
    <w:p>
      <w:pPr>
        <w:spacing w:after="40"/>
      </w:pPr>
      <w:r>
        <w:rPr>
          <w:rFonts w:ascii="Arial" w:hAnsi="Arial" w:eastAsia="Arial"/>
          <w:b/>
          <w:color w:val="17365D"/>
          <w:sz w:val="20"/>
        </w:rPr>
        <w:t xml:space="preserve">Date: </w:t>
      </w:r>
      <w:r>
        <w:rPr>
          <w:rFonts w:ascii="Arial" w:hAnsi="Arial" w:eastAsia="Arial"/>
          <w:color w:val="1F2933"/>
          <w:sz w:val="20"/>
        </w:rPr>
        <w:t>30 July 2026</w:t>
      </w:r>
    </w:p>
    <w:p>
      <w:pPr>
        <w:spacing w:before="320" w:after="60"/>
      </w:pPr>
      <w:r>
        <w:rPr>
          <w:rFonts w:ascii="Arial" w:hAnsi="Arial" w:eastAsia="Arial"/>
          <w:b/>
          <w:color w:val="2F7D8C"/>
          <w:sz w:val="20"/>
        </w:rPr>
        <w:t>Intended use</w:t>
      </w:r>
    </w:p>
    <w:p>
      <w:pPr>
        <w:spacing w:after="360"/>
      </w:pPr>
      <w:r>
        <w:rPr>
          <w:rFonts w:ascii="Arial" w:hAnsi="Arial" w:eastAsia="Arial"/>
          <w:color w:val="42515E"/>
          <w:sz w:val="20"/>
        </w:rPr>
        <w:t>Provide the controlled source specification for Codex or another engineering environment to build the CAP-001 narrative pack, Tier-N synthetic raw datasets, validation suite, fixed-price MILP baseline, recursive-cost MINLP reference implementation, student release and evaluation harness.</w:t>
      </w:r>
    </w:p>
    <w:tbl>
      <w:tblPr>
        <w:tblW w:type="auto" w:w="0"/>
        <w:tblLayout w:type="fixed"/>
        <w:tblLook w:firstColumn="1" w:firstRow="1" w:lastColumn="0" w:lastRow="0" w:noHBand="0" w:noVBand="1" w:val="04A0"/>
      </w:tblPr>
      <w:tblGrid>
        <w:gridCol w:w="3168"/>
      </w:tblGrid>
      <w:tr>
        <w:tc>
          <w:tcPr>
            <w:tcW w:type="dxa" w:w="10119"/>
            <w:shd w:fill="2F7D8C" w:val="clear"/>
            <w:tcMar>
              <w:top w:w="20" w:type="dxa"/>
              <w:start w:w="0" w:type="dxa"/>
              <w:bottom w:w="20" w:type="dxa"/>
              <w:end w:w="0" w:type="dxa"/>
            </w:tcMar>
            <w:tcBorders>
              <w:top w:val="nil"/>
              <w:start w:val="nil"/>
              <w:bottom w:val="nil"/>
              <w:end w:val="nil"/>
            </w:tcBorders>
          </w:tcPr>
          <w:p>
            <w:r/>
          </w:p>
        </w:tc>
      </w:tr>
    </w:tbl>
    <w:p>
      <w:pPr>
        <w:spacing w:before="400"/>
      </w:pPr>
      <w:r>
        <w:rPr>
          <w:rFonts w:ascii="Arial" w:hAnsi="Arial" w:eastAsia="Arial"/>
          <w:b/>
          <w:color w:val="68747F"/>
          <w:sz w:val="17"/>
        </w:rPr>
        <w:t>Internal working document</w:t>
      </w:r>
    </w:p>
    <w:p>
      <w:pPr>
        <w:pStyle w:val="Heading1"/>
      </w:pPr>
      <w:r>
        <w:t>Document control</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520"/>
            <w:shd w:fill="17365D" w:val="clear"/>
            <w:tcMar>
              <w:top w:w="60" w:type="dxa"/>
              <w:start w:w="80" w:type="dxa"/>
              <w:bottom w:w="60" w:type="dxa"/>
              <w:end w:w="80" w:type="dxa"/>
            </w:tcMar>
            <w:vAlign w:val="center"/>
          </w:tcPr>
          <w:p>
            <w:pPr>
              <w:spacing w:after="0"/>
            </w:pPr>
            <w:r>
              <w:rPr>
                <w:rFonts w:ascii="Carlito" w:hAnsi="Carlito" w:eastAsia="Carlito"/>
                <w:b/>
                <w:color w:val="FFFFFF"/>
                <w:sz w:val="16"/>
              </w:rPr>
              <w:t>Field</w:t>
            </w:r>
          </w:p>
        </w:tc>
        <w:tc>
          <w:tcPr>
            <w:tcW w:type="dxa" w:w="7416"/>
            <w:shd w:fill="17365D" w:val="clear"/>
            <w:tcMar>
              <w:top w:w="60" w:type="dxa"/>
              <w:start w:w="80" w:type="dxa"/>
              <w:bottom w:w="60" w:type="dxa"/>
              <w:end w:w="80" w:type="dxa"/>
            </w:tcMar>
            <w:vAlign w:val="center"/>
          </w:tcPr>
          <w:p>
            <w:pPr>
              <w:spacing w:after="0"/>
            </w:pPr>
            <w:r>
              <w:rPr>
                <w:rFonts w:ascii="Carlito" w:hAnsi="Carlito" w:eastAsia="Carlito"/>
                <w:b/>
                <w:color w:val="FFFFFF"/>
                <w:sz w:val="16"/>
              </w:rPr>
              <w:t>Value</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Document owner</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Optimisation, Search and Decision Intelligence capability</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Capstone</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CAP-001 - Supplier Allocation Under Disruption Risk</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Current status</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Approved modelling direction; pending completion of ADRs and reference-fixture gates</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Primary audience</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Capability owner, dataset engineer, reference-model developer, evaluator-design owner and Codex environment</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Source of truth</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This document and the approved machine-readable decision configuration derived from it</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Relationship to control standard</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Specialises the common capstone control standard. Where this document is more specific, it governs CAP-001.</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Supersedes</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Version 0.2 dated 22 July 2026</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Material change</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Replaces the two-tier fixed-price MILP as the assessed model with a tier-neutral recursive-cost MINLP. Release 1 uses four supplier tiers plus Asterion plants.</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Change control</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Material changes require an ADR, version increment and regeneration of dependent artefacts.</w:t>
            </w:r>
          </w:p>
        </w:tc>
      </w:tr>
    </w:tbl>
    <w:p>
      <w:pPr>
        <w:spacing w:after="0"/>
      </w:pPr>
    </w:p>
    <w:p>
      <w:pPr>
        <w:pStyle w:val="Heading1"/>
      </w:pPr>
      <w:r>
        <w:t>Contents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4968"/>
            <w:shd w:fill="17365D" w:val="clear"/>
            <w:tcMar>
              <w:top w:w="60" w:type="dxa"/>
              <w:start w:w="80" w:type="dxa"/>
              <w:bottom w:w="60" w:type="dxa"/>
              <w:end w:w="80" w:type="dxa"/>
            </w:tcMar>
            <w:vAlign w:val="center"/>
          </w:tcPr>
          <w:p>
            <w:pPr>
              <w:spacing w:after="0"/>
            </w:pPr>
            <w:r>
              <w:rPr>
                <w:rFonts w:ascii="Carlito" w:hAnsi="Carlito" w:eastAsia="Carlito"/>
                <w:b/>
                <w:color w:val="FFFFFF"/>
                <w:sz w:val="17"/>
              </w:rPr>
              <w:t>Section</w:t>
            </w:r>
          </w:p>
        </w:tc>
        <w:tc>
          <w:tcPr>
            <w:tcW w:type="dxa" w:w="4968"/>
            <w:shd w:fill="17365D" w:val="clear"/>
            <w:tcMar>
              <w:top w:w="60" w:type="dxa"/>
              <w:start w:w="80" w:type="dxa"/>
              <w:bottom w:w="60" w:type="dxa"/>
              <w:end w:w="80" w:type="dxa"/>
            </w:tcMar>
            <w:vAlign w:val="center"/>
          </w:tcPr>
          <w:p>
            <w:pPr>
              <w:spacing w:after="0"/>
            </w:pPr>
            <w:r>
              <w:rPr>
                <w:rFonts w:ascii="Carlito" w:hAnsi="Carlito" w:eastAsia="Carlito"/>
                <w:b/>
                <w:color w:val="FFFFFF"/>
                <w:sz w:val="17"/>
              </w:rPr>
              <w:t>Section</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1. Purpose and governing principles</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11. Dataset structure and data contracts</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2. Executive decision summary</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12. Synthetic data generation</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3. Decision register</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13. Validation and release acceptance</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4. Business narrative and planning workflow</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14. Student application and deliverables</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5. Scope and release boundaries</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15. Reference model and evaluation</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6. Tier-N supply-network and material-flow design</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16. Codex implementation work packages</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7. Planning calendar and time semantics</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17. Architecture and modelling decisions</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8. Core recursive-cost MINLP formulation</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18. Change control and precedence</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9. Baseline and resilience challenge</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Appendices A-F</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10. Disruption-scenario design</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r>
          </w:p>
        </w:tc>
      </w:tr>
    </w:tbl>
    <w:p>
      <w:pPr>
        <w:spacing w:after="0"/>
      </w:pPr>
    </w:p>
    <w:p>
      <w:pPr>
        <w:pStyle w:val="Heading1"/>
      </w:pPr>
      <w:r>
        <w:t>1. Purpose and governing principles</w:t>
      </w:r>
    </w:p>
    <w:p>
      <w:pPr>
        <w:spacing w:after="90"/>
      </w:pPr>
      <w:r>
        <w:t>This document freezes the substantive design of CAP-001 before full synthetic dataset generation begins. It converts the common capstone control standard into an implementation-ready specification for one fixed business use case and one controlled advanced optimisation challenge.</w:t>
      </w:r>
    </w:p>
    <w:p>
      <w:pPr>
        <w:spacing w:after="90"/>
      </w:pPr>
      <w:r>
        <w:t>Every downstream artefact must be derived from the same approved decisions: student brief, business narrative, raw-data schemas, generator configuration, miniature fixture, baseline MILP, recursive-cost MINLP, hidden validation checks, application requirements and AI-assisted evaluation prompts.</w:t>
      </w:r>
    </w:p>
    <w:tbl>
      <w:tblPr>
        <w:tblW w:type="auto" w:w="0"/>
        <w:jc w:val="center"/>
        <w:tblLayout w:type="fixed"/>
        <w:tblLook w:firstColumn="1" w:firstRow="1" w:lastColumn="0" w:lastRow="0" w:noHBand="0" w:noVBand="1" w:val="04A0"/>
      </w:tblPr>
      <w:tblGrid>
        <w:gridCol w:w="9936"/>
      </w:tblGrid>
      <w:tr>
        <w:tc>
          <w:tcPr>
            <w:tcW w:type="dxa" w:w="10119"/>
            <w:shd w:fill="E7F4F2" w:val="clear"/>
            <w:tcMar>
              <w:top w:w="100" w:type="dxa"/>
              <w:start w:w="130" w:type="dxa"/>
              <w:bottom w:w="100" w:type="dxa"/>
              <w:end w:w="130" w:type="dxa"/>
            </w:tcMar>
            <w:tcBorders>
              <w:top w:val="nil"/>
              <w:start w:val="single" w:sz="18" w:color="0B7A75"/>
              <w:bottom w:val="nil"/>
              <w:end w:val="nil"/>
            </w:tcBorders>
          </w:tcPr>
          <w:p>
            <w:pPr>
              <w:spacing w:after="40"/>
            </w:pPr>
            <w:r>
              <w:rPr>
                <w:rFonts w:ascii="Carlito" w:hAnsi="Carlito" w:eastAsia="Carlito"/>
                <w:b/>
                <w:color w:val="0B7A75"/>
                <w:sz w:val="18"/>
              </w:rPr>
              <w:t>Governing principle</w:t>
            </w:r>
          </w:p>
          <w:p>
            <w:pPr>
              <w:spacing w:after="0"/>
            </w:pPr>
            <w:r>
              <w:rPr>
                <w:rFonts w:ascii="Carlito" w:hAnsi="Carlito" w:eastAsia="Carlito"/>
                <w:color w:val="1F2933"/>
                <w:sz w:val="18"/>
              </w:rPr>
              <w:t>The dataset defines a credible operating world. The consultant must use AI and engineering judgement to formulate a defensible end-to-end model, obtain and validate a feasible result, explain the confidence that can be placed in it, and deliver a customer-usable recommendation.</w:t>
            </w:r>
          </w:p>
        </w:tc>
      </w:tr>
    </w:tbl>
    <w:p>
      <w:pPr>
        <w:spacing w:after="0"/>
      </w:pPr>
    </w:p>
    <w:p>
      <w:pPr>
        <w:pStyle w:val="ListBullet"/>
        <w:spacing w:after="44"/>
        <w:ind w:left="317" w:hanging="173"/>
      </w:pPr>
      <w:r>
        <w:t>Fixed use case. All consultants work from the same fictional organisation, Tier-N network, planning horizon, raw datasets and scenario catalogue.</w:t>
      </w:r>
    </w:p>
    <w:p>
      <w:pPr>
        <w:pStyle w:val="ListBullet"/>
        <w:spacing w:after="44"/>
        <w:ind w:left="317" w:hanging="173"/>
      </w:pPr>
      <w:r>
        <w:t>Controlled flexibility. The baseline and costing policy are fixed. Consultants retain freedom in solver strategy, approximation route, resilience intervention and application design.</w:t>
      </w:r>
    </w:p>
    <w:p>
      <w:pPr>
        <w:pStyle w:val="ListBullet"/>
        <w:spacing w:after="44"/>
        <w:ind w:left="317" w:hanging="173"/>
      </w:pPr>
      <w:r>
        <w:t>AI-native delivery. AI assistance is expected. The consultant remains accountable for formulation, code, validation, status interpretation and recommendation.</w:t>
      </w:r>
    </w:p>
    <w:p>
      <w:pPr>
        <w:pStyle w:val="ListBullet"/>
        <w:spacing w:after="44"/>
        <w:ind w:left="317" w:hanging="173"/>
      </w:pPr>
      <w:r>
        <w:t>Application-led outcome. The result is delivered as an interactive decision-support application supported by code, reports, evidence and a technical defence.</w:t>
      </w:r>
    </w:p>
    <w:p>
      <w:pPr>
        <w:pStyle w:val="ListBullet"/>
        <w:spacing w:after="44"/>
        <w:ind w:left="317" w:hanging="173"/>
      </w:pPr>
      <w:r>
        <w:t>Reproducible assessment. The default case, fixture, output contracts and quality gates support deterministic validation before qualitative scoring.</w:t>
      </w:r>
    </w:p>
    <w:p>
      <w:pPr>
        <w:pStyle w:val="ListBullet"/>
        <w:spacing w:after="44"/>
        <w:ind w:left="317" w:hanging="173"/>
      </w:pPr>
      <w:r>
        <w:t>Release discipline. Dataset generation logic, private seeds, reference bounds, hidden tests and full reference results remain private.</w:t>
      </w:r>
    </w:p>
    <w:p>
      <w:pPr>
        <w:pStyle w:val="Heading1"/>
      </w:pPr>
      <w:r>
        <w:t>2. Executive decision summary</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664"/>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Decision area</w:t>
            </w:r>
          </w:p>
        </w:tc>
        <w:tc>
          <w:tcPr>
            <w:tcW w:type="dxa" w:w="7272"/>
            <w:shd w:fill="17365D" w:val="clear"/>
            <w:tcMar>
              <w:top w:w="60" w:type="dxa"/>
              <w:start w:w="80" w:type="dxa"/>
              <w:bottom w:w="60" w:type="dxa"/>
              <w:end w:w="80" w:type="dxa"/>
            </w:tcMar>
            <w:vAlign w:val="center"/>
          </w:tcPr>
          <w:p>
            <w:pPr>
              <w:spacing w:after="0"/>
            </w:pPr>
            <w:r>
              <w:rPr>
                <w:rFonts w:ascii="Carlito" w:hAnsi="Carlito" w:eastAsia="Carlito"/>
                <w:b/>
                <w:color w:val="FFFFFF"/>
                <w:sz w:val="15"/>
              </w:rPr>
              <w:t>Approved position</w:t>
            </w:r>
          </w:p>
        </w:tc>
      </w:tr>
      <w:tr>
        <w:tc>
          <w:tcPr>
            <w:tcW w:type="dxa" w:w="2664"/>
            <w:tcMar>
              <w:top w:w="60" w:type="dxa"/>
              <w:start w:w="80" w:type="dxa"/>
              <w:bottom w:w="60" w:type="dxa"/>
              <w:end w:w="80" w:type="dxa"/>
            </w:tcMar>
            <w:vAlign w:val="top"/>
          </w:tcPr>
          <w:p>
            <w:pPr>
              <w:spacing w:after="0"/>
            </w:pPr>
            <w:r>
              <w:rPr>
                <w:rFonts w:ascii="Carlito" w:hAnsi="Carlito" w:eastAsia="Carlito"/>
                <w:color w:val="1F2933"/>
                <w:sz w:val="15"/>
              </w:rPr>
              <w:t>Use case</w:t>
            </w:r>
          </w:p>
        </w:tc>
        <w:tc>
          <w:tcPr>
            <w:tcW w:type="dxa" w:w="7272"/>
            <w:tcMar>
              <w:top w:w="60" w:type="dxa"/>
              <w:start w:w="80" w:type="dxa"/>
              <w:bottom w:w="60" w:type="dxa"/>
              <w:end w:w="80" w:type="dxa"/>
            </w:tcMar>
            <w:vAlign w:val="top"/>
          </w:tcPr>
          <w:p>
            <w:pPr>
              <w:spacing w:after="0"/>
            </w:pPr>
            <w:r>
              <w:rPr>
                <w:rFonts w:ascii="Carlito" w:hAnsi="Carlito" w:eastAsia="Carlito"/>
                <w:color w:val="1F2933"/>
                <w:sz w:val="15"/>
              </w:rPr>
              <w:t>Asterion Industrial Controls Group, a fictional European manufacturer of industrial electrical-control and automation equipment.</w:t>
            </w:r>
          </w:p>
        </w:tc>
      </w:tr>
      <w:tr>
        <w:tc>
          <w:tcPr>
            <w:tcW w:type="dxa" w:w="2664"/>
            <w:shd w:fill="F7F8F9" w:val="clear"/>
            <w:tcMar>
              <w:top w:w="60" w:type="dxa"/>
              <w:start w:w="80" w:type="dxa"/>
              <w:bottom w:w="60" w:type="dxa"/>
              <w:end w:w="80" w:type="dxa"/>
            </w:tcMar>
            <w:vAlign w:val="top"/>
          </w:tcPr>
          <w:p>
            <w:pPr>
              <w:spacing w:after="0"/>
            </w:pPr>
            <w:r>
              <w:rPr>
                <w:rFonts w:ascii="Carlito" w:hAnsi="Carlito" w:eastAsia="Carlito"/>
                <w:color w:val="1F2933"/>
                <w:sz w:val="15"/>
              </w:rPr>
              <w:t>Business user</w:t>
            </w:r>
          </w:p>
        </w:tc>
        <w:tc>
          <w:tcPr>
            <w:tcW w:type="dxa" w:w="7272"/>
            <w:shd w:fill="F7F8F9" w:val="clear"/>
            <w:tcMar>
              <w:top w:w="60" w:type="dxa"/>
              <w:start w:w="80" w:type="dxa"/>
              <w:bottom w:w="60" w:type="dxa"/>
              <w:end w:w="80" w:type="dxa"/>
            </w:tcMar>
            <w:vAlign w:val="top"/>
          </w:tcPr>
          <w:p>
            <w:pPr>
              <w:spacing w:after="0"/>
            </w:pPr>
            <w:r>
              <w:rPr>
                <w:rFonts w:ascii="Carlito" w:hAnsi="Carlito" w:eastAsia="Carlito"/>
                <w:color w:val="1F2933"/>
                <w:sz w:val="15"/>
              </w:rPr>
              <w:t>European supply-planning and category-management team preparing a weekly 12-week coordinated sourcing plan.</w:t>
            </w:r>
          </w:p>
        </w:tc>
      </w:tr>
      <w:tr>
        <w:tc>
          <w:tcPr>
            <w:tcW w:type="dxa" w:w="2664"/>
            <w:tcMar>
              <w:top w:w="60" w:type="dxa"/>
              <w:start w:w="80" w:type="dxa"/>
              <w:bottom w:w="60" w:type="dxa"/>
              <w:end w:w="80" w:type="dxa"/>
            </w:tcMar>
            <w:vAlign w:val="top"/>
          </w:tcPr>
          <w:p>
            <w:pPr>
              <w:spacing w:after="0"/>
            </w:pPr>
            <w:r>
              <w:rPr>
                <w:rFonts w:ascii="Carlito" w:hAnsi="Carlito" w:eastAsia="Carlito"/>
                <w:color w:val="1F2933"/>
                <w:sz w:val="15"/>
              </w:rPr>
              <w:t>Network architecture</w:t>
            </w:r>
          </w:p>
        </w:tc>
        <w:tc>
          <w:tcPr>
            <w:tcW w:type="dxa" w:w="7272"/>
            <w:tcMar>
              <w:top w:w="60" w:type="dxa"/>
              <w:start w:w="80" w:type="dxa"/>
              <w:bottom w:w="60" w:type="dxa"/>
              <w:end w:w="80" w:type="dxa"/>
            </w:tcMar>
            <w:vAlign w:val="top"/>
          </w:tcPr>
          <w:p>
            <w:pPr>
              <w:spacing w:after="0"/>
            </w:pPr>
            <w:r>
              <w:rPr>
                <w:rFonts w:ascii="Carlito" w:hAnsi="Carlito" w:eastAsia="Carlito"/>
                <w:color w:val="1F2933"/>
                <w:sz w:val="15"/>
              </w:rPr>
              <w:t>Generic Tier-N directed acyclic network. Release 1 instantiates four supplier tiers plus Asterion plants.</w:t>
            </w:r>
          </w:p>
        </w:tc>
      </w:tr>
      <w:tr>
        <w:tc>
          <w:tcPr>
            <w:tcW w:type="dxa" w:w="2664"/>
            <w:shd w:fill="F7F8F9" w:val="clear"/>
            <w:tcMar>
              <w:top w:w="60" w:type="dxa"/>
              <w:start w:w="80" w:type="dxa"/>
              <w:bottom w:w="60" w:type="dxa"/>
              <w:end w:w="80" w:type="dxa"/>
            </w:tcMar>
            <w:vAlign w:val="top"/>
          </w:tcPr>
          <w:p>
            <w:pPr>
              <w:spacing w:after="0"/>
            </w:pPr>
            <w:r>
              <w:rPr>
                <w:rFonts w:ascii="Carlito" w:hAnsi="Carlito" w:eastAsia="Carlito"/>
                <w:color w:val="1F2933"/>
                <w:sz w:val="15"/>
              </w:rPr>
              <w:t>Commercial authority</w:t>
            </w:r>
          </w:p>
        </w:tc>
        <w:tc>
          <w:tcPr>
            <w:tcW w:type="dxa" w:w="7272"/>
            <w:shd w:fill="F7F8F9" w:val="clear"/>
            <w:tcMar>
              <w:top w:w="60" w:type="dxa"/>
              <w:start w:w="80" w:type="dxa"/>
              <w:bottom w:w="60" w:type="dxa"/>
              <w:end w:w="80" w:type="dxa"/>
            </w:tcMar>
            <w:vAlign w:val="top"/>
          </w:tcPr>
          <w:p>
            <w:pPr>
              <w:spacing w:after="0"/>
            </w:pPr>
            <w:r>
              <w:rPr>
                <w:rFonts w:ascii="Carlito" w:hAnsi="Carlito" w:eastAsia="Carlito"/>
                <w:color w:val="1F2933"/>
                <w:sz w:val="15"/>
              </w:rPr>
              <w:t>Asterion operates a nominated-source and open-cost programme for selected critical components, allowing coordinated upstream recommendations.</w:t>
            </w:r>
          </w:p>
        </w:tc>
      </w:tr>
      <w:tr>
        <w:tc>
          <w:tcPr>
            <w:tcW w:type="dxa" w:w="2664"/>
            <w:tcMar>
              <w:top w:w="60" w:type="dxa"/>
              <w:start w:w="80" w:type="dxa"/>
              <w:bottom w:w="60" w:type="dxa"/>
              <w:end w:w="80" w:type="dxa"/>
            </w:tcMar>
            <w:vAlign w:val="top"/>
          </w:tcPr>
          <w:p>
            <w:pPr>
              <w:spacing w:after="0"/>
            </w:pPr>
            <w:r>
              <w:rPr>
                <w:rFonts w:ascii="Carlito" w:hAnsi="Carlito" w:eastAsia="Carlito"/>
                <w:color w:val="1F2933"/>
                <w:sz w:val="15"/>
              </w:rPr>
              <w:t>Planning horizon</w:t>
            </w:r>
          </w:p>
        </w:tc>
        <w:tc>
          <w:tcPr>
            <w:tcW w:type="dxa" w:w="7272"/>
            <w:tcMar>
              <w:top w:w="60" w:type="dxa"/>
              <w:start w:w="80" w:type="dxa"/>
              <w:bottom w:w="60" w:type="dxa"/>
              <w:end w:w="80" w:type="dxa"/>
            </w:tcMar>
            <w:vAlign w:val="top"/>
          </w:tcPr>
          <w:p>
            <w:pPr>
              <w:spacing w:after="0"/>
            </w:pPr>
            <w:r>
              <w:rPr>
                <w:rFonts w:ascii="Carlito" w:hAnsi="Carlito" w:eastAsia="Carlito"/>
                <w:color w:val="1F2933"/>
                <w:sz w:val="15"/>
              </w:rPr>
              <w:t>Twelve Monday-to-Sunday periods from 4 January 2027 to 28 March 2027.</w:t>
            </w:r>
          </w:p>
        </w:tc>
      </w:tr>
      <w:tr>
        <w:tc>
          <w:tcPr>
            <w:tcW w:type="dxa" w:w="2664"/>
            <w:shd w:fill="F7F8F9" w:val="clear"/>
            <w:tcMar>
              <w:top w:w="60" w:type="dxa"/>
              <w:start w:w="80" w:type="dxa"/>
              <w:bottom w:w="60" w:type="dxa"/>
              <w:end w:w="80" w:type="dxa"/>
            </w:tcMar>
            <w:vAlign w:val="top"/>
          </w:tcPr>
          <w:p>
            <w:pPr>
              <w:spacing w:after="0"/>
            </w:pPr>
            <w:r>
              <w:rPr>
                <w:rFonts w:ascii="Carlito" w:hAnsi="Carlito" w:eastAsia="Carlito"/>
                <w:color w:val="1F2933"/>
                <w:sz w:val="15"/>
              </w:rPr>
              <w:t>Assessed model</w:t>
            </w:r>
          </w:p>
        </w:tc>
        <w:tc>
          <w:tcPr>
            <w:tcW w:type="dxa" w:w="7272"/>
            <w:shd w:fill="F7F8F9" w:val="clear"/>
            <w:tcMar>
              <w:top w:w="60" w:type="dxa"/>
              <w:start w:w="80" w:type="dxa"/>
              <w:bottom w:w="60" w:type="dxa"/>
              <w:end w:w="80" w:type="dxa"/>
            </w:tcMar>
            <w:vAlign w:val="top"/>
          </w:tcPr>
          <w:p>
            <w:pPr>
              <w:spacing w:after="0"/>
            </w:pPr>
            <w:r>
              <w:rPr>
                <w:rFonts w:ascii="Carlito" w:hAnsi="Carlito" w:eastAsia="Carlito"/>
                <w:color w:val="1F2933"/>
                <w:sz w:val="15"/>
              </w:rPr>
              <w:t>Bounded non-convex MINLP with exact weighted-average pooling and recursive end-to-end cost propagation.</w:t>
            </w:r>
          </w:p>
        </w:tc>
      </w:tr>
      <w:tr>
        <w:tc>
          <w:tcPr>
            <w:tcW w:type="dxa" w:w="2664"/>
            <w:tcMar>
              <w:top w:w="60" w:type="dxa"/>
              <w:start w:w="80" w:type="dxa"/>
              <w:bottom w:w="60" w:type="dxa"/>
              <w:end w:w="80" w:type="dxa"/>
            </w:tcMar>
            <w:vAlign w:val="top"/>
          </w:tcPr>
          <w:p>
            <w:pPr>
              <w:spacing w:after="0"/>
            </w:pPr>
            <w:r>
              <w:rPr>
                <w:rFonts w:ascii="Carlito" w:hAnsi="Carlito" w:eastAsia="Carlito"/>
                <w:color w:val="1F2933"/>
                <w:sz w:val="15"/>
              </w:rPr>
              <w:t>Baseline</w:t>
            </w:r>
          </w:p>
        </w:tc>
        <w:tc>
          <w:tcPr>
            <w:tcW w:type="dxa" w:w="7272"/>
            <w:tcMar>
              <w:top w:w="60" w:type="dxa"/>
              <w:start w:w="80" w:type="dxa"/>
              <w:bottom w:w="60" w:type="dxa"/>
              <w:end w:w="80" w:type="dxa"/>
            </w:tcMar>
            <w:vAlign w:val="top"/>
          </w:tcPr>
          <w:p>
            <w:pPr>
              <w:spacing w:after="0"/>
            </w:pPr>
            <w:r>
              <w:rPr>
                <w:rFonts w:ascii="Carlito" w:hAnsi="Carlito" w:eastAsia="Carlito"/>
                <w:color w:val="1F2933"/>
                <w:sz w:val="15"/>
              </w:rPr>
              <w:t>Fixed-price MILP with the same physical, commercial and timing constraints and comparator-only intermediate standard costs.</w:t>
            </w:r>
          </w:p>
        </w:tc>
      </w:tr>
      <w:tr>
        <w:tc>
          <w:tcPr>
            <w:tcW w:type="dxa" w:w="2664"/>
            <w:shd w:fill="F7F8F9" w:val="clear"/>
            <w:tcMar>
              <w:top w:w="60" w:type="dxa"/>
              <w:start w:w="80" w:type="dxa"/>
              <w:bottom w:w="60" w:type="dxa"/>
              <w:end w:w="80" w:type="dxa"/>
            </w:tcMar>
            <w:vAlign w:val="top"/>
          </w:tcPr>
          <w:p>
            <w:pPr>
              <w:spacing w:after="0"/>
            </w:pPr>
            <w:r>
              <w:rPr>
                <w:rFonts w:ascii="Carlito" w:hAnsi="Carlito" w:eastAsia="Carlito"/>
                <w:color w:val="1F2933"/>
                <w:sz w:val="15"/>
              </w:rPr>
              <w:t>Service policy</w:t>
            </w:r>
          </w:p>
        </w:tc>
        <w:tc>
          <w:tcPr>
            <w:tcW w:type="dxa" w:w="7272"/>
            <w:shd w:fill="F7F8F9" w:val="clear"/>
            <w:tcMar>
              <w:top w:w="60" w:type="dxa"/>
              <w:start w:w="80" w:type="dxa"/>
              <w:bottom w:w="60" w:type="dxa"/>
              <w:end w:w="80" w:type="dxa"/>
            </w:tcMar>
            <w:vAlign w:val="top"/>
          </w:tcPr>
          <w:p>
            <w:pPr>
              <w:spacing w:after="0"/>
            </w:pPr>
            <w:r>
              <w:rPr>
                <w:rFonts w:ascii="Carlito" w:hAnsi="Carlito" w:eastAsia="Carlito"/>
                <w:color w:val="1F2933"/>
                <w:sz w:val="15"/>
              </w:rPr>
              <w:t>Lexicographic minimisation of weighted shortage before economic cost. BASE is generated to permit zero shortage.</w:t>
            </w:r>
          </w:p>
        </w:tc>
      </w:tr>
      <w:tr>
        <w:tc>
          <w:tcPr>
            <w:tcW w:type="dxa" w:w="2664"/>
            <w:tcMar>
              <w:top w:w="60" w:type="dxa"/>
              <w:start w:w="80" w:type="dxa"/>
              <w:bottom w:w="60" w:type="dxa"/>
              <w:end w:w="80" w:type="dxa"/>
            </w:tcMar>
            <w:vAlign w:val="top"/>
          </w:tcPr>
          <w:p>
            <w:pPr>
              <w:spacing w:after="0"/>
            </w:pPr>
            <w:r>
              <w:rPr>
                <w:rFonts w:ascii="Carlito" w:hAnsi="Carlito" w:eastAsia="Carlito"/>
                <w:color w:val="1F2933"/>
                <w:sz w:val="15"/>
              </w:rPr>
              <w:t>Cost policy</w:t>
            </w:r>
          </w:p>
        </w:tc>
        <w:tc>
          <w:tcPr>
            <w:tcW w:type="dxa" w:w="7272"/>
            <w:tcMar>
              <w:top w:w="60" w:type="dxa"/>
              <w:start w:w="80" w:type="dxa"/>
              <w:bottom w:w="60" w:type="dxa"/>
              <w:end w:w="80" w:type="dxa"/>
            </w:tcMar>
            <w:vAlign w:val="top"/>
          </w:tcPr>
          <w:p>
            <w:pPr>
              <w:spacing w:after="0"/>
            </w:pPr>
            <w:r>
              <w:rPr>
                <w:rFonts w:ascii="Carlito" w:hAnsi="Carlito" w:eastAsia="Carlito"/>
                <w:color w:val="1F2933"/>
                <w:sz w:val="15"/>
              </w:rPr>
              <w:t>External boundary prices and capitalised cost additions flow recursively through material pools. Holding cost and shortage penalties remain non-capitalised.</w:t>
            </w:r>
          </w:p>
        </w:tc>
      </w:tr>
      <w:tr>
        <w:tc>
          <w:tcPr>
            <w:tcW w:type="dxa" w:w="2664"/>
            <w:shd w:fill="F7F8F9" w:val="clear"/>
            <w:tcMar>
              <w:top w:w="60" w:type="dxa"/>
              <w:start w:w="80" w:type="dxa"/>
              <w:bottom w:w="60" w:type="dxa"/>
              <w:end w:w="80" w:type="dxa"/>
            </w:tcMar>
            <w:vAlign w:val="top"/>
          </w:tcPr>
          <w:p>
            <w:pPr>
              <w:spacing w:after="0"/>
            </w:pPr>
            <w:r>
              <w:rPr>
                <w:rFonts w:ascii="Carlito" w:hAnsi="Carlito" w:eastAsia="Carlito"/>
                <w:color w:val="1F2933"/>
                <w:sz w:val="15"/>
              </w:rPr>
              <w:t>Opening inventory</w:t>
            </w:r>
          </w:p>
        </w:tc>
        <w:tc>
          <w:tcPr>
            <w:tcW w:type="dxa" w:w="7272"/>
            <w:shd w:fill="F7F8F9" w:val="clear"/>
            <w:tcMar>
              <w:top w:w="60" w:type="dxa"/>
              <w:start w:w="80" w:type="dxa"/>
              <w:bottom w:w="60" w:type="dxa"/>
              <w:end w:w="80" w:type="dxa"/>
            </w:tcMar>
            <w:vAlign w:val="top"/>
          </w:tcPr>
          <w:p>
            <w:pPr>
              <w:spacing w:after="0"/>
            </w:pPr>
            <w:r>
              <w:rPr>
                <w:rFonts w:ascii="Carlito" w:hAnsi="Carlito" w:eastAsia="Carlito"/>
                <w:color w:val="1F2933"/>
                <w:sz w:val="15"/>
              </w:rPr>
              <w:t>Opening quantity and book value participate in weighted-average pooling. Incremental new spend is reported separately.</w:t>
            </w:r>
          </w:p>
        </w:tc>
      </w:tr>
      <w:tr>
        <w:tc>
          <w:tcPr>
            <w:tcW w:type="dxa" w:w="2664"/>
            <w:tcMar>
              <w:top w:w="60" w:type="dxa"/>
              <w:start w:w="80" w:type="dxa"/>
              <w:bottom w:w="60" w:type="dxa"/>
              <w:end w:w="80" w:type="dxa"/>
            </w:tcMar>
            <w:vAlign w:val="top"/>
          </w:tcPr>
          <w:p>
            <w:pPr>
              <w:spacing w:after="0"/>
            </w:pPr>
            <w:r>
              <w:rPr>
                <w:rFonts w:ascii="Carlito" w:hAnsi="Carlito" w:eastAsia="Carlito"/>
                <w:color w:val="1F2933"/>
                <w:sz w:val="15"/>
              </w:rPr>
              <w:t>Resilience challenge</w:t>
            </w:r>
          </w:p>
        </w:tc>
        <w:tc>
          <w:tcPr>
            <w:tcW w:type="dxa" w:w="7272"/>
            <w:tcMar>
              <w:top w:w="60" w:type="dxa"/>
              <w:start w:w="80" w:type="dxa"/>
              <w:bottom w:w="60" w:type="dxa"/>
              <w:end w:w="80" w:type="dxa"/>
            </w:tcMar>
            <w:vAlign w:val="top"/>
          </w:tcPr>
          <w:p>
            <w:pPr>
              <w:spacing w:after="0"/>
            </w:pPr>
            <w:r>
              <w:rPr>
                <w:rFonts w:ascii="Carlito" w:hAnsi="Carlito" w:eastAsia="Carlito"/>
                <w:color w:val="1F2933"/>
                <w:sz w:val="15"/>
              </w:rPr>
              <w:t>Consultants evaluate all supplied disruptions, define suitable resilience measures and implement at least one intervention without receiving a prescribed concentration formula.</w:t>
            </w:r>
          </w:p>
        </w:tc>
      </w:tr>
      <w:tr>
        <w:tc>
          <w:tcPr>
            <w:tcW w:type="dxa" w:w="2664"/>
            <w:shd w:fill="F7F8F9" w:val="clear"/>
            <w:tcMar>
              <w:top w:w="60" w:type="dxa"/>
              <w:start w:w="80" w:type="dxa"/>
              <w:bottom w:w="60" w:type="dxa"/>
              <w:end w:w="80" w:type="dxa"/>
            </w:tcMar>
            <w:vAlign w:val="top"/>
          </w:tcPr>
          <w:p>
            <w:pPr>
              <w:spacing w:after="0"/>
            </w:pPr>
            <w:r>
              <w:rPr>
                <w:rFonts w:ascii="Carlito" w:hAnsi="Carlito" w:eastAsia="Carlito"/>
                <w:color w:val="1F2933"/>
                <w:sz w:val="15"/>
              </w:rPr>
              <w:t>In-flight supply</w:t>
            </w:r>
          </w:p>
        </w:tc>
        <w:tc>
          <w:tcPr>
            <w:tcW w:type="dxa" w:w="7272"/>
            <w:shd w:fill="F7F8F9" w:val="clear"/>
            <w:tcMar>
              <w:top w:w="60" w:type="dxa"/>
              <w:start w:w="80" w:type="dxa"/>
              <w:bottom w:w="60" w:type="dxa"/>
              <w:end w:w="80" w:type="dxa"/>
            </w:tcMar>
            <w:vAlign w:val="top"/>
          </w:tcPr>
          <w:p>
            <w:pPr>
              <w:spacing w:after="0"/>
            </w:pPr>
            <w:r>
              <w:rPr>
                <w:rFonts w:ascii="Carlito" w:hAnsi="Carlito" w:eastAsia="Carlito"/>
                <w:color w:val="1F2933"/>
                <w:sz w:val="15"/>
              </w:rPr>
              <w:t>Open purchase orders and in-transit shipments are excluded from release 1 and reserved for a future rolling-horizon extension.</w:t>
            </w:r>
          </w:p>
        </w:tc>
      </w:tr>
      <w:tr>
        <w:tc>
          <w:tcPr>
            <w:tcW w:type="dxa" w:w="2664"/>
            <w:tcMar>
              <w:top w:w="60" w:type="dxa"/>
              <w:start w:w="80" w:type="dxa"/>
              <w:bottom w:w="60" w:type="dxa"/>
              <w:end w:w="80" w:type="dxa"/>
            </w:tcMar>
            <w:vAlign w:val="top"/>
          </w:tcPr>
          <w:p>
            <w:pPr>
              <w:spacing w:after="0"/>
            </w:pPr>
            <w:r>
              <w:rPr>
                <w:rFonts w:ascii="Carlito" w:hAnsi="Carlito" w:eastAsia="Carlito"/>
                <w:color w:val="1F2933"/>
                <w:sz w:val="15"/>
              </w:rPr>
              <w:t>Solution expectation</w:t>
            </w:r>
          </w:p>
        </w:tc>
        <w:tc>
          <w:tcPr>
            <w:tcW w:type="dxa" w:w="7272"/>
            <w:tcMar>
              <w:top w:w="60" w:type="dxa"/>
              <w:start w:w="80" w:type="dxa"/>
              <w:bottom w:w="60" w:type="dxa"/>
              <w:end w:w="80" w:type="dxa"/>
            </w:tcMar>
            <w:vAlign w:val="top"/>
          </w:tcPr>
          <w:p>
            <w:pPr>
              <w:spacing w:after="0"/>
            </w:pPr>
            <w:r>
              <w:rPr>
                <w:rFonts w:ascii="Carlito" w:hAnsi="Carlito" w:eastAsia="Carlito"/>
                <w:color w:val="1F2933"/>
                <w:sz w:val="15"/>
              </w:rPr>
              <w:t>Correct bounded formulation, defensible feasible result, reconciliation and honest status reporting. Global optimality is not mandatory for the main case.</w:t>
            </w:r>
          </w:p>
        </w:tc>
      </w:tr>
      <w:tr>
        <w:tc>
          <w:tcPr>
            <w:tcW w:type="dxa" w:w="2664"/>
            <w:shd w:fill="F7F8F9" w:val="clear"/>
            <w:tcMar>
              <w:top w:w="60" w:type="dxa"/>
              <w:start w:w="80" w:type="dxa"/>
              <w:bottom w:w="60" w:type="dxa"/>
              <w:end w:w="80" w:type="dxa"/>
            </w:tcMar>
            <w:vAlign w:val="top"/>
          </w:tcPr>
          <w:p>
            <w:pPr>
              <w:spacing w:after="0"/>
            </w:pPr>
            <w:r>
              <w:rPr>
                <w:rFonts w:ascii="Carlito" w:hAnsi="Carlito" w:eastAsia="Carlito"/>
                <w:color w:val="1F2933"/>
                <w:sz w:val="15"/>
              </w:rPr>
              <w:t>Output</w:t>
            </w:r>
          </w:p>
        </w:tc>
        <w:tc>
          <w:tcPr>
            <w:tcW w:type="dxa" w:w="7272"/>
            <w:shd w:fill="F7F8F9" w:val="clear"/>
            <w:tcMar>
              <w:top w:w="60" w:type="dxa"/>
              <w:start w:w="80" w:type="dxa"/>
              <w:bottom w:w="60" w:type="dxa"/>
              <w:end w:w="80" w:type="dxa"/>
            </w:tcMar>
            <w:vAlign w:val="top"/>
          </w:tcPr>
          <w:p>
            <w:pPr>
              <w:spacing w:after="0"/>
            </w:pPr>
            <w:r>
              <w:rPr>
                <w:rFonts w:ascii="Carlito" w:hAnsi="Carlito" w:eastAsia="Carlito"/>
                <w:color w:val="1F2933"/>
                <w:sz w:val="15"/>
              </w:rPr>
              <w:t>Interactive application, source code, tests, standard artefacts, client-style presentation, production-readiness note, AI disclosure and technical defence.</w:t>
            </w:r>
          </w:p>
        </w:tc>
      </w:tr>
    </w:tbl>
    <w:p>
      <w:pPr>
        <w:spacing w:after="0"/>
      </w:pPr>
    </w:p>
    <w:p>
      <w:pPr>
        <w:pStyle w:val="Heading1"/>
      </w:pPr>
      <w:r>
        <w:t>3. Decision register</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Decision</w:t>
            </w:r>
          </w:p>
        </w:tc>
        <w:tc>
          <w:tcPr>
            <w:tcW w:type="dxa" w:w="1584"/>
            <w:shd w:fill="17365D" w:val="clear"/>
            <w:tcMar>
              <w:top w:w="60" w:type="dxa"/>
              <w:start w:w="80" w:type="dxa"/>
              <w:bottom w:w="60" w:type="dxa"/>
              <w:end w:w="80" w:type="dxa"/>
            </w:tcMar>
            <w:vAlign w:val="center"/>
          </w:tcPr>
          <w:p>
            <w:pPr>
              <w:spacing w:after="0"/>
            </w:pPr>
            <w:r>
              <w:rPr>
                <w:rFonts w:ascii="Carlito" w:hAnsi="Carlito" w:eastAsia="Carlito"/>
                <w:b/>
                <w:color w:val="FFFFFF"/>
                <w:sz w:val="15"/>
              </w:rPr>
              <w:t>Status</w:t>
            </w:r>
          </w:p>
        </w:tc>
        <w:tc>
          <w:tcPr>
            <w:tcW w:type="dxa" w:w="6120"/>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Resolution</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Business narrative</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Asterion Industrial Controls Group; four European plants; industrial controls; EUR group reporting currency.</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Network model</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Tier-neutral DAG using node, material, arc and recipe sets. Release 1 uses tiers 1-4, where Tier 1 is nearest Asterion.</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Planning calendar</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Twelve weekly periods, 4 January to 28 March 2027. No open orders or in-transit supply.</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Material-flow timing</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Weekly dispatch-arrival lags. Receipts and completed production are available within their recorded week. No WIP valuation.</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Optimisation class</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Non-convex MINLP caused by weighted-average pool-cost equalities and decision-dependent recursive value propagation.</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Baseline class</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Fixed-price MILP using identical physical and commercial controls.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Cost capitalisation</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External purchase, freight, duty, insurance, conversion, setup, eligible overhead, surge, directly attributable fixed order/shipment cost and supplier markup are capitalised according to explicit rules.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Non-capitalised cost</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Holding cost, horizon relationship activation, shortage penalty and explicitly classified period expenses enter the objective separately.</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Markup convention</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Configured exogenous rate applied once to eligible input value, variable conversion, fixed setup and eligible overhead at a transformation.</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Opening inventory</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Book value enters the pool. Accounting cost and incremental procurement spend are both reported.</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Recipe blending</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Frozen in principle</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Alternative recipes may blend unless an exclusive recipe group is configured.</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Objective hierarchy</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Frozen</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Stage 1 shortage, Stage 2 recursive economic value plus non-capitalised cost, Stage 3 surplus and unnecessary activation tie-break.</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Scenario semantics</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Frozen in principle</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Tier-neutral entity and period targeting, deterministic precedence, explicit recovery and immutable BASE data.</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Reference strategy</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Controlled through ADR</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MILP baseline plus approved non-convex solver adapter, miniature hand-check and best-known main-case results.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Risk measures</w:t>
            </w:r>
          </w:p>
        </w:tc>
        <w:tc>
          <w:tcPr>
            <w:tcW w:type="dxa" w:w="1584"/>
            <w:tcMar>
              <w:top w:w="60" w:type="dxa"/>
              <w:start w:w="80" w:type="dxa"/>
              <w:bottom w:w="60" w:type="dxa"/>
              <w:end w:w="80" w:type="dxa"/>
            </w:tcMar>
            <w:vAlign w:val="top"/>
          </w:tcPr>
          <w:p>
            <w:pPr>
              <w:spacing w:after="0"/>
            </w:pPr>
            <w:r>
              <w:rPr>
                <w:rFonts w:ascii="Carlito" w:hAnsi="Carlito" w:eastAsia="Carlito"/>
                <w:color w:val="1F2933"/>
                <w:sz w:val="15"/>
              </w:rPr>
              <w:t>Purpose frozen; formula open</w:t>
            </w:r>
          </w:p>
        </w:tc>
        <w:tc>
          <w:tcPr>
            <w:tcW w:type="dxa" w:w="6120"/>
            <w:tcMar>
              <w:top w:w="60" w:type="dxa"/>
              <w:start w:w="80" w:type="dxa"/>
              <w:bottom w:w="60" w:type="dxa"/>
              <w:end w:w="80" w:type="dxa"/>
            </w:tcMar>
            <w:vAlign w:val="top"/>
          </w:tcPr>
          <w:p>
            <w:pPr>
              <w:spacing w:after="0"/>
            </w:pPr>
            <w:r>
              <w:rPr>
                <w:rFonts w:ascii="Carlito" w:hAnsi="Carlito" w:eastAsia="Carlito"/>
                <w:color w:val="1F2933"/>
                <w:sz w:val="15"/>
              </w:rPr>
              <w:t>Resilience and concentration must be considered. Students choose and justify measures and interventions.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Assessment policy</w:t>
            </w:r>
          </w:p>
        </w:tc>
        <w:tc>
          <w:tcPr>
            <w:tcW w:type="dxa" w:w="1584"/>
            <w:shd w:fill="F7F8F9" w:val="clear"/>
            <w:tcMar>
              <w:top w:w="60" w:type="dxa"/>
              <w:start w:w="80" w:type="dxa"/>
              <w:bottom w:w="60" w:type="dxa"/>
              <w:end w:w="80" w:type="dxa"/>
            </w:tcMar>
            <w:vAlign w:val="top"/>
          </w:tcPr>
          <w:p>
            <w:pPr>
              <w:spacing w:after="0"/>
            </w:pPr>
            <w:r>
              <w:rPr>
                <w:rFonts w:ascii="Carlito" w:hAnsi="Carlito" w:eastAsia="Carlito"/>
                <w:color w:val="1F2933"/>
                <w:sz w:val="15"/>
              </w:rPr>
              <w:t>Inherited and specialised</w:t>
            </w:r>
          </w:p>
        </w:tc>
        <w:tc>
          <w:tcPr>
            <w:tcW w:type="dxa" w:w="6120"/>
            <w:shd w:fill="F7F8F9" w:val="clear"/>
            <w:tcMar>
              <w:top w:w="60" w:type="dxa"/>
              <w:start w:w="80" w:type="dxa"/>
              <w:bottom w:w="60" w:type="dxa"/>
              <w:end w:w="80" w:type="dxa"/>
            </w:tcMar>
            <w:vAlign w:val="top"/>
          </w:tcPr>
          <w:p>
            <w:pPr>
              <w:spacing w:after="0"/>
            </w:pPr>
            <w:r>
              <w:rPr>
                <w:rFonts w:ascii="Carlito" w:hAnsi="Carlito" w:eastAsia="Carlito"/>
                <w:color w:val="1F2933"/>
                <w:sz w:val="15"/>
              </w:rPr>
              <w:t>Deterministic physical and value reconciliation precedes AI scoring and technical defence.</w:t>
            </w:r>
          </w:p>
        </w:tc>
      </w:tr>
    </w:tbl>
    <w:p>
      <w:pPr>
        <w:spacing w:after="0"/>
      </w:pPr>
    </w:p>
    <w:p>
      <w:pPr>
        <w:pStyle w:val="Heading1"/>
      </w:pPr>
      <w:r>
        <w:t>4. Business narrative and planning workflow</w:t>
      </w:r>
    </w:p>
    <w:p>
      <w:pPr>
        <w:pStyle w:val="Heading2"/>
      </w:pPr>
      <w:r>
        <w:t>4.1 Fictional organisation</w:t>
      </w:r>
    </w:p>
    <w:p>
      <w:pPr>
        <w:spacing w:after="90"/>
      </w:pPr>
      <w:r>
        <w:t>Asterion Industrial Controls Group is a fictional European manufacturer of variable-speed motor drives, industrial motor-control units, power-distribution control cabinets and remote equipment-monitoring modules. Its customers include manufacturers, logistics facilities, utilities and industrial infrastructure operators.</w:t>
      </w:r>
    </w:p>
    <w:p>
      <w:pPr>
        <w:spacing w:after="90"/>
      </w:pPr>
      <w:r>
        <w:t>The capstone focuses on the procurement, transformation and component-supply decision that supports final assembly. Finished-product demand forecasting and detailed final-assembly scheduling are outside release 1.</w:t>
      </w:r>
    </w:p>
    <w:p>
      <w:pPr>
        <w:pStyle w:val="Heading2"/>
      </w:pPr>
      <w:r>
        <w:t>4.2 Plants and currency context</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2016"/>
            <w:shd w:fill="17365D" w:val="clear"/>
            <w:tcMar>
              <w:top w:w="60" w:type="dxa"/>
              <w:start w:w="80" w:type="dxa"/>
              <w:bottom w:w="60" w:type="dxa"/>
              <w:end w:w="80" w:type="dxa"/>
            </w:tcMar>
            <w:vAlign w:val="center"/>
          </w:tcPr>
          <w:p>
            <w:pPr>
              <w:spacing w:after="0"/>
            </w:pPr>
            <w:r>
              <w:rPr>
                <w:rFonts w:ascii="Carlito" w:hAnsi="Carlito" w:eastAsia="Carlito"/>
                <w:b/>
                <w:color w:val="FFFFFF"/>
                <w:sz w:val="16"/>
              </w:rPr>
              <w:t>Plant</w:t>
            </w:r>
          </w:p>
        </w:tc>
        <w:tc>
          <w:tcPr>
            <w:tcW w:type="dxa" w:w="1944"/>
            <w:shd w:fill="17365D" w:val="clear"/>
            <w:tcMar>
              <w:top w:w="60" w:type="dxa"/>
              <w:start w:w="80" w:type="dxa"/>
              <w:bottom w:w="60" w:type="dxa"/>
              <w:end w:w="80" w:type="dxa"/>
            </w:tcMar>
            <w:vAlign w:val="center"/>
          </w:tcPr>
          <w:p>
            <w:pPr>
              <w:spacing w:after="0"/>
            </w:pPr>
            <w:r>
              <w:rPr>
                <w:rFonts w:ascii="Carlito" w:hAnsi="Carlito" w:eastAsia="Carlito"/>
                <w:b/>
                <w:color w:val="FFFFFF"/>
                <w:sz w:val="16"/>
              </w:rPr>
              <w:t>Country</w:t>
            </w:r>
          </w:p>
        </w:tc>
        <w:tc>
          <w:tcPr>
            <w:tcW w:type="dxa" w:w="4824"/>
            <w:shd w:fill="17365D" w:val="clear"/>
            <w:tcMar>
              <w:top w:w="60" w:type="dxa"/>
              <w:start w:w="80" w:type="dxa"/>
              <w:bottom w:w="60" w:type="dxa"/>
              <w:end w:w="80" w:type="dxa"/>
            </w:tcMar>
            <w:vAlign w:val="center"/>
          </w:tcPr>
          <w:p>
            <w:pPr>
              <w:spacing w:after="0"/>
            </w:pPr>
            <w:r>
              <w:rPr>
                <w:rFonts w:ascii="Carlito" w:hAnsi="Carlito" w:eastAsia="Carlito"/>
                <w:b/>
                <w:color w:val="FFFFFF"/>
                <w:sz w:val="16"/>
              </w:rPr>
              <w:t>Primary role</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6"/>
              </w:rPr>
              <w:t>Local currency</w:t>
            </w:r>
          </w:p>
        </w:tc>
      </w:tr>
      <w:tr>
        <w:tc>
          <w:tcPr>
            <w:tcW w:type="dxa" w:w="2016"/>
            <w:tcMar>
              <w:top w:w="60" w:type="dxa"/>
              <w:start w:w="80" w:type="dxa"/>
              <w:bottom w:w="60" w:type="dxa"/>
              <w:end w:w="80" w:type="dxa"/>
            </w:tcMar>
            <w:vAlign w:val="top"/>
          </w:tcPr>
          <w:p>
            <w:pPr>
              <w:spacing w:after="0"/>
            </w:pPr>
            <w:r>
              <w:rPr>
                <w:rFonts w:ascii="Carlito" w:hAnsi="Carlito" w:eastAsia="Carlito"/>
                <w:color w:val="1F2933"/>
                <w:sz w:val="16"/>
              </w:rPr>
              <w:t>Birmingham</w:t>
            </w:r>
          </w:p>
        </w:tc>
        <w:tc>
          <w:tcPr>
            <w:tcW w:type="dxa" w:w="1944"/>
            <w:tcMar>
              <w:top w:w="60" w:type="dxa"/>
              <w:start w:w="80" w:type="dxa"/>
              <w:bottom w:w="60" w:type="dxa"/>
              <w:end w:w="80" w:type="dxa"/>
            </w:tcMar>
            <w:vAlign w:val="top"/>
          </w:tcPr>
          <w:p>
            <w:pPr>
              <w:spacing w:after="0"/>
            </w:pPr>
            <w:r>
              <w:rPr>
                <w:rFonts w:ascii="Carlito" w:hAnsi="Carlito" w:eastAsia="Carlito"/>
                <w:color w:val="1F2933"/>
                <w:sz w:val="16"/>
              </w:rPr>
              <w:t>United Kingdom</w:t>
            </w:r>
          </w:p>
        </w:tc>
        <w:tc>
          <w:tcPr>
            <w:tcW w:type="dxa" w:w="4824"/>
            <w:tcMar>
              <w:top w:w="60" w:type="dxa"/>
              <w:start w:w="80" w:type="dxa"/>
              <w:bottom w:w="60" w:type="dxa"/>
              <w:end w:w="80" w:type="dxa"/>
            </w:tcMar>
            <w:vAlign w:val="top"/>
          </w:tcPr>
          <w:p>
            <w:pPr>
              <w:spacing w:after="0"/>
            </w:pPr>
            <w:r>
              <w:rPr>
                <w:rFonts w:ascii="Carlito" w:hAnsi="Carlito" w:eastAsia="Carlito"/>
                <w:color w:val="1F2933"/>
                <w:sz w:val="16"/>
              </w:rPr>
              <w:t>Motor-control units and control cabinets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6"/>
              </w:rPr>
              <w:t>GBP</w:t>
            </w:r>
          </w:p>
        </w:tc>
      </w:tr>
      <w:tr>
        <w:tc>
          <w:tcPr>
            <w:tcW w:type="dxa" w:w="2016"/>
            <w:shd w:fill="F7F8F9" w:val="clear"/>
            <w:tcMar>
              <w:top w:w="60" w:type="dxa"/>
              <w:start w:w="80" w:type="dxa"/>
              <w:bottom w:w="60" w:type="dxa"/>
              <w:end w:w="80" w:type="dxa"/>
            </w:tcMar>
            <w:vAlign w:val="top"/>
          </w:tcPr>
          <w:p>
            <w:pPr>
              <w:spacing w:after="0"/>
            </w:pPr>
            <w:r>
              <w:rPr>
                <w:rFonts w:ascii="Carlito" w:hAnsi="Carlito" w:eastAsia="Carlito"/>
                <w:color w:val="1F2933"/>
                <w:sz w:val="16"/>
              </w:rPr>
              <w:t>Dortmund</w:t>
            </w:r>
          </w:p>
        </w:tc>
        <w:tc>
          <w:tcPr>
            <w:tcW w:type="dxa" w:w="1944"/>
            <w:shd w:fill="F7F8F9" w:val="clear"/>
            <w:tcMar>
              <w:top w:w="60" w:type="dxa"/>
              <w:start w:w="80" w:type="dxa"/>
              <w:bottom w:w="60" w:type="dxa"/>
              <w:end w:w="80" w:type="dxa"/>
            </w:tcMar>
            <w:vAlign w:val="top"/>
          </w:tcPr>
          <w:p>
            <w:pPr>
              <w:spacing w:after="0"/>
            </w:pPr>
            <w:r>
              <w:rPr>
                <w:rFonts w:ascii="Carlito" w:hAnsi="Carlito" w:eastAsia="Carlito"/>
                <w:color w:val="1F2933"/>
                <w:sz w:val="16"/>
              </w:rPr>
              <w:t>Germany</w:t>
            </w:r>
          </w:p>
        </w:tc>
        <w:tc>
          <w:tcPr>
            <w:tcW w:type="dxa" w:w="4824"/>
            <w:shd w:fill="F7F8F9" w:val="clear"/>
            <w:tcMar>
              <w:top w:w="60" w:type="dxa"/>
              <w:start w:w="80" w:type="dxa"/>
              <w:bottom w:w="60" w:type="dxa"/>
              <w:end w:w="80" w:type="dxa"/>
            </w:tcMar>
            <w:vAlign w:val="top"/>
          </w:tcPr>
          <w:p>
            <w:pPr>
              <w:spacing w:after="0"/>
            </w:pPr>
            <w:r>
              <w:rPr>
                <w:rFonts w:ascii="Carlito" w:hAnsi="Carlito" w:eastAsia="Carlito"/>
                <w:color w:val="1F2933"/>
                <w:sz w:val="16"/>
              </w:rPr>
              <w:t>Variable-speed drives and high-capacity control systems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6"/>
              </w:rPr>
              <w:t>EUR</w:t>
            </w:r>
          </w:p>
        </w:tc>
      </w:tr>
      <w:tr>
        <w:tc>
          <w:tcPr>
            <w:tcW w:type="dxa" w:w="2016"/>
            <w:tcMar>
              <w:top w:w="60" w:type="dxa"/>
              <w:start w:w="80" w:type="dxa"/>
              <w:bottom w:w="60" w:type="dxa"/>
              <w:end w:w="80" w:type="dxa"/>
            </w:tcMar>
            <w:vAlign w:val="top"/>
          </w:tcPr>
          <w:p>
            <w:pPr>
              <w:spacing w:after="0"/>
            </w:pPr>
            <w:r>
              <w:rPr>
                <w:rFonts w:ascii="Carlito" w:hAnsi="Carlito" w:eastAsia="Carlito"/>
                <w:color w:val="1F2933"/>
                <w:sz w:val="16"/>
              </w:rPr>
              <w:t>Katowice</w:t>
            </w:r>
          </w:p>
        </w:tc>
        <w:tc>
          <w:tcPr>
            <w:tcW w:type="dxa" w:w="1944"/>
            <w:tcMar>
              <w:top w:w="60" w:type="dxa"/>
              <w:start w:w="80" w:type="dxa"/>
              <w:bottom w:w="60" w:type="dxa"/>
              <w:end w:w="80" w:type="dxa"/>
            </w:tcMar>
            <w:vAlign w:val="top"/>
          </w:tcPr>
          <w:p>
            <w:pPr>
              <w:spacing w:after="0"/>
            </w:pPr>
            <w:r>
              <w:rPr>
                <w:rFonts w:ascii="Carlito" w:hAnsi="Carlito" w:eastAsia="Carlito"/>
                <w:color w:val="1F2933"/>
                <w:sz w:val="16"/>
              </w:rPr>
              <w:t>Poland</w:t>
            </w:r>
          </w:p>
        </w:tc>
        <w:tc>
          <w:tcPr>
            <w:tcW w:type="dxa" w:w="4824"/>
            <w:tcMar>
              <w:top w:w="60" w:type="dxa"/>
              <w:start w:w="80" w:type="dxa"/>
              <w:bottom w:w="60" w:type="dxa"/>
              <w:end w:w="80" w:type="dxa"/>
            </w:tcMar>
            <w:vAlign w:val="top"/>
          </w:tcPr>
          <w:p>
            <w:pPr>
              <w:spacing w:after="0"/>
            </w:pPr>
            <w:r>
              <w:rPr>
                <w:rFonts w:ascii="Carlito" w:hAnsi="Carlito" w:eastAsia="Carlito"/>
                <w:color w:val="1F2933"/>
                <w:sz w:val="16"/>
              </w:rPr>
              <w:t>Standard control units and monitoring devices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6"/>
              </w:rPr>
              <w:t>PLN</w:t>
            </w:r>
          </w:p>
        </w:tc>
      </w:tr>
      <w:tr>
        <w:tc>
          <w:tcPr>
            <w:tcW w:type="dxa" w:w="2016"/>
            <w:shd w:fill="F7F8F9" w:val="clear"/>
            <w:tcMar>
              <w:top w:w="60" w:type="dxa"/>
              <w:start w:w="80" w:type="dxa"/>
              <w:bottom w:w="60" w:type="dxa"/>
              <w:end w:w="80" w:type="dxa"/>
            </w:tcMar>
            <w:vAlign w:val="top"/>
          </w:tcPr>
          <w:p>
            <w:pPr>
              <w:spacing w:after="0"/>
            </w:pPr>
            <w:r>
              <w:rPr>
                <w:rFonts w:ascii="Carlito" w:hAnsi="Carlito" w:eastAsia="Carlito"/>
                <w:color w:val="1F2933"/>
                <w:sz w:val="16"/>
              </w:rPr>
              <w:t>Zaragoza</w:t>
            </w:r>
          </w:p>
        </w:tc>
        <w:tc>
          <w:tcPr>
            <w:tcW w:type="dxa" w:w="1944"/>
            <w:shd w:fill="F7F8F9" w:val="clear"/>
            <w:tcMar>
              <w:top w:w="60" w:type="dxa"/>
              <w:start w:w="80" w:type="dxa"/>
              <w:bottom w:w="60" w:type="dxa"/>
              <w:end w:w="80" w:type="dxa"/>
            </w:tcMar>
            <w:vAlign w:val="top"/>
          </w:tcPr>
          <w:p>
            <w:pPr>
              <w:spacing w:after="0"/>
            </w:pPr>
            <w:r>
              <w:rPr>
                <w:rFonts w:ascii="Carlito" w:hAnsi="Carlito" w:eastAsia="Carlito"/>
                <w:color w:val="1F2933"/>
                <w:sz w:val="16"/>
              </w:rPr>
              <w:t>Spain</w:t>
            </w:r>
          </w:p>
        </w:tc>
        <w:tc>
          <w:tcPr>
            <w:tcW w:type="dxa" w:w="4824"/>
            <w:shd w:fill="F7F8F9" w:val="clear"/>
            <w:tcMar>
              <w:top w:w="60" w:type="dxa"/>
              <w:start w:w="80" w:type="dxa"/>
              <w:bottom w:w="60" w:type="dxa"/>
              <w:end w:w="80" w:type="dxa"/>
            </w:tcMar>
            <w:vAlign w:val="top"/>
          </w:tcPr>
          <w:p>
            <w:pPr>
              <w:spacing w:after="0"/>
            </w:pPr>
            <w:r>
              <w:rPr>
                <w:rFonts w:ascii="Carlito" w:hAnsi="Carlito" w:eastAsia="Carlito"/>
                <w:color w:val="1F2933"/>
                <w:sz w:val="16"/>
              </w:rPr>
              <w:t>Remote monitoring units and regional configurations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6"/>
              </w:rPr>
              <w:t>EUR</w:t>
            </w:r>
          </w:p>
        </w:tc>
      </w:tr>
    </w:tbl>
    <w:p>
      <w:pPr>
        <w:spacing w:after="0"/>
      </w:pPr>
    </w:p>
    <w:p>
      <w:pPr>
        <w:spacing w:after="90"/>
      </w:pPr>
      <w:r>
        <w:t>EUR is the group reporting and optimisation currency. Plant production plans are supplied as fixed weekly terminal-component demand.</w:t>
      </w:r>
    </w:p>
    <w:p>
      <w:pPr>
        <w:pStyle w:val="Heading2"/>
      </w:pPr>
      <w:r>
        <w:t>4.3 Commercial authority</w:t>
      </w:r>
    </w:p>
    <w:p>
      <w:pPr>
        <w:spacing w:after="90"/>
      </w:pPr>
      <w:r>
        <w:t>Asterion operates a nominated-source and open-cost programme for selected critical components. Participating Tier 1-Tier 3 suppliers provide approved BOM, source, conversion-cost and markup information. Asterion may nominate or constrain upstream sources and indicative volumes through commercial agreements.</w:t>
      </w:r>
    </w:p>
    <w:tbl>
      <w:tblPr>
        <w:tblW w:type="auto" w:w="0"/>
        <w:jc w:val="center"/>
        <w:tblLayout w:type="fixed"/>
        <w:tblLook w:firstColumn="1" w:firstRow="1" w:lastColumn="0" w:lastRow="0" w:noHBand="0" w:noVBand="1" w:val="04A0"/>
      </w:tblPr>
      <w:tblGrid>
        <w:gridCol w:w="9936"/>
      </w:tblGrid>
      <w:tr>
        <w:tc>
          <w:tcPr>
            <w:tcW w:type="dxa" w:w="10119"/>
            <w:shd w:fill="FFF4D6" w:val="clear"/>
            <w:tcMar>
              <w:top w:w="100" w:type="dxa"/>
              <w:start w:w="130" w:type="dxa"/>
              <w:bottom w:w="100" w:type="dxa"/>
              <w:end w:w="130" w:type="dxa"/>
            </w:tcMar>
            <w:tcBorders>
              <w:top w:val="nil"/>
              <w:start w:val="single" w:sz="18" w:color="C58A00"/>
              <w:bottom w:val="nil"/>
              <w:end w:val="nil"/>
            </w:tcBorders>
          </w:tcPr>
          <w:p>
            <w:pPr>
              <w:spacing w:after="40"/>
            </w:pPr>
            <w:r>
              <w:rPr>
                <w:rFonts w:ascii="Carlito" w:hAnsi="Carlito" w:eastAsia="Carlito"/>
                <w:b/>
                <w:color w:val="C58A00"/>
                <w:sz w:val="18"/>
              </w:rPr>
              <w:t>Terminology control</w:t>
            </w:r>
          </w:p>
          <w:p>
            <w:pPr>
              <w:spacing w:after="0"/>
            </w:pPr>
            <w:r>
              <w:rPr>
                <w:rFonts w:ascii="Carlito" w:hAnsi="Carlito" w:eastAsia="Carlito"/>
                <w:color w:val="1F2933"/>
                <w:sz w:val="18"/>
              </w:rPr>
              <w:t>The calculated pooled unit cost is a modelling value used for coordinated sourcing and cost traceability. It should be described as a supplier price only when the configured commercial agreement supports that interpretation.</w:t>
            </w:r>
          </w:p>
        </w:tc>
      </w:tr>
    </w:tbl>
    <w:p>
      <w:pPr>
        <w:spacing w:after="0"/>
      </w:pPr>
    </w:p>
    <w:p>
      <w:pPr>
        <w:pStyle w:val="Heading2"/>
      </w:pPr>
      <w:r>
        <w:t>4.4 Intended business user</w:t>
      </w:r>
    </w:p>
    <w:tbl>
      <w:tblPr>
        <w:tblW w:type="auto" w:w="0"/>
        <w:jc w:val="center"/>
        <w:tblLayout w:type="fixed"/>
        <w:tblLook w:firstColumn="1" w:firstRow="1" w:lastColumn="0" w:lastRow="0" w:noHBand="0" w:noVBand="1" w:val="04A0"/>
      </w:tblPr>
      <w:tblGrid>
        <w:gridCol w:w="9936"/>
      </w:tblGrid>
      <w:tr>
        <w:tc>
          <w:tcPr>
            <w:tcW w:type="dxa" w:w="10119"/>
            <w:shd w:fill="EAF1F7" w:val="clear"/>
            <w:tcMar>
              <w:top w:w="100" w:type="dxa"/>
              <w:start w:w="130" w:type="dxa"/>
              <w:bottom w:w="100" w:type="dxa"/>
              <w:end w:w="130" w:type="dxa"/>
            </w:tcMar>
            <w:tcBorders>
              <w:top w:val="nil"/>
              <w:start w:val="single" w:sz="18" w:color="2F7D8C"/>
              <w:bottom w:val="nil"/>
              <w:end w:val="nil"/>
            </w:tcBorders>
          </w:tcPr>
          <w:p>
            <w:pPr>
              <w:spacing w:after="40"/>
            </w:pPr>
            <w:r>
              <w:rPr>
                <w:rFonts w:ascii="Carlito" w:hAnsi="Carlito" w:eastAsia="Carlito"/>
                <w:b/>
                <w:color w:val="2F7D8C"/>
                <w:sz w:val="18"/>
              </w:rPr>
              <w:t>Primary customer persona</w:t>
            </w:r>
          </w:p>
          <w:p>
            <w:pPr>
              <w:spacing w:after="0"/>
            </w:pPr>
            <w:r>
              <w:rPr>
                <w:rFonts w:ascii="Carlito" w:hAnsi="Carlito" w:eastAsia="Carlito"/>
                <w:color w:val="1F2933"/>
                <w:sz w:val="18"/>
              </w:rPr>
              <w:t>A European supply-planning and category-management team responsible for terminal-component availability, coordinated upstream sourcing, total embedded cost and disruption resilience across Asterion plants.</w:t>
            </w:r>
          </w:p>
        </w:tc>
      </w:tr>
    </w:tbl>
    <w:p>
      <w:pPr>
        <w:spacing w:after="0"/>
      </w:pPr>
    </w:p>
    <w:p>
      <w:pPr>
        <w:pStyle w:val="Heading2"/>
      </w:pPr>
      <w:r>
        <w:t>4.5 Weekly planning workflow</w:t>
      </w:r>
    </w:p>
    <w:p>
      <w:pPr>
        <w:spacing w:after="50"/>
        <w:ind w:left="317" w:hanging="317"/>
      </w:pPr>
      <w:r>
        <w:rPr>
          <w:b/>
        </w:rPr>
        <w:t xml:space="preserve">1. </w:t>
      </w:r>
      <w:r>
        <w:t>Load fixed terminal demand, opening inventory quantity and book value, approved network data and current cost assumptions.</w:t>
      </w:r>
    </w:p>
    <w:p>
      <w:pPr>
        <w:spacing w:after="50"/>
        <w:ind w:left="317" w:hanging="317"/>
      </w:pPr>
      <w:r>
        <w:rPr>
          <w:b/>
        </w:rPr>
        <w:t xml:space="preserve">2. </w:t>
      </w:r>
      <w:r>
        <w:t>Run the fixed-price MILP baseline under BASE.</w:t>
      </w:r>
    </w:p>
    <w:p>
      <w:pPr>
        <w:spacing w:after="50"/>
        <w:ind w:left="317" w:hanging="317"/>
      </w:pPr>
      <w:r>
        <w:rPr>
          <w:b/>
        </w:rPr>
        <w:t xml:space="preserve">3. </w:t>
      </w:r>
      <w:r>
        <w:t>Run or retrieve the recursive-cost MINLP result and reconcile every active quantity and value pool.</w:t>
      </w:r>
    </w:p>
    <w:p>
      <w:pPr>
        <w:spacing w:after="50"/>
        <w:ind w:left="317" w:hanging="317"/>
      </w:pPr>
      <w:r>
        <w:rPr>
          <w:b/>
        </w:rPr>
        <w:t xml:space="preserve">4. </w:t>
      </w:r>
      <w:r>
        <w:t>Compare allocations, terminal unit costs and source contribution between the baseline and recursive model.</w:t>
      </w:r>
    </w:p>
    <w:p>
      <w:pPr>
        <w:spacing w:after="50"/>
        <w:ind w:left="317" w:hanging="317"/>
      </w:pPr>
      <w:r>
        <w:rPr>
          <w:b/>
        </w:rPr>
        <w:t xml:space="preserve">5. </w:t>
      </w:r>
      <w:r>
        <w:t>Evaluate the plan under every supplied disruption scenario.</w:t>
      </w:r>
    </w:p>
    <w:p>
      <w:pPr>
        <w:spacing w:after="50"/>
        <w:ind w:left="317" w:hanging="317"/>
      </w:pPr>
      <w:r>
        <w:rPr>
          <w:b/>
        </w:rPr>
        <w:t xml:space="preserve">6. </w:t>
      </w:r>
      <w:r>
        <w:t>Define quantitative resilience measures and implement at least one intervention.</w:t>
      </w:r>
    </w:p>
    <w:p>
      <w:pPr>
        <w:spacing w:after="50"/>
        <w:ind w:left="317" w:hanging="317"/>
      </w:pPr>
      <w:r>
        <w:rPr>
          <w:b/>
        </w:rPr>
        <w:t xml:space="preserve">7. </w:t>
      </w:r>
      <w:r>
        <w:t>Compare cost, service, inventory, resilience and solver-confidence outcomes.</w:t>
      </w:r>
    </w:p>
    <w:p>
      <w:pPr>
        <w:spacing w:after="50"/>
        <w:ind w:left="317" w:hanging="317"/>
      </w:pPr>
      <w:r>
        <w:rPr>
          <w:b/>
        </w:rPr>
        <w:t xml:space="preserve">8. </w:t>
      </w:r>
      <w:r>
        <w:t>Present a recommended plan through an interactive application.</w:t>
      </w:r>
    </w:p>
    <w:p>
      <w:pPr>
        <w:spacing w:after="50"/>
        <w:ind w:left="317" w:hanging="317"/>
      </w:pPr>
      <w:r>
        <w:rPr>
          <w:b/>
        </w:rPr>
        <w:t xml:space="preserve">9. </w:t>
      </w:r>
      <w:r>
        <w:t>Explain production architecture, data ownership, audit, solver operation and fallback controls.</w:t>
      </w:r>
    </w:p>
    <w:p>
      <w:pPr>
        <w:pStyle w:val="Heading1"/>
      </w:pPr>
      <w:r>
        <w:t>5. Scope and release boundaries</w:t>
      </w:r>
    </w:p>
    <w:p>
      <w:pPr>
        <w:pStyle w:val="Heading2"/>
      </w:pPr>
      <w:r>
        <w:t>5.1 Included in release 1</w:t>
      </w:r>
    </w:p>
    <w:p>
      <w:pPr>
        <w:pStyle w:val="ListBullet"/>
        <w:spacing w:after="44"/>
        <w:ind w:left="317" w:hanging="173"/>
      </w:pPr>
      <w:r>
        <w:t>generic Tier-N schema instantiated as four supplier tiers plus four Asterion plants;</w:t>
      </w:r>
    </w:p>
    <w:p>
      <w:pPr>
        <w:pStyle w:val="ListBullet"/>
        <w:spacing w:after="44"/>
        <w:ind w:left="317" w:hanging="173"/>
      </w:pPr>
      <w:r>
        <w:t>external boundary sourcing, intermediate transformation and terminal-component supply;</w:t>
      </w:r>
    </w:p>
    <w:p>
      <w:pPr>
        <w:pStyle w:val="ListBullet"/>
        <w:spacing w:after="44"/>
        <w:ind w:left="317" w:hanging="173"/>
      </w:pPr>
      <w:r>
        <w:t>weighted-average pooling by node, material and period;</w:t>
      </w:r>
    </w:p>
    <w:p>
      <w:pPr>
        <w:pStyle w:val="ListBullet"/>
        <w:spacing w:after="44"/>
        <w:ind w:left="317" w:hanging="173"/>
      </w:pPr>
      <w:r>
        <w:t>opening inventory quantity and cost basis;</w:t>
      </w:r>
    </w:p>
    <w:p>
      <w:pPr>
        <w:pStyle w:val="ListBullet"/>
        <w:spacing w:after="44"/>
        <w:ind w:left="317" w:hanging="173"/>
      </w:pPr>
      <w:r>
        <w:t>explicit transformation recipes, input coefficients, yields, conversion costs, setup, overhead and markup;</w:t>
      </w:r>
    </w:p>
    <w:p>
      <w:pPr>
        <w:pStyle w:val="ListBullet"/>
        <w:spacing w:after="44"/>
        <w:ind w:left="317" w:hanging="173"/>
      </w:pPr>
      <w:r>
        <w:t>approvals, contracts, Incoterms abstraction, freight, duty, insurance and FX;</w:t>
      </w:r>
    </w:p>
    <w:p>
      <w:pPr>
        <w:pStyle w:val="ListBullet"/>
        <w:spacing w:after="44"/>
        <w:ind w:left="317" w:hanging="173"/>
      </w:pPr>
      <w:r>
        <w:t>MOQ, order multiples, fixed order and activation decisions;</w:t>
      </w:r>
    </w:p>
    <w:p>
      <w:pPr>
        <w:pStyle w:val="ListBullet"/>
        <w:spacing w:after="44"/>
        <w:ind w:left="317" w:hanging="173"/>
      </w:pPr>
      <w:r>
        <w:t>regular and surge capacity, storage, lead times and lane capacity;</w:t>
      </w:r>
    </w:p>
    <w:p>
      <w:pPr>
        <w:pStyle w:val="ListBullet"/>
        <w:spacing w:after="44"/>
        <w:ind w:left="317" w:hanging="173"/>
      </w:pPr>
      <w:r>
        <w:t>BASE and controlled disruption scenarios;</w:t>
      </w:r>
    </w:p>
    <w:p>
      <w:pPr>
        <w:pStyle w:val="ListBullet"/>
        <w:spacing w:after="44"/>
        <w:ind w:left="317" w:hanging="173"/>
      </w:pPr>
      <w:r>
        <w:t>fixed-price MILP baseline and recursive-cost MINLP;</w:t>
      </w:r>
    </w:p>
    <w:p>
      <w:pPr>
        <w:pStyle w:val="ListBullet"/>
        <w:spacing w:after="44"/>
        <w:ind w:left="317" w:hanging="173"/>
      </w:pPr>
      <w:r>
        <w:t>historical performance and incident data for exploratory statistics and resilience design.</w:t>
      </w:r>
    </w:p>
    <w:p>
      <w:pPr>
        <w:pStyle w:val="Heading2"/>
      </w:pPr>
      <w:r>
        <w:t>5.2 Explicit exclusions</w:t>
      </w:r>
    </w:p>
    <w:p>
      <w:pPr>
        <w:pStyle w:val="ListBullet"/>
        <w:spacing w:after="44"/>
        <w:ind w:left="317" w:hanging="173"/>
      </w:pPr>
      <w:r>
        <w:t>open purchase orders, committed allocations and shipments already in transit;</w:t>
      </w:r>
    </w:p>
    <w:p>
      <w:pPr>
        <w:pStyle w:val="ListBullet"/>
        <w:spacing w:after="44"/>
        <w:ind w:left="317" w:hanging="173"/>
      </w:pPr>
      <w:r>
        <w:t>rolling-horizon replanning, frozen near-term decisions and WIP valuation;</w:t>
      </w:r>
    </w:p>
    <w:p>
      <w:pPr>
        <w:pStyle w:val="ListBullet"/>
        <w:spacing w:after="44"/>
        <w:ind w:left="317" w:hanging="173"/>
      </w:pPr>
      <w:r>
        <w:t>finished-product demand forecasting and detailed final-assembly scheduling;</w:t>
      </w:r>
    </w:p>
    <w:p>
      <w:pPr>
        <w:pStyle w:val="ListBullet"/>
        <w:spacing w:after="44"/>
        <w:ind w:left="317" w:hanging="173"/>
      </w:pPr>
      <w:r>
        <w:t>supplier onboarding, contract negotiation and creation of new approvals;</w:t>
      </w:r>
    </w:p>
    <w:p>
      <w:pPr>
        <w:pStyle w:val="ListBullet"/>
        <w:spacing w:after="44"/>
        <w:ind w:left="317" w:hanging="173"/>
      </w:pPr>
      <w:r>
        <w:t>full legal interpretation of Incoterms;</w:t>
      </w:r>
    </w:p>
    <w:p>
      <w:pPr>
        <w:pStyle w:val="ListBullet"/>
        <w:spacing w:after="44"/>
        <w:ind w:left="317" w:hanging="173"/>
      </w:pPr>
      <w:r>
        <w:t>purchase-order execution, ERP write-back and real-time tracking;</w:t>
      </w:r>
    </w:p>
    <w:p>
      <w:pPr>
        <w:pStyle w:val="ListBullet"/>
        <w:spacing w:after="44"/>
        <w:ind w:left="317" w:hanging="173"/>
      </w:pPr>
      <w:r>
        <w:t>student-generated disruption scenarios for the assessed release;</w:t>
      </w:r>
    </w:p>
    <w:p>
      <w:pPr>
        <w:pStyle w:val="ListBullet"/>
        <w:spacing w:after="44"/>
        <w:ind w:left="317" w:hanging="173"/>
      </w:pPr>
      <w:r>
        <w:t>optimisation of safety-stock policy, final-component substitution and carbon optimisation;</w:t>
      </w:r>
    </w:p>
    <w:p>
      <w:pPr>
        <w:pStyle w:val="ListBullet"/>
        <w:spacing w:after="44"/>
        <w:ind w:left="317" w:hanging="173"/>
      </w:pPr>
      <w:r>
        <w:t>supplier markup negotiation or endogenous commercial bargaining.</w:t>
      </w:r>
    </w:p>
    <w:p>
      <w:pPr>
        <w:pStyle w:val="Heading2"/>
      </w:pPr>
      <w:r>
        <w:t>5.3 Future extensions</w:t>
      </w:r>
    </w:p>
    <w:p>
      <w:pPr>
        <w:spacing w:after="90"/>
      </w:pPr>
      <w:r>
        <w:t>Future versions may add open orders, in-transit value, frozen decisions, rolling-horizon replanning, work-in-progress, processing lags, multiple accounting policies, supplier negotiation, carbon cost and larger decomposition or heuristic instances. These require versioned schemas and must not be introduced through undocumented fields.</w:t>
      </w:r>
    </w:p>
    <w:p>
      <w:pPr>
        <w:pStyle w:val="Heading1"/>
      </w:pPr>
      <w:r>
        <w:t>6. Tier-N supply-network and material-flow design</w:t>
      </w:r>
    </w:p>
    <w:p>
      <w:pPr>
        <w:pStyle w:val="Heading2"/>
      </w:pPr>
      <w:r>
        <w:t>6.1 Generic architecture</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Tier N external or boundary sources</w:t>
              <w:br/>
              <w:t xml:space="preserve">  -&gt; Tier N-1 processed materials or specialist subcomponents</w:t>
              <w:br/>
              <w:t xml:space="preserve">    -&gt; ...</w:t>
              <w:br/>
              <w:t xml:space="preserve">      -&gt; Tier 2 intermediate assemblies</w:t>
              <w:br/>
              <w:t xml:space="preserve">        -&gt; Tier 1 plant-ready components</w:t>
              <w:br/>
              <w:t xml:space="preserve">          -&gt; Asterion plants with terminal demand</w:t>
            </w:r>
          </w:p>
        </w:tc>
      </w:tr>
    </w:tbl>
    <w:p>
      <w:pPr>
        <w:spacing w:after="0"/>
      </w:pPr>
    </w:p>
    <w:p>
      <w:pPr>
        <w:spacing w:after="90"/>
      </w:pPr>
      <w:r>
        <w:t>Tier numbering follows proximity to Asterion: Tier 1 supplies plants directly and larger tier indices are progressively upstream. Model equations use generic node, material, arc and recipe sets rather than hard-coded tier-specific variable families.</w:t>
      </w:r>
    </w:p>
    <w:p>
      <w:pPr>
        <w:pStyle w:val="Heading2"/>
      </w:pPr>
      <w:r>
        <w:t>6.2 Release-1 four-tier instance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936"/>
            <w:shd w:fill="17365D" w:val="clear"/>
            <w:tcMar>
              <w:top w:w="60" w:type="dxa"/>
              <w:start w:w="80" w:type="dxa"/>
              <w:bottom w:w="60" w:type="dxa"/>
              <w:end w:w="80" w:type="dxa"/>
            </w:tcMar>
            <w:vAlign w:val="center"/>
          </w:tcPr>
          <w:p>
            <w:pPr>
              <w:spacing w:after="0"/>
            </w:pPr>
            <w:r>
              <w:rPr>
                <w:rFonts w:ascii="Carlito" w:hAnsi="Carlito" w:eastAsia="Carlito"/>
                <w:b/>
                <w:color w:val="FFFFFF"/>
                <w:sz w:val="16"/>
              </w:rPr>
              <w:t>Tier</w:t>
            </w:r>
          </w:p>
        </w:tc>
        <w:tc>
          <w:tcPr>
            <w:tcW w:type="dxa" w:w="3168"/>
            <w:shd w:fill="17365D" w:val="clear"/>
            <w:tcMar>
              <w:top w:w="60" w:type="dxa"/>
              <w:start w:w="80" w:type="dxa"/>
              <w:bottom w:w="60" w:type="dxa"/>
              <w:end w:w="80" w:type="dxa"/>
            </w:tcMar>
            <w:vAlign w:val="center"/>
          </w:tcPr>
          <w:p>
            <w:pPr>
              <w:spacing w:after="0"/>
            </w:pPr>
            <w:r>
              <w:rPr>
                <w:rFonts w:ascii="Carlito" w:hAnsi="Carlito" w:eastAsia="Carlito"/>
                <w:b/>
                <w:color w:val="FFFFFF"/>
                <w:sz w:val="16"/>
              </w:rPr>
              <w:t>Illustrative role</w:t>
            </w:r>
          </w:p>
        </w:tc>
        <w:tc>
          <w:tcPr>
            <w:tcW w:type="dxa" w:w="5832"/>
            <w:shd w:fill="17365D" w:val="clear"/>
            <w:tcMar>
              <w:top w:w="60" w:type="dxa"/>
              <w:start w:w="80" w:type="dxa"/>
              <w:bottom w:w="60" w:type="dxa"/>
              <w:end w:w="80" w:type="dxa"/>
            </w:tcMar>
            <w:vAlign w:val="center"/>
          </w:tcPr>
          <w:p>
            <w:pPr>
              <w:spacing w:after="0"/>
            </w:pPr>
            <w:r>
              <w:rPr>
                <w:rFonts w:ascii="Carlito" w:hAnsi="Carlito" w:eastAsia="Carlito"/>
                <w:b/>
                <w:color w:val="FFFFFF"/>
                <w:sz w:val="16"/>
              </w:rPr>
              <w:t>Illustrative materials</w:t>
            </w:r>
          </w:p>
        </w:tc>
      </w:tr>
      <w:tr>
        <w:tc>
          <w:tcPr>
            <w:tcW w:type="dxa" w:w="936"/>
            <w:tcMar>
              <w:top w:w="60" w:type="dxa"/>
              <w:start w:w="80" w:type="dxa"/>
              <w:bottom w:w="60" w:type="dxa"/>
              <w:end w:w="80" w:type="dxa"/>
            </w:tcMar>
            <w:vAlign w:val="top"/>
          </w:tcPr>
          <w:p>
            <w:pPr>
              <w:spacing w:after="0"/>
            </w:pPr>
            <w:r>
              <w:rPr>
                <w:rFonts w:ascii="Carlito" w:hAnsi="Carlito" w:eastAsia="Carlito"/>
                <w:color w:val="1F2933"/>
                <w:sz w:val="16"/>
              </w:rPr>
              <w:t>Tier 4</w:t>
            </w:r>
          </w:p>
        </w:tc>
        <w:tc>
          <w:tcPr>
            <w:tcW w:type="dxa" w:w="3168"/>
            <w:tcMar>
              <w:top w:w="60" w:type="dxa"/>
              <w:start w:w="80" w:type="dxa"/>
              <w:bottom w:w="60" w:type="dxa"/>
              <w:end w:w="80" w:type="dxa"/>
            </w:tcMar>
            <w:vAlign w:val="top"/>
          </w:tcPr>
          <w:p>
            <w:pPr>
              <w:spacing w:after="0"/>
            </w:pPr>
            <w:r>
              <w:rPr>
                <w:rFonts w:ascii="Carlito" w:hAnsi="Carlito" w:eastAsia="Carlito"/>
                <w:color w:val="1F2933"/>
                <w:sz w:val="16"/>
              </w:rPr>
              <w:t>External boundary sources</w:t>
            </w:r>
          </w:p>
        </w:tc>
        <w:tc>
          <w:tcPr>
            <w:tcW w:type="dxa" w:w="5832"/>
            <w:tcMar>
              <w:top w:w="60" w:type="dxa"/>
              <w:start w:w="80" w:type="dxa"/>
              <w:bottom w:w="60" w:type="dxa"/>
              <w:end w:w="80" w:type="dxa"/>
            </w:tcMar>
            <w:vAlign w:val="top"/>
          </w:tcPr>
          <w:p>
            <w:pPr>
              <w:spacing w:after="0"/>
            </w:pPr>
            <w:r>
              <w:rPr>
                <w:rFonts w:ascii="Carlito" w:hAnsi="Carlito" w:eastAsia="Carlito"/>
                <w:color w:val="1F2933"/>
                <w:sz w:val="16"/>
              </w:rPr>
              <w:t>Silicon die, copper, resin feedstock, steel coil, aluminium billet and specialist chemicals.</w:t>
            </w:r>
          </w:p>
        </w:tc>
      </w:tr>
      <w:tr>
        <w:tc>
          <w:tcPr>
            <w:tcW w:type="dxa" w:w="936"/>
            <w:shd w:fill="F7F8F9" w:val="clear"/>
            <w:tcMar>
              <w:top w:w="60" w:type="dxa"/>
              <w:start w:w="80" w:type="dxa"/>
              <w:bottom w:w="60" w:type="dxa"/>
              <w:end w:w="80" w:type="dxa"/>
            </w:tcMar>
            <w:vAlign w:val="top"/>
          </w:tcPr>
          <w:p>
            <w:pPr>
              <w:spacing w:after="0"/>
            </w:pPr>
            <w:r>
              <w:rPr>
                <w:rFonts w:ascii="Carlito" w:hAnsi="Carlito" w:eastAsia="Carlito"/>
                <w:color w:val="1F2933"/>
                <w:sz w:val="16"/>
              </w:rPr>
              <w:t>Tier 3</w:t>
            </w:r>
          </w:p>
        </w:tc>
        <w:tc>
          <w:tcPr>
            <w:tcW w:type="dxa" w:w="3168"/>
            <w:shd w:fill="F7F8F9" w:val="clear"/>
            <w:tcMar>
              <w:top w:w="60" w:type="dxa"/>
              <w:start w:w="80" w:type="dxa"/>
              <w:bottom w:w="60" w:type="dxa"/>
              <w:end w:w="80" w:type="dxa"/>
            </w:tcMar>
            <w:vAlign w:val="top"/>
          </w:tcPr>
          <w:p>
            <w:pPr>
              <w:spacing w:after="0"/>
            </w:pPr>
            <w:r>
              <w:rPr>
                <w:rFonts w:ascii="Carlito" w:hAnsi="Carlito" w:eastAsia="Carlito"/>
                <w:color w:val="1F2933"/>
                <w:sz w:val="16"/>
              </w:rPr>
              <w:t>Processed materials and specialist subcomponents</w:t>
            </w:r>
          </w:p>
        </w:tc>
        <w:tc>
          <w:tcPr>
            <w:tcW w:type="dxa" w:w="5832"/>
            <w:shd w:fill="F7F8F9" w:val="clear"/>
            <w:tcMar>
              <w:top w:w="60" w:type="dxa"/>
              <w:start w:w="80" w:type="dxa"/>
              <w:bottom w:w="60" w:type="dxa"/>
              <w:end w:w="80" w:type="dxa"/>
            </w:tcMar>
            <w:vAlign w:val="top"/>
          </w:tcPr>
          <w:p>
            <w:pPr>
              <w:spacing w:after="0"/>
            </w:pPr>
            <w:r>
              <w:rPr>
                <w:rFonts w:ascii="Carlito" w:hAnsi="Carlito" w:eastAsia="Carlito"/>
                <w:color w:val="1F2933"/>
                <w:sz w:val="16"/>
              </w:rPr>
              <w:t>Semiconductor packages, copper conductors, polymer pellets, coated steel and fabricated heat-sink stock.</w:t>
            </w:r>
          </w:p>
        </w:tc>
      </w:tr>
      <w:tr>
        <w:tc>
          <w:tcPr>
            <w:tcW w:type="dxa" w:w="936"/>
            <w:tcMar>
              <w:top w:w="60" w:type="dxa"/>
              <w:start w:w="80" w:type="dxa"/>
              <w:bottom w:w="60" w:type="dxa"/>
              <w:end w:w="80" w:type="dxa"/>
            </w:tcMar>
            <w:vAlign w:val="top"/>
          </w:tcPr>
          <w:p>
            <w:pPr>
              <w:spacing w:after="0"/>
            </w:pPr>
            <w:r>
              <w:rPr>
                <w:rFonts w:ascii="Carlito" w:hAnsi="Carlito" w:eastAsia="Carlito"/>
                <w:color w:val="1F2933"/>
                <w:sz w:val="16"/>
              </w:rPr>
              <w:t>Tier 2</w:t>
            </w:r>
          </w:p>
        </w:tc>
        <w:tc>
          <w:tcPr>
            <w:tcW w:type="dxa" w:w="3168"/>
            <w:tcMar>
              <w:top w:w="60" w:type="dxa"/>
              <w:start w:w="80" w:type="dxa"/>
              <w:bottom w:w="60" w:type="dxa"/>
              <w:end w:w="80" w:type="dxa"/>
            </w:tcMar>
            <w:vAlign w:val="top"/>
          </w:tcPr>
          <w:p>
            <w:pPr>
              <w:spacing w:after="0"/>
            </w:pPr>
            <w:r>
              <w:rPr>
                <w:rFonts w:ascii="Carlito" w:hAnsi="Carlito" w:eastAsia="Carlito"/>
                <w:color w:val="1F2933"/>
                <w:sz w:val="16"/>
              </w:rPr>
              <w:t>Intermediate assemblies</w:t>
            </w:r>
          </w:p>
        </w:tc>
        <w:tc>
          <w:tcPr>
            <w:tcW w:type="dxa" w:w="5832"/>
            <w:tcMar>
              <w:top w:w="60" w:type="dxa"/>
              <w:start w:w="80" w:type="dxa"/>
              <w:bottom w:w="60" w:type="dxa"/>
              <w:end w:w="80" w:type="dxa"/>
            </w:tcMar>
            <w:vAlign w:val="top"/>
          </w:tcPr>
          <w:p>
            <w:pPr>
              <w:spacing w:after="0"/>
            </w:pPr>
            <w:r>
              <w:rPr>
                <w:rFonts w:ascii="Carlito" w:hAnsi="Carlito" w:eastAsia="Carlito"/>
                <w:color w:val="1F2933"/>
                <w:sz w:val="16"/>
              </w:rPr>
              <w:t>Power modules, populated PCB cores, connector sets, fan assemblies and formed enclosure panels.</w:t>
            </w:r>
          </w:p>
        </w:tc>
      </w:tr>
      <w:tr>
        <w:tc>
          <w:tcPr>
            <w:tcW w:type="dxa" w:w="936"/>
            <w:shd w:fill="F7F8F9" w:val="clear"/>
            <w:tcMar>
              <w:top w:w="60" w:type="dxa"/>
              <w:start w:w="80" w:type="dxa"/>
              <w:bottom w:w="60" w:type="dxa"/>
              <w:end w:w="80" w:type="dxa"/>
            </w:tcMar>
            <w:vAlign w:val="top"/>
          </w:tcPr>
          <w:p>
            <w:pPr>
              <w:spacing w:after="0"/>
            </w:pPr>
            <w:r>
              <w:rPr>
                <w:rFonts w:ascii="Carlito" w:hAnsi="Carlito" w:eastAsia="Carlito"/>
                <w:color w:val="1F2933"/>
                <w:sz w:val="16"/>
              </w:rPr>
              <w:t>Tier 1</w:t>
            </w:r>
          </w:p>
        </w:tc>
        <w:tc>
          <w:tcPr>
            <w:tcW w:type="dxa" w:w="3168"/>
            <w:shd w:fill="F7F8F9" w:val="clear"/>
            <w:tcMar>
              <w:top w:w="60" w:type="dxa"/>
              <w:start w:w="80" w:type="dxa"/>
              <w:bottom w:w="60" w:type="dxa"/>
              <w:end w:w="80" w:type="dxa"/>
            </w:tcMar>
            <w:vAlign w:val="top"/>
          </w:tcPr>
          <w:p>
            <w:pPr>
              <w:spacing w:after="0"/>
            </w:pPr>
            <w:r>
              <w:rPr>
                <w:rFonts w:ascii="Carlito" w:hAnsi="Carlito" w:eastAsia="Carlito"/>
                <w:color w:val="1F2933"/>
                <w:sz w:val="16"/>
              </w:rPr>
              <w:t>Plant-ready components</w:t>
            </w:r>
          </w:p>
        </w:tc>
        <w:tc>
          <w:tcPr>
            <w:tcW w:type="dxa" w:w="5832"/>
            <w:shd w:fill="F7F8F9" w:val="clear"/>
            <w:tcMar>
              <w:top w:w="60" w:type="dxa"/>
              <w:start w:w="80" w:type="dxa"/>
              <w:bottom w:w="60" w:type="dxa"/>
              <w:end w:w="80" w:type="dxa"/>
            </w:tcMar>
            <w:vAlign w:val="top"/>
          </w:tcPr>
          <w:p>
            <w:pPr>
              <w:spacing w:after="0"/>
            </w:pPr>
            <w:r>
              <w:rPr>
                <w:rFonts w:ascii="Carlito" w:hAnsi="Carlito" w:eastAsia="Carlito"/>
                <w:color w:val="1F2933"/>
                <w:sz w:val="16"/>
              </w:rPr>
              <w:t>Control PCB assemblies, power-stage modules, cable harnesses, enclosures and monitoring modules.</w:t>
            </w:r>
          </w:p>
        </w:tc>
      </w:tr>
      <w:tr>
        <w:tc>
          <w:tcPr>
            <w:tcW w:type="dxa" w:w="936"/>
            <w:tcMar>
              <w:top w:w="60" w:type="dxa"/>
              <w:start w:w="80" w:type="dxa"/>
              <w:bottom w:w="60" w:type="dxa"/>
              <w:end w:w="80" w:type="dxa"/>
            </w:tcMar>
            <w:vAlign w:val="top"/>
          </w:tcPr>
          <w:p>
            <w:pPr>
              <w:spacing w:after="0"/>
            </w:pPr>
            <w:r>
              <w:rPr>
                <w:rFonts w:ascii="Carlito" w:hAnsi="Carlito" w:eastAsia="Carlito"/>
                <w:color w:val="1F2933"/>
                <w:sz w:val="16"/>
              </w:rPr>
              <w:t>Plant</w:t>
            </w:r>
          </w:p>
        </w:tc>
        <w:tc>
          <w:tcPr>
            <w:tcW w:type="dxa" w:w="3168"/>
            <w:tcMar>
              <w:top w:w="60" w:type="dxa"/>
              <w:start w:w="80" w:type="dxa"/>
              <w:bottom w:w="60" w:type="dxa"/>
              <w:end w:w="80" w:type="dxa"/>
            </w:tcMar>
            <w:vAlign w:val="top"/>
          </w:tcPr>
          <w:p>
            <w:pPr>
              <w:spacing w:after="0"/>
            </w:pPr>
            <w:r>
              <w:rPr>
                <w:rFonts w:ascii="Carlito" w:hAnsi="Carlito" w:eastAsia="Carlito"/>
                <w:color w:val="1F2933"/>
                <w:sz w:val="16"/>
              </w:rPr>
              <w:t>Terminal-demand node</w:t>
            </w:r>
          </w:p>
        </w:tc>
        <w:tc>
          <w:tcPr>
            <w:tcW w:type="dxa" w:w="5832"/>
            <w:tcMar>
              <w:top w:w="60" w:type="dxa"/>
              <w:start w:w="80" w:type="dxa"/>
              <w:bottom w:w="60" w:type="dxa"/>
              <w:end w:w="80" w:type="dxa"/>
            </w:tcMar>
            <w:vAlign w:val="top"/>
          </w:tcPr>
          <w:p>
            <w:pPr>
              <w:spacing w:after="0"/>
            </w:pPr>
            <w:r>
              <w:rPr>
                <w:rFonts w:ascii="Carlito" w:hAnsi="Carlito" w:eastAsia="Carlito"/>
                <w:color w:val="1F2933"/>
                <w:sz w:val="16"/>
              </w:rPr>
              <w:t>Component demand derived from Asterion production plans.</w:t>
            </w:r>
          </w:p>
        </w:tc>
      </w:tr>
    </w:tbl>
    <w:p>
      <w:pPr>
        <w:spacing w:after="0"/>
      </w:pPr>
    </w:p>
    <w:p>
      <w:pPr>
        <w:pStyle w:val="Heading2"/>
      </w:pPr>
      <w:r>
        <w:t>6.3 Node and material rules</w:t>
      </w:r>
    </w:p>
    <w:p>
      <w:pPr>
        <w:pStyle w:val="ListBullet"/>
        <w:spacing w:after="44"/>
        <w:ind w:left="317" w:hanging="173"/>
      </w:pPr>
      <w:r>
        <w:t>A supplier organisation may own multiple nodes at one or more tiers.</w:t>
      </w:r>
    </w:p>
    <w:p>
      <w:pPr>
        <w:pStyle w:val="ListBullet"/>
        <w:spacing w:after="44"/>
        <w:ind w:left="317" w:hanging="173"/>
      </w:pPr>
      <w:r>
        <w:t>A node may source different input materials from multiple approved upstream nodes.</w:t>
      </w:r>
    </w:p>
    <w:p>
      <w:pPr>
        <w:pStyle w:val="ListBullet"/>
        <w:spacing w:after="44"/>
        <w:ind w:left="317" w:hanging="173"/>
      </w:pPr>
      <w:r>
        <w:t>A material may have more than one approved recipe where configured.</w:t>
      </w:r>
    </w:p>
    <w:p>
      <w:pPr>
        <w:pStyle w:val="ListBullet"/>
        <w:spacing w:after="44"/>
        <w:ind w:left="317" w:hanging="173"/>
      </w:pPr>
      <w:r>
        <w:t>Pooling occurs only within an identical node-material-period and authoritative unit of measure.</w:t>
      </w:r>
    </w:p>
    <w:p>
      <w:pPr>
        <w:pStyle w:val="ListBullet"/>
        <w:spacing w:after="44"/>
        <w:ind w:left="317" w:hanging="173"/>
      </w:pPr>
      <w:r>
        <w:t>External exogenous prices are permitted only at declared boundary sources or explicitly declared external services.</w:t>
      </w:r>
    </w:p>
    <w:p>
      <w:pPr>
        <w:pStyle w:val="ListBullet"/>
        <w:spacing w:after="44"/>
        <w:ind w:left="317" w:hanging="173"/>
      </w:pPr>
      <w:r>
        <w:t>The released transformation graph must be acyclic for each material lineage.</w:t>
      </w:r>
    </w:p>
    <w:p>
      <w:pPr>
        <w:pStyle w:val="ListBullet"/>
        <w:spacing w:after="44"/>
        <w:ind w:left="317" w:hanging="173"/>
      </w:pPr>
      <w:r>
        <w:t>Every terminal material must have at least one complete four-tier lineage; declared shorter alternatives are permitted only where explicitly configured.</w:t>
      </w:r>
    </w:p>
    <w:p>
      <w:pPr>
        <w:pStyle w:val="Heading2"/>
      </w:pPr>
      <w:r>
        <w:t>6.4 Pooling boundary</w:t>
      </w:r>
    </w:p>
    <w:p>
      <w:pPr>
        <w:spacing w:after="90"/>
      </w:pPr>
      <w:r>
        <w:t>Receipts, completed production and opening inventory for the same node-material-period form one weighted-average pool. Every shipment, transformation consumption, terminal service and closing inventory movement from that pool carries the same calculated unit cost.</w:t>
      </w:r>
    </w:p>
    <w:p>
      <w:pPr>
        <w:pStyle w:val="Heading2"/>
      </w:pPr>
      <w:r>
        <w:t>6.5 Hidden dependency design</w:t>
      </w:r>
    </w:p>
    <w:p>
      <w:pPr>
        <w:spacing w:after="90"/>
      </w:pPr>
      <w:r>
        <w:t>The generated network must contain discoverable dependencies without prescribing a single required risk metric. Examples include apparently independent Tier 1 suppliers that share the same Tier 3 semiconductor package, separate sites owned by one parent group, common regions and transport corridors, or alternative recipes that depend on the same scarce input.</w:t>
      </w:r>
    </w:p>
    <w:p>
      <w:pPr>
        <w:pStyle w:val="Heading1"/>
      </w:pPr>
      <w:r>
        <w:t>7. Planning calendar and time semantics</w:t>
      </w:r>
    </w:p>
    <w:p>
      <w:pPr>
        <w:pStyle w:val="Heading2"/>
      </w:pPr>
      <w:r>
        <w:t>7.1 Fixed calendar</w:t>
      </w:r>
    </w:p>
    <w:p>
      <w:pPr>
        <w:spacing w:after="90"/>
      </w:pPr>
      <w:r>
        <w:t>The horizon covers twelve Monday-to-Sunday periods from 4 January 2027 to 28 March 2027. All effective dates, capacities, demand, prices and scenarios use period identifiers P01-P12.</w:t>
      </w:r>
    </w:p>
    <w:p>
      <w:pPr>
        <w:pStyle w:val="Heading2"/>
      </w:pPr>
      <w:r>
        <w:t>7.2 Dispatch and arrival indexing</w:t>
      </w:r>
    </w:p>
    <w:p>
      <w:pPr>
        <w:spacing w:before="60" w:after="100"/>
        <w:jc w:val="center"/>
      </w:pPr>
      <w:r>
        <w:rPr>
          <w:rFonts w:ascii="Cambria Math" w:hAnsi="Cambria Math" w:eastAsia="Cambria Math"/>
          <w:b w:val="0"/>
          <w:i/>
          <w:color w:val="17365D"/>
          <w:sz w:val="20"/>
        </w:rPr>
        <w:t>lead_time_weeks = ceil((contract_handling_days + adjusted_transit_days) / 7)</w:t>
      </w:r>
    </w:p>
    <w:p>
      <w:pPr>
        <w:spacing w:after="90"/>
      </w:pPr>
      <w:r>
        <w:t>A dispatch in period t arrives in period t + lead_time_weeks. Scenario transit multipliers are applied before conversion unless an impact supplies an explicit replacement lag. Dispatches arriving after P12 are prohibited in release 1.</w:t>
      </w:r>
    </w:p>
    <w:p>
      <w:pPr>
        <w:pStyle w:val="Heading2"/>
      </w:pPr>
      <w:r>
        <w:t>7.3 Same-period conversion</w:t>
      </w:r>
    </w:p>
    <w:p>
      <w:pPr>
        <w:spacing w:after="90"/>
      </w:pPr>
      <w:r>
        <w:t>Receipts and completed production recorded in period t are available for downstream use during period t. Transformation consumes inputs and produces output within the same weekly bucket. The material DAG provides the topological order needed to avoid same-period lineage cycles. Work-in-progress and processing-lag valuation remain outside release 1.</w:t>
      </w:r>
    </w:p>
    <w:p>
      <w:pPr>
        <w:pStyle w:val="Heading2"/>
      </w:pPr>
      <w:r>
        <w:t>7.4 Inventory timing</w:t>
      </w:r>
    </w:p>
    <w:p>
      <w:pPr>
        <w:spacing w:after="90"/>
      </w:pPr>
      <w:r>
        <w:t>Opening inventory replaces the previous-period closing balance in P01. End-of-period inventory remains available in the next period with its closing value carried forward. There are no open orders or in-transit quantities at the horizon start; opening stock must cover lead-time gaps by construction.</w:t>
      </w:r>
    </w:p>
    <w:p>
      <w:pPr>
        <w:pStyle w:val="Heading1"/>
      </w:pPr>
      <w:r>
        <w:t>8. Core Tier-N recursive-cost optimisation formulation</w:t>
      </w:r>
    </w:p>
    <w:p>
      <w:pPr>
        <w:pStyle w:val="Heading2"/>
      </w:pPr>
      <w:r>
        <w:t>8.1 Decision question</w:t>
      </w:r>
    </w:p>
    <w:tbl>
      <w:tblPr>
        <w:tblW w:type="auto" w:w="0"/>
        <w:jc w:val="center"/>
        <w:tblLayout w:type="fixed"/>
        <w:tblLook w:firstColumn="1" w:firstRow="1" w:lastColumn="0" w:lastRow="0" w:noHBand="0" w:noVBand="1" w:val="04A0"/>
      </w:tblPr>
      <w:tblGrid>
        <w:gridCol w:w="9936"/>
      </w:tblGrid>
      <w:tr>
        <w:tc>
          <w:tcPr>
            <w:tcW w:type="dxa" w:w="10119"/>
            <w:shd w:fill="E7F4F2" w:val="clear"/>
            <w:tcMar>
              <w:top w:w="100" w:type="dxa"/>
              <w:start w:w="130" w:type="dxa"/>
              <w:bottom w:w="100" w:type="dxa"/>
              <w:end w:w="130" w:type="dxa"/>
            </w:tcMar>
            <w:tcBorders>
              <w:top w:val="nil"/>
              <w:start w:val="single" w:sz="18" w:color="0B7A75"/>
              <w:bottom w:val="nil"/>
              <w:end w:val="nil"/>
            </w:tcBorders>
          </w:tcPr>
          <w:p>
            <w:pPr>
              <w:spacing w:after="40"/>
            </w:pPr>
            <w:r>
              <w:rPr>
                <w:rFonts w:ascii="Carlito" w:hAnsi="Carlito" w:eastAsia="Carlito"/>
                <w:b/>
                <w:color w:val="0B7A75"/>
                <w:sz w:val="18"/>
              </w:rPr>
              <w:t>Assessed decision</w:t>
            </w:r>
          </w:p>
          <w:p>
            <w:pPr>
              <w:spacing w:after="0"/>
            </w:pPr>
            <w:r>
              <w:rPr>
                <w:rFonts w:ascii="Carlito" w:hAnsi="Carlito" w:eastAsia="Carlito"/>
                <w:color w:val="1F2933"/>
                <w:sz w:val="18"/>
              </w:rPr>
              <w:t>How should Asterion coordinate sourcing, production and material flows across a Tier-N supplier network so that fixed terminal demand is fulfilled, every intermediate requirement is available at the correct node and time, and recursively calculated end-to-end cost is minimised subject to commercial, capacity, inventory, lead-time and disruption constraints?</w:t>
            </w:r>
          </w:p>
        </w:tc>
      </w:tr>
    </w:tbl>
    <w:p>
      <w:pPr>
        <w:spacing w:after="0"/>
      </w:pPr>
    </w:p>
    <w:p>
      <w:pPr>
        <w:pStyle w:val="Heading2"/>
      </w:pPr>
      <w:r>
        <w:t>8.2 Model class</w:t>
      </w:r>
    </w:p>
    <w:p>
      <w:pPr>
        <w:spacing w:after="90"/>
      </w:pPr>
      <w:r>
        <w:t>The assessed formulation is a bounded, non-convex mixed-integer nonlinear programme. Integer structure arises from order lots, minimum quantities, setup and activation decisions. Non-convexity arises from exact weighted-average pool valuation and the propagation of decision-dependent unit cost through quantities selected by the optimiser.</w:t>
      </w:r>
    </w:p>
    <w:p>
      <w:pPr>
        <w:spacing w:after="90"/>
      </w:pPr>
      <w:r>
        <w:t>A fixed-price MILP with identical physical and commercial controls is retained as a required diagnostic baseline. It supplies a common comparator, a physical-feasibility check and an operational fallback. It does not reproduce recursive intermediate cost formation.</w:t>
      </w:r>
    </w:p>
    <w:p>
      <w:pPr>
        <w:pStyle w:val="Heading2"/>
      </w:pPr>
      <w:r>
        <w:t>8.3 Principal sets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1080"/>
            <w:shd w:fill="17365D" w:val="clear"/>
            <w:tcMar>
              <w:top w:w="60" w:type="dxa"/>
              <w:start w:w="80" w:type="dxa"/>
              <w:bottom w:w="60" w:type="dxa"/>
              <w:end w:w="80" w:type="dxa"/>
            </w:tcMar>
            <w:vAlign w:val="center"/>
          </w:tcPr>
          <w:p>
            <w:pPr>
              <w:spacing w:after="0"/>
            </w:pPr>
            <w:r>
              <w:rPr>
                <w:rFonts w:ascii="Carlito" w:hAnsi="Carlito" w:eastAsia="Carlito"/>
                <w:b/>
                <w:color w:val="FFFFFF"/>
                <w:sz w:val="16"/>
              </w:rPr>
              <w:t>Set</w:t>
            </w:r>
          </w:p>
        </w:tc>
        <w:tc>
          <w:tcPr>
            <w:tcW w:type="dxa" w:w="8856"/>
            <w:shd w:fill="17365D" w:val="clear"/>
            <w:tcMar>
              <w:top w:w="60" w:type="dxa"/>
              <w:start w:w="80" w:type="dxa"/>
              <w:bottom w:w="60" w:type="dxa"/>
              <w:end w:w="80" w:type="dxa"/>
            </w:tcMar>
            <w:vAlign w:val="center"/>
          </w:tcPr>
          <w:p>
            <w:pPr>
              <w:spacing w:after="0"/>
            </w:pPr>
            <w:r>
              <w:rPr>
                <w:rFonts w:ascii="Carlito" w:hAnsi="Carlito" w:eastAsia="Carlito"/>
                <w:b/>
                <w:color w:val="FFFFFF"/>
                <w:sz w:val="16"/>
              </w:rPr>
              <w:t>Meaning</w:t>
            </w:r>
          </w:p>
        </w:tc>
      </w:tr>
      <w:tr>
        <w:tc>
          <w:tcPr>
            <w:tcW w:type="dxa" w:w="1080"/>
            <w:tcMar>
              <w:top w:w="60" w:type="dxa"/>
              <w:start w:w="80" w:type="dxa"/>
              <w:bottom w:w="60" w:type="dxa"/>
              <w:end w:w="80" w:type="dxa"/>
            </w:tcMar>
            <w:vAlign w:val="top"/>
          </w:tcPr>
          <w:p>
            <w:pPr>
              <w:spacing w:after="0"/>
            </w:pPr>
            <w:r>
              <w:rPr>
                <w:rFonts w:ascii="Carlito" w:hAnsi="Carlito" w:eastAsia="Carlito"/>
                <w:color w:val="1F2933"/>
                <w:sz w:val="16"/>
              </w:rPr>
              <w:t>N</w:t>
            </w:r>
          </w:p>
        </w:tc>
        <w:tc>
          <w:tcPr>
            <w:tcW w:type="dxa" w:w="8856"/>
            <w:tcMar>
              <w:top w:w="60" w:type="dxa"/>
              <w:start w:w="80" w:type="dxa"/>
              <w:bottom w:w="60" w:type="dxa"/>
              <w:end w:w="80" w:type="dxa"/>
            </w:tcMar>
            <w:vAlign w:val="top"/>
          </w:tcPr>
          <w:p>
            <w:pPr>
              <w:spacing w:after="0"/>
            </w:pPr>
            <w:r>
              <w:rPr>
                <w:rFonts w:ascii="Carlito" w:hAnsi="Carlito" w:eastAsia="Carlito"/>
                <w:color w:val="1F2933"/>
                <w:sz w:val="16"/>
              </w:rPr>
              <w:t>Supplier sites and Asterion plant nodes.</w:t>
            </w:r>
          </w:p>
        </w:tc>
      </w:tr>
      <w:tr>
        <w:tc>
          <w:tcPr>
            <w:tcW w:type="dxa" w:w="1080"/>
            <w:shd w:fill="F7F8F9" w:val="clear"/>
            <w:tcMar>
              <w:top w:w="60" w:type="dxa"/>
              <w:start w:w="80" w:type="dxa"/>
              <w:bottom w:w="60" w:type="dxa"/>
              <w:end w:w="80" w:type="dxa"/>
            </w:tcMar>
            <w:vAlign w:val="top"/>
          </w:tcPr>
          <w:p>
            <w:pPr>
              <w:spacing w:after="0"/>
            </w:pPr>
            <w:r>
              <w:rPr>
                <w:rFonts w:ascii="Carlito" w:hAnsi="Carlito" w:eastAsia="Carlito"/>
                <w:color w:val="1F2933"/>
                <w:sz w:val="16"/>
              </w:rPr>
              <w:t>M</w:t>
            </w:r>
          </w:p>
        </w:tc>
        <w:tc>
          <w:tcPr>
            <w:tcW w:type="dxa" w:w="8856"/>
            <w:shd w:fill="F7F8F9" w:val="clear"/>
            <w:tcMar>
              <w:top w:w="60" w:type="dxa"/>
              <w:start w:w="80" w:type="dxa"/>
              <w:bottom w:w="60" w:type="dxa"/>
              <w:end w:w="80" w:type="dxa"/>
            </w:tcMar>
            <w:vAlign w:val="top"/>
          </w:tcPr>
          <w:p>
            <w:pPr>
              <w:spacing w:after="0"/>
            </w:pPr>
            <w:r>
              <w:rPr>
                <w:rFonts w:ascii="Carlito" w:hAnsi="Carlito" w:eastAsia="Carlito"/>
                <w:color w:val="1F2933"/>
                <w:sz w:val="16"/>
              </w:rPr>
              <w:t>Raw, intermediate and terminal materials.</w:t>
            </w:r>
          </w:p>
        </w:tc>
      </w:tr>
      <w:tr>
        <w:tc>
          <w:tcPr>
            <w:tcW w:type="dxa" w:w="1080"/>
            <w:tcMar>
              <w:top w:w="60" w:type="dxa"/>
              <w:start w:w="80" w:type="dxa"/>
              <w:bottom w:w="60" w:type="dxa"/>
              <w:end w:w="80" w:type="dxa"/>
            </w:tcMar>
            <w:vAlign w:val="top"/>
          </w:tcPr>
          <w:p>
            <w:pPr>
              <w:spacing w:after="0"/>
            </w:pPr>
            <w:r>
              <w:rPr>
                <w:rFonts w:ascii="Carlito" w:hAnsi="Carlito" w:eastAsia="Carlito"/>
                <w:color w:val="1F2933"/>
                <w:sz w:val="16"/>
              </w:rPr>
              <w:t>T</w:t>
            </w:r>
          </w:p>
        </w:tc>
        <w:tc>
          <w:tcPr>
            <w:tcW w:type="dxa" w:w="8856"/>
            <w:tcMar>
              <w:top w:w="60" w:type="dxa"/>
              <w:start w:w="80" w:type="dxa"/>
              <w:bottom w:w="60" w:type="dxa"/>
              <w:end w:w="80" w:type="dxa"/>
            </w:tcMar>
            <w:vAlign w:val="top"/>
          </w:tcPr>
          <w:p>
            <w:pPr>
              <w:spacing w:after="0"/>
            </w:pPr>
            <w:r>
              <w:rPr>
                <w:rFonts w:ascii="Carlito" w:hAnsi="Carlito" w:eastAsia="Carlito"/>
                <w:color w:val="1F2933"/>
                <w:sz w:val="16"/>
              </w:rPr>
              <w:t>Weekly periods P01-P12.</w:t>
            </w:r>
          </w:p>
        </w:tc>
      </w:tr>
      <w:tr>
        <w:tc>
          <w:tcPr>
            <w:tcW w:type="dxa" w:w="1080"/>
            <w:shd w:fill="F7F8F9" w:val="clear"/>
            <w:tcMar>
              <w:top w:w="60" w:type="dxa"/>
              <w:start w:w="80" w:type="dxa"/>
              <w:bottom w:w="60" w:type="dxa"/>
              <w:end w:w="80" w:type="dxa"/>
            </w:tcMar>
            <w:vAlign w:val="top"/>
          </w:tcPr>
          <w:p>
            <w:pPr>
              <w:spacing w:after="0"/>
            </w:pPr>
            <w:r>
              <w:rPr>
                <w:rFonts w:ascii="Carlito" w:hAnsi="Carlito" w:eastAsia="Carlito"/>
                <w:color w:val="1F2933"/>
                <w:sz w:val="16"/>
              </w:rPr>
              <w:t>A</w:t>
            </w:r>
          </w:p>
        </w:tc>
        <w:tc>
          <w:tcPr>
            <w:tcW w:type="dxa" w:w="8856"/>
            <w:shd w:fill="F7F8F9" w:val="clear"/>
            <w:tcMar>
              <w:top w:w="60" w:type="dxa"/>
              <w:start w:w="80" w:type="dxa"/>
              <w:bottom w:w="60" w:type="dxa"/>
              <w:end w:w="80" w:type="dxa"/>
            </w:tcMar>
            <w:vAlign w:val="top"/>
          </w:tcPr>
          <w:p>
            <w:pPr>
              <w:spacing w:after="0"/>
            </w:pPr>
            <w:r>
              <w:rPr>
                <w:rFonts w:ascii="Carlito" w:hAnsi="Carlito" w:eastAsia="Carlito"/>
                <w:color w:val="1F2933"/>
                <w:sz w:val="16"/>
              </w:rPr>
              <w:t>Approved directed material-flow arcs or lane opportunities.</w:t>
            </w:r>
          </w:p>
        </w:tc>
      </w:tr>
      <w:tr>
        <w:tc>
          <w:tcPr>
            <w:tcW w:type="dxa" w:w="1080"/>
            <w:tcMar>
              <w:top w:w="60" w:type="dxa"/>
              <w:start w:w="80" w:type="dxa"/>
              <w:bottom w:w="60" w:type="dxa"/>
              <w:end w:w="80" w:type="dxa"/>
            </w:tcMar>
            <w:vAlign w:val="top"/>
          </w:tcPr>
          <w:p>
            <w:pPr>
              <w:spacing w:after="0"/>
            </w:pPr>
            <w:r>
              <w:rPr>
                <w:rFonts w:ascii="Carlito" w:hAnsi="Carlito" w:eastAsia="Carlito"/>
                <w:color w:val="1F2933"/>
                <w:sz w:val="16"/>
              </w:rPr>
              <w:t>R</w:t>
            </w:r>
          </w:p>
        </w:tc>
        <w:tc>
          <w:tcPr>
            <w:tcW w:type="dxa" w:w="8856"/>
            <w:tcMar>
              <w:top w:w="60" w:type="dxa"/>
              <w:start w:w="80" w:type="dxa"/>
              <w:bottom w:w="60" w:type="dxa"/>
              <w:end w:w="80" w:type="dxa"/>
            </w:tcMar>
            <w:vAlign w:val="top"/>
          </w:tcPr>
          <w:p>
            <w:pPr>
              <w:spacing w:after="0"/>
            </w:pPr>
            <w:r>
              <w:rPr>
                <w:rFonts w:ascii="Carlito" w:hAnsi="Carlito" w:eastAsia="Carlito"/>
                <w:color w:val="1F2933"/>
                <w:sz w:val="16"/>
              </w:rPr>
              <w:t>Transformation recipes configured at eligible nodes.</w:t>
            </w:r>
          </w:p>
        </w:tc>
      </w:tr>
      <w:tr>
        <w:tc>
          <w:tcPr>
            <w:tcW w:type="dxa" w:w="1080"/>
            <w:shd w:fill="F7F8F9" w:val="clear"/>
            <w:tcMar>
              <w:top w:w="60" w:type="dxa"/>
              <w:start w:w="80" w:type="dxa"/>
              <w:bottom w:w="60" w:type="dxa"/>
              <w:end w:w="80" w:type="dxa"/>
            </w:tcMar>
            <w:vAlign w:val="top"/>
          </w:tcPr>
          <w:p>
            <w:pPr>
              <w:spacing w:after="0"/>
            </w:pPr>
            <w:r>
              <w:rPr>
                <w:rFonts w:ascii="Carlito" w:hAnsi="Carlito" w:eastAsia="Carlito"/>
                <w:color w:val="1F2933"/>
                <w:sz w:val="16"/>
              </w:rPr>
              <w:t>K</w:t>
            </w:r>
          </w:p>
        </w:tc>
        <w:tc>
          <w:tcPr>
            <w:tcW w:type="dxa" w:w="8856"/>
            <w:shd w:fill="F7F8F9" w:val="clear"/>
            <w:tcMar>
              <w:top w:w="60" w:type="dxa"/>
              <w:start w:w="80" w:type="dxa"/>
              <w:bottom w:w="60" w:type="dxa"/>
              <w:end w:w="80" w:type="dxa"/>
            </w:tcMar>
            <w:vAlign w:val="top"/>
          </w:tcPr>
          <w:p>
            <w:pPr>
              <w:spacing w:after="0"/>
            </w:pPr>
            <w:r>
              <w:rPr>
                <w:rFonts w:ascii="Carlito" w:hAnsi="Carlito" w:eastAsia="Carlito"/>
                <w:color w:val="1F2933"/>
                <w:sz w:val="16"/>
              </w:rPr>
              <w:t>Commercial contracts and order relationships.</w:t>
            </w:r>
          </w:p>
        </w:tc>
      </w:tr>
      <w:tr>
        <w:tc>
          <w:tcPr>
            <w:tcW w:type="dxa" w:w="1080"/>
            <w:tcMar>
              <w:top w:w="60" w:type="dxa"/>
              <w:start w:w="80" w:type="dxa"/>
              <w:bottom w:w="60" w:type="dxa"/>
              <w:end w:w="80" w:type="dxa"/>
            </w:tcMar>
            <w:vAlign w:val="top"/>
          </w:tcPr>
          <w:p>
            <w:pPr>
              <w:spacing w:after="0"/>
            </w:pPr>
            <w:r>
              <w:rPr>
                <w:rFonts w:ascii="Carlito" w:hAnsi="Carlito" w:eastAsia="Carlito"/>
                <w:color w:val="1F2933"/>
                <w:sz w:val="16"/>
              </w:rPr>
              <w:t>L</w:t>
            </w:r>
          </w:p>
        </w:tc>
        <w:tc>
          <w:tcPr>
            <w:tcW w:type="dxa" w:w="8856"/>
            <w:tcMar>
              <w:top w:w="60" w:type="dxa"/>
              <w:start w:w="80" w:type="dxa"/>
              <w:bottom w:w="60" w:type="dxa"/>
              <w:end w:w="80" w:type="dxa"/>
            </w:tcMar>
            <w:vAlign w:val="top"/>
          </w:tcPr>
          <w:p>
            <w:pPr>
              <w:spacing w:after="0"/>
            </w:pPr>
            <w:r>
              <w:rPr>
                <w:rFonts w:ascii="Carlito" w:hAnsi="Carlito" w:eastAsia="Carlito"/>
                <w:color w:val="1F2933"/>
                <w:sz w:val="16"/>
              </w:rPr>
              <w:t>Shipping lanes and transport modes.</w:t>
            </w:r>
          </w:p>
        </w:tc>
      </w:tr>
      <w:tr>
        <w:tc>
          <w:tcPr>
            <w:tcW w:type="dxa" w:w="1080"/>
            <w:shd w:fill="F7F8F9" w:val="clear"/>
            <w:tcMar>
              <w:top w:w="60" w:type="dxa"/>
              <w:start w:w="80" w:type="dxa"/>
              <w:bottom w:w="60" w:type="dxa"/>
              <w:end w:w="80" w:type="dxa"/>
            </w:tcMar>
            <w:vAlign w:val="top"/>
          </w:tcPr>
          <w:p>
            <w:pPr>
              <w:spacing w:after="0"/>
            </w:pPr>
            <w:r>
              <w:rPr>
                <w:rFonts w:ascii="Carlito" w:hAnsi="Carlito" w:eastAsia="Carlito"/>
                <w:color w:val="1F2933"/>
                <w:sz w:val="16"/>
              </w:rPr>
              <w:t>G</w:t>
            </w:r>
          </w:p>
        </w:tc>
        <w:tc>
          <w:tcPr>
            <w:tcW w:type="dxa" w:w="8856"/>
            <w:shd w:fill="F7F8F9" w:val="clear"/>
            <w:tcMar>
              <w:top w:w="60" w:type="dxa"/>
              <w:start w:w="80" w:type="dxa"/>
              <w:bottom w:w="60" w:type="dxa"/>
              <w:end w:w="80" w:type="dxa"/>
            </w:tcMar>
            <w:vAlign w:val="top"/>
          </w:tcPr>
          <w:p>
            <w:pPr>
              <w:spacing w:after="0"/>
            </w:pPr>
            <w:r>
              <w:rPr>
                <w:rFonts w:ascii="Carlito" w:hAnsi="Carlito" w:eastAsia="Carlito"/>
                <w:color w:val="1F2933"/>
                <w:sz w:val="16"/>
              </w:rPr>
              <w:t>Mutually exclusive or shared recipe groups where configured.</w:t>
            </w:r>
          </w:p>
        </w:tc>
      </w:tr>
      <w:tr>
        <w:tc>
          <w:tcPr>
            <w:tcW w:type="dxa" w:w="1080"/>
            <w:tcMar>
              <w:top w:w="60" w:type="dxa"/>
              <w:start w:w="80" w:type="dxa"/>
              <w:bottom w:w="60" w:type="dxa"/>
              <w:end w:w="80" w:type="dxa"/>
            </w:tcMar>
            <w:vAlign w:val="top"/>
          </w:tcPr>
          <w:p>
            <w:pPr>
              <w:spacing w:after="0"/>
            </w:pPr>
            <w:r>
              <w:rPr>
                <w:rFonts w:ascii="Carlito" w:hAnsi="Carlito" w:eastAsia="Carlito"/>
                <w:color w:val="1F2933"/>
                <w:sz w:val="16"/>
              </w:rPr>
              <w:t>Omega</w:t>
            </w:r>
          </w:p>
        </w:tc>
        <w:tc>
          <w:tcPr>
            <w:tcW w:type="dxa" w:w="8856"/>
            <w:tcMar>
              <w:top w:w="60" w:type="dxa"/>
              <w:start w:w="80" w:type="dxa"/>
              <w:bottom w:w="60" w:type="dxa"/>
              <w:end w:w="80" w:type="dxa"/>
            </w:tcMar>
            <w:vAlign w:val="top"/>
          </w:tcPr>
          <w:p>
            <w:pPr>
              <w:spacing w:after="0"/>
            </w:pPr>
            <w:r>
              <w:rPr>
                <w:rFonts w:ascii="Carlito" w:hAnsi="Carlito" w:eastAsia="Carlito"/>
                <w:color w:val="1F2933"/>
                <w:sz w:val="16"/>
              </w:rPr>
              <w:t>BASE and controlled disruption scenarios.</w:t>
            </w:r>
          </w:p>
        </w:tc>
      </w:tr>
    </w:tbl>
    <w:p>
      <w:pPr>
        <w:spacing w:after="0"/>
      </w:pPr>
    </w:p>
    <w:p>
      <w:pPr>
        <w:pStyle w:val="Heading2"/>
      </w:pPr>
      <w:r>
        <w:t>8.4 Quantity and activation variables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Variable</w:t>
            </w:r>
          </w:p>
        </w:tc>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5904"/>
            <w:shd w:fill="17365D" w:val="clear"/>
            <w:tcMar>
              <w:top w:w="60" w:type="dxa"/>
              <w:start w:w="80" w:type="dxa"/>
              <w:bottom w:w="60" w:type="dxa"/>
              <w:end w:w="80" w:type="dxa"/>
            </w:tcMar>
            <w:vAlign w:val="center"/>
          </w:tcPr>
          <w:p>
            <w:pPr>
              <w:spacing w:after="0"/>
            </w:pPr>
            <w:r>
              <w:rPr>
                <w:rFonts w:ascii="Carlito" w:hAnsi="Carlito" w:eastAsia="Carlito"/>
                <w:b/>
                <w:color w:val="FFFFFF"/>
                <w:sz w:val="15"/>
              </w:rPr>
              <w:t>Meaning</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x[a,m,t]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Quantity dispatched on approved arc a for material m in period t.</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arr[a,m,t]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 or derived</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Quantity arriving after the configured dispatch-to-arrival lag.</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p[n,r,t]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Output produced by recipe r at node n.</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cons[n,r,m,t]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 or derived</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Input material consumed by a recipe.</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I[n,m,t]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End-of-period inventory quantity.</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serve[n,m,t]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Terminal demand fulfilled at a plant.</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short[n,m,t]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Terminal demand shortage used as controlled recourse.</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order_on[k,t]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Binary</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Positive contract order activation.</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lots[k,t]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Non-negative integer</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Number of order multiples.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recipe_on[n,r,t]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Binary where required</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Transformation or setup activation.</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pool_on[n,m,t]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Binary</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Positive node-material-period pool indicator.</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surge[n,r,t]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 linked as required</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Use of configured surge transformation capacity.</w:t>
            </w:r>
          </w:p>
        </w:tc>
      </w:tr>
    </w:tbl>
    <w:p>
      <w:pPr>
        <w:spacing w:after="0"/>
      </w:pPr>
    </w:p>
    <w:p>
      <w:pPr>
        <w:pStyle w:val="Heading2"/>
      </w:pPr>
      <w:r>
        <w:t>8.5 Cost, quantity-pool and value variables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Variable</w:t>
            </w:r>
          </w:p>
        </w:tc>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5904"/>
            <w:shd w:fill="17365D" w:val="clear"/>
            <w:tcMar>
              <w:top w:w="60" w:type="dxa"/>
              <w:start w:w="80" w:type="dxa"/>
              <w:bottom w:w="60" w:type="dxa"/>
              <w:end w:w="80" w:type="dxa"/>
            </w:tcMar>
            <w:vAlign w:val="center"/>
          </w:tcPr>
          <w:p>
            <w:pPr>
              <w:spacing w:after="0"/>
            </w:pPr>
            <w:r>
              <w:rPr>
                <w:rFonts w:ascii="Carlito" w:hAnsi="Carlito" w:eastAsia="Carlito"/>
                <w:b/>
                <w:color w:val="FFFFFF"/>
                <w:sz w:val="15"/>
              </w:rPr>
              <w:t>Meaning</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u[n,m,t]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 bounded</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Weighted-average embedded unit cost of a positive pool.</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Q_pool[n,m,t]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 bounded</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Quantity available before outflows.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V_pool[n,m,t]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 bounded</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Value available before outflows.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V_inv[n,m,t]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End-of-period inventory value.</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V_ship[a,m,t]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Source-pool material value dispatched before receipt additions.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V_receipt[a,m,t]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Value received after capitalised shipment and commercial additions.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V_cons[n,r,m,t]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Pooled value consumed by a transformation.</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V_prod[n,r,t]</w:t>
            </w:r>
          </w:p>
        </w:tc>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shd w:fill="F7F8F9" w:val="clear"/>
            <w:tcMar>
              <w:top w:w="60" w:type="dxa"/>
              <w:start w:w="80" w:type="dxa"/>
              <w:bottom w:w="60" w:type="dxa"/>
              <w:end w:w="80" w:type="dxa"/>
            </w:tcMar>
            <w:vAlign w:val="top"/>
          </w:tcPr>
          <w:p>
            <w:pPr>
              <w:spacing w:after="0"/>
            </w:pPr>
            <w:r>
              <w:rPr>
                <w:rFonts w:ascii="Carlito" w:hAnsi="Carlito" w:eastAsia="Carlito"/>
                <w:color w:val="1F2933"/>
                <w:sz w:val="15"/>
              </w:rPr>
              <w:t>Value of recipe output before pooling with existing output stock.</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5"/>
              </w:rPr>
              <w:t>V_serve[n,m,t]</w:t>
            </w:r>
          </w:p>
        </w:tc>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Continuous</w:t>
            </w:r>
          </w:p>
        </w:tc>
        <w:tc>
          <w:tcPr>
            <w:tcW w:type="dxa" w:w="5904"/>
            <w:tcMar>
              <w:top w:w="60" w:type="dxa"/>
              <w:start w:w="80" w:type="dxa"/>
              <w:bottom w:w="60" w:type="dxa"/>
              <w:end w:w="80" w:type="dxa"/>
            </w:tcMar>
            <w:vAlign w:val="top"/>
          </w:tcPr>
          <w:p>
            <w:pPr>
              <w:spacing w:after="0"/>
            </w:pPr>
            <w:r>
              <w:rPr>
                <w:rFonts w:ascii="Carlito" w:hAnsi="Carlito" w:eastAsia="Carlito"/>
                <w:color w:val="1F2933"/>
                <w:sz w:val="15"/>
              </w:rPr>
              <w:t>Value assigned to fulfilled terminal demand.</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19"/>
            <w:shd w:fill="FFF4D6" w:val="clear"/>
            <w:tcMar>
              <w:top w:w="100" w:type="dxa"/>
              <w:start w:w="130" w:type="dxa"/>
              <w:bottom w:w="100" w:type="dxa"/>
              <w:end w:w="130" w:type="dxa"/>
            </w:tcMar>
            <w:tcBorders>
              <w:top w:val="nil"/>
              <w:start w:val="single" w:sz="18" w:color="C58A00"/>
              <w:bottom w:val="nil"/>
              <w:end w:val="nil"/>
            </w:tcBorders>
          </w:tcPr>
          <w:p>
            <w:pPr>
              <w:spacing w:after="40"/>
            </w:pPr>
            <w:r>
              <w:rPr>
                <w:rFonts w:ascii="Carlito" w:hAnsi="Carlito" w:eastAsia="Carlito"/>
                <w:b/>
                <w:color w:val="C58A00"/>
                <w:sz w:val="18"/>
              </w:rPr>
              <w:t>Bound requirement</w:t>
            </w:r>
          </w:p>
          <w:p>
            <w:pPr>
              <w:spacing w:after="0"/>
            </w:pPr>
            <w:r>
              <w:rPr>
                <w:rFonts w:ascii="Carlito" w:hAnsi="Carlito" w:eastAsia="Carlito"/>
                <w:color w:val="1F2933"/>
                <w:sz w:val="18"/>
              </w:rPr>
              <w:t>Every quantity, value and unit-cost variable used in a bilinear relationship requires a finite, defensible bound. Bound construction, scaling and resulting relaxation strength are part of the model design and assessment.</w:t>
            </w:r>
          </w:p>
        </w:tc>
      </w:tr>
    </w:tbl>
    <w:p>
      <w:pPr>
        <w:spacing w:after="0"/>
      </w:pPr>
    </w:p>
    <w:p>
      <w:pPr>
        <w:pStyle w:val="Heading2"/>
      </w:pPr>
      <w:r>
        <w:t>8.6 Physical constraint families</w:t>
      </w:r>
    </w:p>
    <w:p>
      <w:pPr>
        <w:pStyle w:val="ListBullet"/>
        <w:spacing w:after="44"/>
        <w:ind w:left="317" w:hanging="173"/>
      </w:pPr>
      <w:r>
        <w:t>active approvals, contracts, recipes and lanes are required for positive decisions;</w:t>
      </w:r>
    </w:p>
    <w:p>
      <w:pPr>
        <w:pStyle w:val="ListBullet"/>
        <w:spacing w:after="44"/>
        <w:ind w:left="317" w:hanging="173"/>
      </w:pPr>
      <w:r>
        <w:t>effective dates and node/material compatibility are enforced;</w:t>
      </w:r>
    </w:p>
    <w:p>
      <w:pPr>
        <w:pStyle w:val="ListBullet"/>
        <w:spacing w:after="44"/>
        <w:ind w:left="317" w:hanging="173"/>
      </w:pPr>
      <w:r>
        <w:t>orders reconcile to integer lots, MOQ, upper bounds and activation binaries;</w:t>
      </w:r>
    </w:p>
    <w:p>
      <w:pPr>
        <w:pStyle w:val="ListBullet"/>
        <w:spacing w:after="44"/>
        <w:ind w:left="317" w:hanging="173"/>
      </w:pPr>
      <w:r>
        <w:t>external-source, transformation, surge, storage and lane capacities are respected;</w:t>
      </w:r>
    </w:p>
    <w:p>
      <w:pPr>
        <w:pStyle w:val="ListBullet"/>
        <w:spacing w:after="44"/>
        <w:ind w:left="317" w:hanging="173"/>
      </w:pPr>
      <w:r>
        <w:t>dispatch and arrival periods reflect handling and transport lag;</w:t>
      </w:r>
    </w:p>
    <w:p>
      <w:pPr>
        <w:pStyle w:val="ListBullet"/>
        <w:spacing w:after="44"/>
        <w:ind w:left="317" w:hanging="173"/>
      </w:pPr>
      <w:r>
        <w:t>recipe inputs reconcile to output, BOM coefficients and yield;</w:t>
      </w:r>
    </w:p>
    <w:p>
      <w:pPr>
        <w:pStyle w:val="ListBullet"/>
        <w:spacing w:after="44"/>
        <w:ind w:left="317" w:hanging="173"/>
      </w:pPr>
      <w:r>
        <w:t>inventory, production, shipments, consumption, demand and shortage conserve quantity;</w:t>
      </w:r>
    </w:p>
    <w:p>
      <w:pPr>
        <w:pStyle w:val="ListBullet"/>
        <w:spacing w:after="44"/>
        <w:ind w:left="317" w:hanging="173"/>
      </w:pPr>
      <w:r>
        <w:t>terminal demand is served only from material available at the plant;</w:t>
      </w:r>
    </w:p>
    <w:p>
      <w:pPr>
        <w:pStyle w:val="ListBullet"/>
        <w:spacing w:after="44"/>
        <w:ind w:left="317" w:hanging="173"/>
      </w:pPr>
      <w:r>
        <w:t>exclusive-recipe groups, minimum runs and setup logic apply where configured;</w:t>
      </w:r>
    </w:p>
    <w:p>
      <w:pPr>
        <w:pStyle w:val="ListBullet"/>
        <w:spacing w:after="44"/>
        <w:ind w:left="317" w:hanging="173"/>
      </w:pPr>
      <w:r>
        <w:t>scenario transformations apply consistently to the same authoritative BASE data.</w:t>
      </w:r>
    </w:p>
    <w:p>
      <w:pPr>
        <w:pStyle w:val="Heading2"/>
      </w:pPr>
      <w:r>
        <w:t>8.7 Quantity pool</w:t>
      </w:r>
    </w:p>
    <w:p>
      <w:pPr>
        <w:spacing w:after="90"/>
      </w:pPr>
      <w:r>
        <w:t>For each node n, material m and period t, the pre-outflow pool contains carried inventory, arriving shipments and completed production of that material:</w:t>
      </w:r>
    </w:p>
    <w:p>
      <w:pPr>
        <w:spacing w:before="60" w:after="100"/>
        <w:jc w:val="center"/>
      </w:pPr>
      <w:r>
        <w:rPr>
          <w:rFonts w:ascii="Cambria Math" w:hAnsi="Cambria Math" w:eastAsia="Cambria Math"/>
          <w:b w:val="0"/>
          <w:i/>
          <w:color w:val="17365D"/>
          <w:sz w:val="20"/>
        </w:rPr>
        <w:t>Q_pool[n,m,t] = I[n,m,t-1] + sum(arr[a,m,t]) + sum(p[n,r,t] : output(r)=m)</w:t>
      </w:r>
    </w:p>
    <w:p>
      <w:pPr>
        <w:spacing w:after="90"/>
      </w:pPr>
      <w:r>
        <w:t>For P01, configured usable opening inventory replaces the prior-period inventory term. Only applicable inbound terms are active for a given node and material.</w:t>
      </w:r>
    </w:p>
    <w:p>
      <w:pPr>
        <w:pStyle w:val="Heading2"/>
      </w:pPr>
      <w:r>
        <w:t>8.8 Value pool and exact weighted-average cost</w:t>
      </w:r>
    </w:p>
    <w:p>
      <w:pPr>
        <w:spacing w:before="60" w:after="100"/>
        <w:jc w:val="center"/>
      </w:pPr>
      <w:r>
        <w:rPr>
          <w:rFonts w:ascii="Cambria Math" w:hAnsi="Cambria Math" w:eastAsia="Cambria Math"/>
          <w:b w:val="0"/>
          <w:i/>
          <w:color w:val="17365D"/>
          <w:sz w:val="20"/>
        </w:rPr>
        <w:t>V_pool[n,m,t] = V_inv[n,m,t-1] + sum(V_receipt[a,m,t]) + sum(V_prod[n,r,t] : output(r)=m)</w:t>
      </w:r>
    </w:p>
    <w:p>
      <w:pPr>
        <w:spacing w:before="60" w:after="100"/>
        <w:jc w:val="center"/>
      </w:pPr>
      <w:r>
        <w:rPr>
          <w:rFonts w:ascii="Cambria Math" w:hAnsi="Cambria Math" w:eastAsia="Cambria Math"/>
          <w:b w:val="0"/>
          <w:i/>
          <w:color w:val="17365D"/>
          <w:sz w:val="20"/>
        </w:rPr>
        <w:t>V_pool[n,m,t] = u[n,m,t] * Q_pool[n,m,t]</w:t>
      </w:r>
    </w:p>
    <w:p>
      <w:pPr>
        <w:spacing w:after="90"/>
      </w:pPr>
      <w:r>
        <w:t>The second equality is bilinear. It defines the exact weighted-average embedded unit cost of every positive node-material-period pool.</w:t>
      </w:r>
    </w:p>
    <w:p>
      <w:pPr>
        <w:pStyle w:val="Heading2"/>
      </w:pPr>
      <w:r>
        <w:t>8.9 Quantity outflow and common pool valuation</w:t>
      </w:r>
    </w:p>
    <w:p>
      <w:pPr>
        <w:spacing w:before="60" w:after="100"/>
        <w:jc w:val="center"/>
      </w:pPr>
      <w:r>
        <w:rPr>
          <w:rFonts w:ascii="Cambria Math" w:hAnsi="Cambria Math" w:eastAsia="Cambria Math"/>
          <w:b w:val="0"/>
          <w:i/>
          <w:color w:val="17365D"/>
          <w:sz w:val="20"/>
        </w:rPr>
        <w:t>Q_pool[n,m,t] = I[n,m,t] + sum(x[a,m,t]) + sum(cons[n,r,m,t]) + serve[n,m,t]</w:t>
      </w:r>
    </w:p>
    <w:p>
      <w:pPr>
        <w:spacing w:after="90"/>
      </w:pPr>
      <w:r>
        <w:t>Every applicable outflow carries the same pool unit cost:</w:t>
      </w:r>
    </w:p>
    <w:p>
      <w:pPr>
        <w:spacing w:before="60" w:after="100"/>
        <w:jc w:val="center"/>
      </w:pPr>
      <w:r>
        <w:rPr>
          <w:rFonts w:ascii="Cambria Math" w:hAnsi="Cambria Math" w:eastAsia="Cambria Math"/>
          <w:b w:val="0"/>
          <w:i/>
          <w:color w:val="17365D"/>
          <w:sz w:val="20"/>
        </w:rPr>
        <w:t>V_inv = u * I     |     V_ship = u * x     |     V_cons = u * cons     |     V_serve = u * serve</w:t>
      </w:r>
    </w:p>
    <w:p>
      <w:pPr>
        <w:spacing w:after="90"/>
      </w:pPr>
      <w:r>
        <w:t>The implementation must not allow the optimiser to assign a low unit cost to demand and a high unit cost to closing inventory or another simultaneous outflow from the same pool.</w:t>
      </w:r>
    </w:p>
    <w:p>
      <w:pPr>
        <w:pStyle w:val="Heading2"/>
      </w:pPr>
      <w:r>
        <w:t>8.10 Pool value conservation</w:t>
      </w:r>
    </w:p>
    <w:p>
      <w:pPr>
        <w:spacing w:before="60" w:after="100"/>
        <w:jc w:val="center"/>
      </w:pPr>
      <w:r>
        <w:rPr>
          <w:rFonts w:ascii="Cambria Math" w:hAnsi="Cambria Math" w:eastAsia="Cambria Math"/>
          <w:b w:val="0"/>
          <w:i/>
          <w:color w:val="17365D"/>
          <w:sz w:val="20"/>
        </w:rPr>
        <w:t>V_pool = V_inv + sum(V_ship) + sum(V_cons) + V_serve</w:t>
      </w:r>
    </w:p>
    <w:p>
      <w:pPr>
        <w:spacing w:after="90"/>
      </w:pPr>
      <w:r>
        <w:t>The reference formulation may omit an algebraically redundant equality where retaining it harms conditioning. The standard outputs must still contain enough evidence for quantity and value conservation to be recomputed independently for every pool.</w:t>
      </w:r>
    </w:p>
    <w:p>
      <w:pPr>
        <w:pStyle w:val="Heading2"/>
      </w:pPr>
      <w:r>
        <w:t>8.11 Recipe consumption and production value</w:t>
      </w:r>
    </w:p>
    <w:p>
      <w:pPr>
        <w:spacing w:before="60" w:after="100"/>
        <w:jc w:val="center"/>
      </w:pPr>
      <w:r>
        <w:rPr>
          <w:rFonts w:ascii="Cambria Math" w:hAnsi="Cambria Math" w:eastAsia="Cambria Math"/>
          <w:b w:val="0"/>
          <w:i/>
          <w:color w:val="17365D"/>
          <w:sz w:val="20"/>
        </w:rPr>
        <w:t>cons[n,r,m,t] = (BOM_coefficient[r,m] / yield[n,r]) * p[n,r,t]</w:t>
      </w:r>
    </w:p>
    <w:p>
      <w:pPr>
        <w:spacing w:after="90"/>
      </w:pPr>
      <w:r>
        <w:t>Release 1 uses one configured yield for each node-recipe-period. The required input convention increases consumption for yield loss and records the planned output quantity directly.</w:t>
      </w:r>
    </w:p>
    <w:p>
      <w:pPr>
        <w:spacing w:before="60" w:after="100"/>
        <w:jc w:val="center"/>
      </w:pPr>
      <w:r>
        <w:rPr>
          <w:rFonts w:ascii="Cambria Math" w:hAnsi="Cambria Math" w:eastAsia="Cambria Math"/>
          <w:b w:val="0"/>
          <w:i/>
          <w:color w:val="17365D"/>
          <w:sz w:val="20"/>
        </w:rPr>
        <w:t>eligible_base = sum(V_cons) + variable_conversion_cost * p + fixed_setup_cost * recipe_on + eligible_overhead</w:t>
      </w:r>
    </w:p>
    <w:p>
      <w:pPr>
        <w:spacing w:before="60" w:after="100"/>
        <w:jc w:val="center"/>
      </w:pPr>
      <w:r>
        <w:rPr>
          <w:rFonts w:ascii="Cambria Math" w:hAnsi="Cambria Math" w:eastAsia="Cambria Math"/>
          <w:b w:val="0"/>
          <w:i/>
          <w:color w:val="17365D"/>
          <w:sz w:val="20"/>
        </w:rPr>
        <w:t>V_prod[n,r,t] = eligible_base * (1 + configured_markup_rate[n,r,t])</w:t>
      </w:r>
    </w:p>
    <w:p>
      <w:pPr>
        <w:spacing w:after="90"/>
      </w:pPr>
      <w:r>
        <w:t>The markup rate is exogenous and is applied once to the configured eligible base. Any cost excluded from the markup base must be identified explicitly in the cost-allocation rules. Alternative recipes may blend unless an exclusive recipe group is configured.</w:t>
      </w:r>
    </w:p>
    <w:p>
      <w:pPr>
        <w:pStyle w:val="Heading2"/>
      </w:pPr>
      <w:r>
        <w:t>8.12 Shipment and receipt value</w:t>
      </w:r>
    </w:p>
    <w:p>
      <w:pPr>
        <w:spacing w:before="60" w:after="100"/>
        <w:jc w:val="center"/>
      </w:pPr>
      <w:r>
        <w:rPr>
          <w:rFonts w:ascii="Cambria Math" w:hAnsi="Cambria Math" w:eastAsia="Cambria Math"/>
          <w:b w:val="0"/>
          <w:i/>
          <w:color w:val="17365D"/>
          <w:sz w:val="20"/>
        </w:rPr>
        <w:t>V_ship[a,m,t] = u[origin(a),m,t] * x[a,m,t]</w:t>
      </w:r>
    </w:p>
    <w:p>
      <w:pPr>
        <w:spacing w:before="60" w:after="100"/>
        <w:jc w:val="center"/>
      </w:pPr>
      <w:r>
        <w:rPr>
          <w:rFonts w:ascii="Cambria Math" w:hAnsi="Cambria Math" w:eastAsia="Cambria Math"/>
          <w:b w:val="0"/>
          <w:i/>
          <w:color w:val="17365D"/>
          <w:sz w:val="20"/>
        </w:rPr>
        <w:t>V_receipt[a,m,t_arr] = V_ship[a,m,t] + freight + duty + insurance + capitalised_order_or_shipment_cost</w:t>
      </w:r>
    </w:p>
    <w:p>
      <w:pPr>
        <w:spacing w:after="90"/>
      </w:pPr>
      <w:r>
        <w:t>Variable freight is normally a fixed rate multiplied by quantity. Duty and insurance may be fixed percentages of configured customs or insured value. Fixed rates multiplying a value variable remain linear. Directly attributable fixed order or shipment costs are capitalised only when the approved allocation rule identifies the receiving material pool. Horizon relationship-activation cost is non-capitalised.</w:t>
      </w:r>
    </w:p>
    <w:p>
      <w:pPr>
        <w:pStyle w:val="Heading2"/>
      </w:pPr>
      <w:r>
        <w:t>8.13 External boundary sourcing</w:t>
      </w:r>
    </w:p>
    <w:p>
      <w:pPr>
        <w:spacing w:before="60" w:after="100"/>
        <w:jc w:val="center"/>
      </w:pPr>
      <w:r>
        <w:rPr>
          <w:rFonts w:ascii="Cambria Math" w:hAnsi="Cambria Math" w:eastAsia="Cambria Math"/>
          <w:b w:val="0"/>
          <w:i/>
          <w:color w:val="17365D"/>
          <w:sz w:val="20"/>
        </w:rPr>
        <w:t>V_ship[a,m,t] = external_unit_price[a,m,t] * x[a,m,t]</w:t>
      </w:r>
    </w:p>
    <w:p>
      <w:pPr>
        <w:spacing w:after="90"/>
      </w:pPr>
      <w:r>
        <w:t>Exogenous material price is permitted only at declared boundary-source contracts. Tier 1-Tier 3 material costs are calculated from upstream value, transformation and shipment additions. Comparator-only standard costs must never enter the recursive model.</w:t>
      </w:r>
    </w:p>
    <w:p>
      <w:pPr>
        <w:pStyle w:val="Heading2"/>
      </w:pPr>
      <w:r>
        <w:t>8.14 MOQ, lots and activation</w:t>
      </w:r>
    </w:p>
    <w:p>
      <w:pPr>
        <w:spacing w:before="60" w:after="100"/>
        <w:jc w:val="center"/>
      </w:pPr>
      <w:r>
        <w:rPr>
          <w:rFonts w:ascii="Cambria Math" w:hAnsi="Cambria Math" w:eastAsia="Cambria Math"/>
          <w:b w:val="0"/>
          <w:i/>
          <w:color w:val="17365D"/>
          <w:sz w:val="20"/>
        </w:rPr>
        <w:t>order_quantity[k,t] = order_multiple[k] * lots[k,t]</w:t>
      </w:r>
    </w:p>
    <w:p>
      <w:pPr>
        <w:spacing w:before="60" w:after="100"/>
        <w:jc w:val="center"/>
      </w:pPr>
      <w:r>
        <w:rPr>
          <w:rFonts w:ascii="Cambria Math" w:hAnsi="Cambria Math" w:eastAsia="Cambria Math"/>
          <w:b w:val="0"/>
          <w:i/>
          <w:color w:val="17365D"/>
          <w:sz w:val="20"/>
        </w:rPr>
        <w:t>MOQ[k] * order_on[k,t] &lt;= order_quantity[k,t] &lt;= order_upper_bound[k,t] * order_on[k,t]</w:t>
      </w:r>
    </w:p>
    <w:p>
      <w:pPr>
        <w:spacing w:after="90"/>
      </w:pPr>
      <w:r>
        <w:t>The generator must make order multiples, MOQ, fixed ordering costs and activation decisions economically material without rendering BASE accidentally infeasible.</w:t>
      </w:r>
    </w:p>
    <w:p>
      <w:pPr>
        <w:pStyle w:val="Heading2"/>
      </w:pPr>
      <w:r>
        <w:t>8.15 Zero-pool control and bounds</w:t>
      </w:r>
    </w:p>
    <w:p>
      <w:pPr>
        <w:spacing w:before="60" w:after="100"/>
        <w:jc w:val="center"/>
      </w:pPr>
      <w:r>
        <w:rPr>
          <w:rFonts w:ascii="Cambria Math" w:hAnsi="Cambria Math" w:eastAsia="Cambria Math"/>
          <w:b w:val="0"/>
          <w:i/>
          <w:color w:val="17365D"/>
          <w:sz w:val="20"/>
        </w:rPr>
        <w:t>epsilon[n,m,t] * pool_on &lt;= Q_pool &lt;= Q_max[n,m,t] * pool_on</w:t>
      </w:r>
    </w:p>
    <w:p>
      <w:pPr>
        <w:spacing w:before="60" w:after="100"/>
        <w:jc w:val="center"/>
      </w:pPr>
      <w:r>
        <w:rPr>
          <w:rFonts w:ascii="Cambria Math" w:hAnsi="Cambria Math" w:eastAsia="Cambria Math"/>
          <w:b w:val="0"/>
          <w:i/>
          <w:color w:val="17365D"/>
          <w:sz w:val="20"/>
        </w:rPr>
        <w:t>u_min[n,m,t] * pool_on &lt;= u &lt;= u_max[n,m,t] * pool_on</w:t>
      </w:r>
    </w:p>
    <w:p>
      <w:pPr>
        <w:spacing w:after="90"/>
      </w:pPr>
      <w:r>
        <w:t>When pool_on is zero, quantity, value and unit cost are zero. The release may use an equivalent indicator or semi-continuous formulation. The minimum meaningful quantity must be small relative to legitimate lots and large enough to prevent unstable cost from numerically negligible pools.</w:t>
      </w:r>
    </w:p>
    <w:p>
      <w:pPr>
        <w:pStyle w:val="Heading2"/>
      </w:pPr>
      <w:r>
        <w:t>8.16 Bound-construction policy</w:t>
      </w:r>
    </w:p>
    <w:p>
      <w:pPr>
        <w:spacing w:after="90"/>
      </w:pPr>
      <w:r>
        <w:t>Private generation code must construct bounds by topological propagation through the acyclic network. Quantity upper bounds should reflect demand, storage, capacity, lot and lane limits. Unit-cost lower and upper bounds should combine external price ranges, worst-case capitalised lane additions, conversion, setup allocation, yield, overhead, markup and scenario cost multipliers. A safety margin may be applied and recorded. Bounds must be validated against every reference result and negative test.</w:t>
      </w:r>
    </w:p>
    <w:p>
      <w:pPr>
        <w:pStyle w:val="Heading2"/>
      </w:pPr>
      <w:r>
        <w:t>8.17 Objective hierarchy</w:t>
      </w:r>
    </w:p>
    <w:p>
      <w:pPr>
        <w:spacing w:after="90"/>
      </w:pPr>
      <w:r>
        <w:t>The reference implementation uses lexicographic stages so service protection cannot be traded away for marginal cost reduction.</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792"/>
            <w:shd w:fill="17365D" w:val="clear"/>
            <w:tcMar>
              <w:top w:w="60" w:type="dxa"/>
              <w:start w:w="80" w:type="dxa"/>
              <w:bottom w:w="60" w:type="dxa"/>
              <w:end w:w="80" w:type="dxa"/>
            </w:tcMar>
            <w:vAlign w:val="center"/>
          </w:tcPr>
          <w:p>
            <w:pPr>
              <w:spacing w:after="0"/>
            </w:pPr>
            <w:r>
              <w:rPr>
                <w:rFonts w:ascii="Carlito" w:hAnsi="Carlito" w:eastAsia="Carlito"/>
                <w:b/>
                <w:color w:val="FFFFFF"/>
                <w:sz w:val="15"/>
              </w:rPr>
              <w:t>Stage</w:t>
            </w:r>
          </w:p>
        </w:tc>
        <w:tc>
          <w:tcPr>
            <w:tcW w:type="dxa" w:w="4968"/>
            <w:shd w:fill="17365D" w:val="clear"/>
            <w:tcMar>
              <w:top w:w="60" w:type="dxa"/>
              <w:start w:w="80" w:type="dxa"/>
              <w:bottom w:w="60" w:type="dxa"/>
              <w:end w:w="80" w:type="dxa"/>
            </w:tcMar>
            <w:vAlign w:val="center"/>
          </w:tcPr>
          <w:p>
            <w:pPr>
              <w:spacing w:after="0"/>
            </w:pPr>
            <w:r>
              <w:rPr>
                <w:rFonts w:ascii="Carlito" w:hAnsi="Carlito" w:eastAsia="Carlito"/>
                <w:b/>
                <w:color w:val="FFFFFF"/>
                <w:sz w:val="15"/>
              </w:rPr>
              <w:t>Objective</w:t>
            </w:r>
          </w:p>
        </w:tc>
        <w:tc>
          <w:tcPr>
            <w:tcW w:type="dxa" w:w="4176"/>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Control intent</w:t>
            </w:r>
          </w:p>
        </w:tc>
      </w:tr>
      <w:tr>
        <w:tc>
          <w:tcPr>
            <w:tcW w:type="dxa" w:w="792"/>
            <w:tcMar>
              <w:top w:w="60" w:type="dxa"/>
              <w:start w:w="80" w:type="dxa"/>
              <w:bottom w:w="60" w:type="dxa"/>
              <w:end w:w="80" w:type="dxa"/>
            </w:tcMar>
            <w:vAlign w:val="top"/>
          </w:tcPr>
          <w:p>
            <w:pPr>
              <w:spacing w:after="0"/>
            </w:pPr>
            <w:r>
              <w:rPr>
                <w:rFonts w:ascii="Carlito" w:hAnsi="Carlito" w:eastAsia="Carlito"/>
                <w:color w:val="1F2933"/>
                <w:sz w:val="15"/>
              </w:rPr>
              <w:t>1</w:t>
            </w:r>
          </w:p>
        </w:tc>
        <w:tc>
          <w:tcPr>
            <w:tcW w:type="dxa" w:w="4968"/>
            <w:tcMar>
              <w:top w:w="60" w:type="dxa"/>
              <w:start w:w="80" w:type="dxa"/>
              <w:bottom w:w="60" w:type="dxa"/>
              <w:end w:w="80" w:type="dxa"/>
            </w:tcMar>
            <w:vAlign w:val="top"/>
          </w:tcPr>
          <w:p>
            <w:pPr>
              <w:spacing w:after="0"/>
            </w:pPr>
            <w:r>
              <w:rPr>
                <w:rFonts w:ascii="Carlito" w:hAnsi="Carlito" w:eastAsia="Carlito"/>
                <w:color w:val="1F2933"/>
                <w:sz w:val="15"/>
              </w:rPr>
              <w:t>Minimise weighted terminal shortage.</w:t>
            </w:r>
          </w:p>
        </w:tc>
        <w:tc>
          <w:tcPr>
            <w:tcW w:type="dxa" w:w="4176"/>
            <w:tcMar>
              <w:top w:w="60" w:type="dxa"/>
              <w:start w:w="80" w:type="dxa"/>
              <w:bottom w:w="60" w:type="dxa"/>
              <w:end w:w="80" w:type="dxa"/>
            </w:tcMar>
            <w:vAlign w:val="top"/>
          </w:tcPr>
          <w:p>
            <w:pPr>
              <w:spacing w:after="0"/>
            </w:pPr>
            <w:r>
              <w:rPr>
                <w:rFonts w:ascii="Carlito" w:hAnsi="Carlito" w:eastAsia="Carlito"/>
                <w:color w:val="1F2933"/>
                <w:sz w:val="15"/>
              </w:rPr>
              <w:t>BASE must reach zero; stress scenarios report controlled recourse.</w:t>
            </w:r>
          </w:p>
        </w:tc>
      </w:tr>
      <w:tr>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5"/>
              </w:rPr>
              <w:t>2</w:t>
            </w:r>
          </w:p>
        </w:tc>
        <w:tc>
          <w:tcPr>
            <w:tcW w:type="dxa" w:w="4968"/>
            <w:shd w:fill="F7F8F9" w:val="clear"/>
            <w:tcMar>
              <w:top w:w="60" w:type="dxa"/>
              <w:start w:w="80" w:type="dxa"/>
              <w:bottom w:w="60" w:type="dxa"/>
              <w:end w:w="80" w:type="dxa"/>
            </w:tcMar>
            <w:vAlign w:val="top"/>
          </w:tcPr>
          <w:p>
            <w:pPr>
              <w:spacing w:after="0"/>
            </w:pPr>
            <w:r>
              <w:rPr>
                <w:rFonts w:ascii="Carlito" w:hAnsi="Carlito" w:eastAsia="Carlito"/>
                <w:color w:val="1F2933"/>
                <w:sz w:val="15"/>
              </w:rPr>
              <w:t>At the minimum Stage-1 result, minimise terminal served value + closing inventory value at every controlled node + non-capitalised cost.</w:t>
            </w:r>
          </w:p>
        </w:tc>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5"/>
              </w:rPr>
              <w:t>Captures recursively propagated economic value without summing intermediate and terminal value twice.</w:t>
            </w:r>
          </w:p>
        </w:tc>
      </w:tr>
      <w:tr>
        <w:tc>
          <w:tcPr>
            <w:tcW w:type="dxa" w:w="792"/>
            <w:tcMar>
              <w:top w:w="60" w:type="dxa"/>
              <w:start w:w="80" w:type="dxa"/>
              <w:bottom w:w="60" w:type="dxa"/>
              <w:end w:w="80" w:type="dxa"/>
            </w:tcMar>
            <w:vAlign w:val="top"/>
          </w:tcPr>
          <w:p>
            <w:pPr>
              <w:spacing w:after="0"/>
            </w:pPr>
            <w:r>
              <w:rPr>
                <w:rFonts w:ascii="Carlito" w:hAnsi="Carlito" w:eastAsia="Carlito"/>
                <w:color w:val="1F2933"/>
                <w:sz w:val="15"/>
              </w:rPr>
              <w:t>3</w:t>
            </w:r>
          </w:p>
        </w:tc>
        <w:tc>
          <w:tcPr>
            <w:tcW w:type="dxa" w:w="4968"/>
            <w:tcMar>
              <w:top w:w="60" w:type="dxa"/>
              <w:start w:w="80" w:type="dxa"/>
              <w:bottom w:w="60" w:type="dxa"/>
              <w:end w:w="80" w:type="dxa"/>
            </w:tcMar>
            <w:vAlign w:val="top"/>
          </w:tcPr>
          <w:p>
            <w:pPr>
              <w:spacing w:after="0"/>
            </w:pPr>
            <w:r>
              <w:rPr>
                <w:rFonts w:ascii="Carlito" w:hAnsi="Carlito" w:eastAsia="Carlito"/>
                <w:color w:val="1F2933"/>
                <w:sz w:val="15"/>
              </w:rPr>
              <w:t>At the Stage-2 optimum or accepted tolerance, minimise surplus quantity and unnecessary order, recipe or relationship activations.</w:t>
            </w:r>
          </w:p>
        </w:tc>
        <w:tc>
          <w:tcPr>
            <w:tcW w:type="dxa" w:w="4176"/>
            <w:tcMar>
              <w:top w:w="60" w:type="dxa"/>
              <w:start w:w="80" w:type="dxa"/>
              <w:bottom w:w="60" w:type="dxa"/>
              <w:end w:w="80" w:type="dxa"/>
            </w:tcMar>
            <w:vAlign w:val="top"/>
          </w:tcPr>
          <w:p>
            <w:pPr>
              <w:spacing w:after="0"/>
            </w:pPr>
            <w:r>
              <w:rPr>
                <w:rFonts w:ascii="Carlito" w:hAnsi="Carlito" w:eastAsia="Carlito"/>
                <w:color w:val="1F2933"/>
                <w:sz w:val="15"/>
              </w:rPr>
              <w:t>Breaks alternative optima and discourages trapped stock and operational complexity.</w:t>
            </w:r>
          </w:p>
        </w:tc>
      </w:tr>
    </w:tbl>
    <w:p>
      <w:pPr>
        <w:spacing w:after="0"/>
      </w:pPr>
    </w:p>
    <w:p>
      <w:pPr>
        <w:spacing w:before="60" w:after="100"/>
        <w:jc w:val="center"/>
      </w:pPr>
      <w:r>
        <w:rPr>
          <w:rFonts w:ascii="Cambria Math" w:hAnsi="Cambria Math" w:eastAsia="Cambria Math"/>
          <w:b w:val="0"/>
          <w:i/>
          <w:color w:val="17365D"/>
          <w:sz w:val="20"/>
        </w:rPr>
        <w:t>Stage 2 = sum(V_serve at plants) + sum(V_inv at P12 across all nodes) + C_noncapitalised</w:t>
      </w:r>
    </w:p>
    <w:p>
      <w:pPr>
        <w:spacing w:after="90"/>
      </w:pPr>
      <w:r>
        <w:t>The model also reports incremental new spend separately from accounting cost. Opening book value participates in weighted-average pools and therefore in the accounting cost assigned to terminal demand and closing inventory.</w:t>
      </w:r>
    </w:p>
    <w:p>
      <w:pPr>
        <w:pStyle w:val="Heading2"/>
      </w:pPr>
      <w:r>
        <w:t>8.18 Cost classification and no-double-count policy</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3096"/>
            <w:shd w:fill="17365D" w:val="clear"/>
            <w:tcMar>
              <w:top w:w="60" w:type="dxa"/>
              <w:start w:w="80" w:type="dxa"/>
              <w:bottom w:w="60" w:type="dxa"/>
              <w:end w:w="80" w:type="dxa"/>
            </w:tcMar>
            <w:vAlign w:val="center"/>
          </w:tcPr>
          <w:p>
            <w:pPr>
              <w:spacing w:after="0"/>
            </w:pPr>
            <w:r>
              <w:rPr>
                <w:rFonts w:ascii="Carlito" w:hAnsi="Carlito" w:eastAsia="Carlito"/>
                <w:b/>
                <w:color w:val="FFFFFF"/>
                <w:sz w:val="16"/>
              </w:rPr>
              <w:t>Cost category</w:t>
            </w:r>
          </w:p>
        </w:tc>
        <w:tc>
          <w:tcPr>
            <w:tcW w:type="dxa" w:w="6840"/>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Release-1 treatment</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External material purchase</w:t>
            </w:r>
          </w:p>
        </w:tc>
        <w:tc>
          <w:tcPr>
            <w:tcW w:type="dxa" w:w="6840"/>
            <w:tcMar>
              <w:top w:w="60" w:type="dxa"/>
              <w:start w:w="80" w:type="dxa"/>
              <w:bottom w:w="60" w:type="dxa"/>
              <w:end w:w="80" w:type="dxa"/>
            </w:tcMar>
            <w:vAlign w:val="top"/>
          </w:tcPr>
          <w:p>
            <w:pPr>
              <w:spacing w:after="0"/>
            </w:pPr>
            <w:r>
              <w:rPr>
                <w:rFonts w:ascii="Carlito" w:hAnsi="Carlito" w:eastAsia="Carlito"/>
                <w:color w:val="1F2933"/>
                <w:sz w:val="16"/>
              </w:rPr>
              <w:t>Capitalised at the external boundary.</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Variable freight, duty and insurance</w:t>
            </w:r>
          </w:p>
        </w:tc>
        <w:tc>
          <w:tcPr>
            <w:tcW w:type="dxa" w:w="6840"/>
            <w:shd w:fill="F7F8F9" w:val="clear"/>
            <w:tcMar>
              <w:top w:w="60" w:type="dxa"/>
              <w:start w:w="80" w:type="dxa"/>
              <w:bottom w:w="60" w:type="dxa"/>
              <w:end w:w="80" w:type="dxa"/>
            </w:tcMar>
            <w:vAlign w:val="top"/>
          </w:tcPr>
          <w:p>
            <w:pPr>
              <w:spacing w:after="0"/>
            </w:pPr>
            <w:r>
              <w:rPr>
                <w:rFonts w:ascii="Carlito" w:hAnsi="Carlito" w:eastAsia="Carlito"/>
                <w:color w:val="1F2933"/>
                <w:sz w:val="16"/>
              </w:rPr>
              <w:t>Capitalised into receipt value when Asterion bears the configured cost.</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Direct fixed order or shipment cost</w:t>
            </w:r>
          </w:p>
        </w:tc>
        <w:tc>
          <w:tcPr>
            <w:tcW w:type="dxa" w:w="6840"/>
            <w:tcMar>
              <w:top w:w="60" w:type="dxa"/>
              <w:start w:w="80" w:type="dxa"/>
              <w:bottom w:w="60" w:type="dxa"/>
              <w:end w:w="80" w:type="dxa"/>
            </w:tcMar>
            <w:vAlign w:val="top"/>
          </w:tcPr>
          <w:p>
            <w:pPr>
              <w:spacing w:after="0"/>
            </w:pPr>
            <w:r>
              <w:rPr>
                <w:rFonts w:ascii="Carlito" w:hAnsi="Carlito" w:eastAsia="Carlito"/>
                <w:color w:val="1F2933"/>
                <w:sz w:val="16"/>
              </w:rPr>
              <w:t>Capitalised only where directly attributable to the receiving pool.</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Conversion, setup, eligible overhead and surge</w:t>
            </w:r>
          </w:p>
        </w:tc>
        <w:tc>
          <w:tcPr>
            <w:tcW w:type="dxa" w:w="6840"/>
            <w:shd w:fill="F7F8F9" w:val="clear"/>
            <w:tcMar>
              <w:top w:w="60" w:type="dxa"/>
              <w:start w:w="80" w:type="dxa"/>
              <w:bottom w:w="60" w:type="dxa"/>
              <w:end w:w="80" w:type="dxa"/>
            </w:tcMar>
            <w:vAlign w:val="top"/>
          </w:tcPr>
          <w:p>
            <w:pPr>
              <w:spacing w:after="0"/>
            </w:pPr>
            <w:r>
              <w:rPr>
                <w:rFonts w:ascii="Carlito" w:hAnsi="Carlito" w:eastAsia="Carlito"/>
                <w:color w:val="1F2933"/>
                <w:sz w:val="16"/>
              </w:rPr>
              <w:t>Capitalised into recipe output value.</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Configured supplier markup</w:t>
            </w:r>
          </w:p>
        </w:tc>
        <w:tc>
          <w:tcPr>
            <w:tcW w:type="dxa" w:w="6840"/>
            <w:tcMar>
              <w:top w:w="60" w:type="dxa"/>
              <w:start w:w="80" w:type="dxa"/>
              <w:bottom w:w="60" w:type="dxa"/>
              <w:end w:w="80" w:type="dxa"/>
            </w:tcMar>
            <w:vAlign w:val="top"/>
          </w:tcPr>
          <w:p>
            <w:pPr>
              <w:spacing w:after="0"/>
            </w:pPr>
            <w:r>
              <w:rPr>
                <w:rFonts w:ascii="Carlito" w:hAnsi="Carlito" w:eastAsia="Carlito"/>
                <w:color w:val="1F2933"/>
                <w:sz w:val="16"/>
              </w:rPr>
              <w:t>Applied once to the approved transformation cost base.</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Inventory holding cost</w:t>
            </w:r>
          </w:p>
        </w:tc>
        <w:tc>
          <w:tcPr>
            <w:tcW w:type="dxa" w:w="6840"/>
            <w:shd w:fill="F7F8F9" w:val="clear"/>
            <w:tcMar>
              <w:top w:w="60" w:type="dxa"/>
              <w:start w:w="80" w:type="dxa"/>
              <w:bottom w:w="60" w:type="dxa"/>
              <w:end w:w="80" w:type="dxa"/>
            </w:tcMar>
            <w:vAlign w:val="top"/>
          </w:tcPr>
          <w:p>
            <w:pPr>
              <w:spacing w:after="0"/>
            </w:pPr>
            <w:r>
              <w:rPr>
                <w:rFonts w:ascii="Carlito" w:hAnsi="Carlito" w:eastAsia="Carlito"/>
                <w:color w:val="1F2933"/>
                <w:sz w:val="16"/>
              </w:rPr>
              <w:t>Non-capitalised period expense.</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Horizon relationship activation</w:t>
            </w:r>
          </w:p>
        </w:tc>
        <w:tc>
          <w:tcPr>
            <w:tcW w:type="dxa" w:w="6840"/>
            <w:tcMar>
              <w:top w:w="60" w:type="dxa"/>
              <w:start w:w="80" w:type="dxa"/>
              <w:bottom w:w="60" w:type="dxa"/>
              <w:end w:w="80" w:type="dxa"/>
            </w:tcMar>
            <w:vAlign w:val="top"/>
          </w:tcPr>
          <w:p>
            <w:pPr>
              <w:spacing w:after="0"/>
            </w:pPr>
            <w:r>
              <w:rPr>
                <w:rFonts w:ascii="Carlito" w:hAnsi="Carlito" w:eastAsia="Carlito"/>
                <w:color w:val="1F2933"/>
                <w:sz w:val="16"/>
              </w:rPr>
              <w:t>Non-capitalised period expense.</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Shortage penalty or weighted service loss</w:t>
            </w:r>
          </w:p>
        </w:tc>
        <w:tc>
          <w:tcPr>
            <w:tcW w:type="dxa" w:w="6840"/>
            <w:shd w:fill="F7F8F9" w:val="clear"/>
            <w:tcMar>
              <w:top w:w="60" w:type="dxa"/>
              <w:start w:w="80" w:type="dxa"/>
              <w:bottom w:w="60" w:type="dxa"/>
              <w:end w:w="80" w:type="dxa"/>
            </w:tcMar>
            <w:vAlign w:val="top"/>
          </w:tcPr>
          <w:p>
            <w:pPr>
              <w:spacing w:after="0"/>
            </w:pPr>
            <w:r>
              <w:rPr>
                <w:rFonts w:ascii="Carlito" w:hAnsi="Carlito" w:eastAsia="Carlito"/>
                <w:color w:val="1F2933"/>
                <w:sz w:val="16"/>
              </w:rPr>
              <w:t>Stage-1 service measure; reported separately from material value.</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19"/>
            <w:shd w:fill="FCE8E6" w:val="clear"/>
            <w:tcMar>
              <w:top w:w="100" w:type="dxa"/>
              <w:start w:w="130" w:type="dxa"/>
              <w:bottom w:w="100" w:type="dxa"/>
              <w:end w:w="130" w:type="dxa"/>
            </w:tcMar>
            <w:tcBorders>
              <w:top w:val="nil"/>
              <w:start w:val="single" w:sz="18" w:color="B42318"/>
              <w:bottom w:val="nil"/>
              <w:end w:val="nil"/>
            </w:tcBorders>
          </w:tcPr>
          <w:p>
            <w:pPr>
              <w:spacing w:after="40"/>
            </w:pPr>
            <w:r>
              <w:rPr>
                <w:rFonts w:ascii="Carlito" w:hAnsi="Carlito" w:eastAsia="Carlito"/>
                <w:b/>
                <w:color w:val="B42318"/>
                <w:sz w:val="18"/>
              </w:rPr>
              <w:t>Single-ledger rule</w:t>
            </w:r>
          </w:p>
          <w:p>
            <w:pPr>
              <w:spacing w:after="0"/>
            </w:pPr>
            <w:r>
              <w:rPr>
                <w:rFonts w:ascii="Carlito" w:hAnsi="Carlito" w:eastAsia="Carlito"/>
                <w:color w:val="1F2933"/>
                <w:sz w:val="18"/>
              </w:rPr>
              <w:t>Every cost must appear exactly once in either the recursive material-value ledger or the non-capitalised objective ledger. Intermediate values must not be summed again as independent expenditure after they have propagated downstream.</w:t>
            </w:r>
          </w:p>
        </w:tc>
      </w:tr>
    </w:tbl>
    <w:p>
      <w:pPr>
        <w:spacing w:after="0"/>
      </w:pPr>
    </w:p>
    <w:p>
      <w:pPr>
        <w:pStyle w:val="Heading2"/>
      </w:pPr>
      <w:r>
        <w:t>8.19 Anti-gaming controls</w:t>
      </w:r>
    </w:p>
    <w:p>
      <w:pPr>
        <w:pStyle w:val="ListBullet"/>
        <w:spacing w:after="44"/>
        <w:ind w:left="317" w:hanging="173"/>
      </w:pPr>
      <w:r>
        <w:t>include closing inventory value at every controlled node in Stage 2;</w:t>
      </w:r>
    </w:p>
    <w:p>
      <w:pPr>
        <w:pStyle w:val="ListBullet"/>
        <w:spacing w:after="44"/>
        <w:ind w:left="317" w:hanging="173"/>
      </w:pPr>
      <w:r>
        <w:t>prohibit dispatches arriving after P12;</w:t>
      </w:r>
    </w:p>
    <w:p>
      <w:pPr>
        <w:pStyle w:val="ListBullet"/>
        <w:spacing w:after="44"/>
        <w:ind w:left="317" w:hanging="173"/>
      </w:pPr>
      <w:r>
        <w:t>retain Stage-3 surplus and activation tie-breaks;</w:t>
      </w:r>
    </w:p>
    <w:p>
      <w:pPr>
        <w:pStyle w:val="ListBullet"/>
        <w:spacing w:after="44"/>
        <w:ind w:left="317" w:hanging="173"/>
      </w:pPr>
      <w:r>
        <w:t>apply identical pool cost to every simultaneous outflow;</w:t>
      </w:r>
    </w:p>
    <w:p>
      <w:pPr>
        <w:pStyle w:val="ListBullet"/>
        <w:spacing w:after="44"/>
        <w:ind w:left="317" w:hanging="173"/>
      </w:pPr>
      <w:r>
        <w:t>enforce zero cost and value for an empty pool;</w:t>
      </w:r>
    </w:p>
    <w:p>
      <w:pPr>
        <w:pStyle w:val="ListBullet"/>
        <w:spacing w:after="44"/>
        <w:ind w:left="317" w:hanging="173"/>
      </w:pPr>
      <w:r>
        <w:t>use finite defensible cost and quantity bounds;</w:t>
      </w:r>
    </w:p>
    <w:p>
      <w:pPr>
        <w:pStyle w:val="ListBullet"/>
        <w:spacing w:after="44"/>
        <w:ind w:left="317" w:hanging="173"/>
      </w:pPr>
      <w:r>
        <w:t>test surplus low-cost purchasing intended only to dilute demand cost;</w:t>
      </w:r>
    </w:p>
    <w:p>
      <w:pPr>
        <w:pStyle w:val="ListBullet"/>
        <w:spacing w:after="44"/>
        <w:ind w:left="317" w:hanging="173"/>
      </w:pPr>
      <w:r>
        <w:t>test cost disappearance, repeated markup, omitted fixed cost and duplicate capitalisation;</w:t>
      </w:r>
    </w:p>
    <w:p>
      <w:pPr>
        <w:pStyle w:val="ListBullet"/>
        <w:spacing w:after="44"/>
        <w:ind w:left="317" w:hanging="173"/>
      </w:pPr>
      <w:r>
        <w:t>report accounting cost and incremental new spend separately.</w:t>
      </w:r>
    </w:p>
    <w:p>
      <w:r>
        <w:br w:type="page"/>
      </w:r>
    </w:p>
    <w:p>
      <w:pPr>
        <w:pStyle w:val="Heading2"/>
      </w:pPr>
      <w:r>
        <w:t>8.20 Permitted implementation strategies</w:t>
      </w:r>
    </w:p>
    <w:p>
      <w:pPr>
        <w:spacing w:after="90"/>
      </w:pPr>
      <w:r>
        <w:t>Students may use a direct MINLP, spatial branch-and-bound, convex relaxations with refinement, piecewise approximation, decomposition, iterative MILP or another controlled strategy. The approach must reproduce the weighted-average policy exactly or disclose and quantify its approximation or relaxation error.</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088"/>
            <w:shd w:fill="17365D" w:val="clear"/>
            <w:tcMar>
              <w:top w:w="60" w:type="dxa"/>
              <w:start w:w="80" w:type="dxa"/>
              <w:bottom w:w="60" w:type="dxa"/>
              <w:end w:w="80" w:type="dxa"/>
            </w:tcMar>
            <w:vAlign w:val="center"/>
          </w:tcPr>
          <w:p>
            <w:pPr>
              <w:spacing w:after="0"/>
            </w:pPr>
            <w:r>
              <w:rPr>
                <w:rFonts w:ascii="Carlito" w:hAnsi="Carlito" w:eastAsia="Carlito"/>
                <w:b/>
                <w:color w:val="FFFFFF"/>
                <w:sz w:val="16"/>
              </w:rPr>
              <w:t>Classification</w:t>
            </w:r>
          </w:p>
        </w:tc>
        <w:tc>
          <w:tcPr>
            <w:tcW w:type="dxa" w:w="7848"/>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Required disclosure</w:t>
            </w:r>
          </w:p>
        </w:tc>
      </w:tr>
      <w:tr>
        <w:tc>
          <w:tcPr>
            <w:tcW w:type="dxa" w:w="2088"/>
            <w:tcMar>
              <w:top w:w="60" w:type="dxa"/>
              <w:start w:w="80" w:type="dxa"/>
              <w:bottom w:w="60" w:type="dxa"/>
              <w:end w:w="80" w:type="dxa"/>
            </w:tcMar>
            <w:vAlign w:val="top"/>
          </w:tcPr>
          <w:p>
            <w:pPr>
              <w:spacing w:after="0"/>
            </w:pPr>
            <w:r>
              <w:rPr>
                <w:rFonts w:ascii="Carlito" w:hAnsi="Carlito" w:eastAsia="Carlito"/>
                <w:color w:val="1F2933"/>
                <w:sz w:val="16"/>
              </w:rPr>
              <w:t>Exact MINLP</w:t>
            </w:r>
          </w:p>
        </w:tc>
        <w:tc>
          <w:tcPr>
            <w:tcW w:type="dxa" w:w="7848"/>
            <w:tcMar>
              <w:top w:w="60" w:type="dxa"/>
              <w:start w:w="80" w:type="dxa"/>
              <w:bottom w:w="60" w:type="dxa"/>
              <w:end w:w="80" w:type="dxa"/>
            </w:tcMar>
            <w:vAlign w:val="top"/>
          </w:tcPr>
          <w:p>
            <w:pPr>
              <w:spacing w:after="0"/>
            </w:pPr>
            <w:r>
              <w:rPr>
                <w:rFonts w:ascii="Carlito" w:hAnsi="Carlito" w:eastAsia="Carlito"/>
                <w:color w:val="1F2933"/>
                <w:sz w:val="16"/>
              </w:rPr>
              <w:t>Equations, bounds, solver status, incumbent, global or relaxation bound where available, gap, starts and runtime.</w:t>
            </w:r>
          </w:p>
        </w:tc>
      </w:tr>
      <w:tr>
        <w:tc>
          <w:tcPr>
            <w:tcW w:type="dxa" w:w="2088"/>
            <w:shd w:fill="F7F8F9" w:val="clear"/>
            <w:tcMar>
              <w:top w:w="60" w:type="dxa"/>
              <w:start w:w="80" w:type="dxa"/>
              <w:bottom w:w="60" w:type="dxa"/>
              <w:end w:w="80" w:type="dxa"/>
            </w:tcMar>
            <w:vAlign w:val="top"/>
          </w:tcPr>
          <w:p>
            <w:pPr>
              <w:spacing w:after="0"/>
            </w:pPr>
            <w:r>
              <w:rPr>
                <w:rFonts w:ascii="Carlito" w:hAnsi="Carlito" w:eastAsia="Carlito"/>
                <w:color w:val="1F2933"/>
                <w:sz w:val="16"/>
              </w:rPr>
              <w:t>Relaxed formulation</w:t>
            </w:r>
          </w:p>
        </w:tc>
        <w:tc>
          <w:tcPr>
            <w:tcW w:type="dxa" w:w="7848"/>
            <w:shd w:fill="F7F8F9" w:val="clear"/>
            <w:tcMar>
              <w:top w:w="60" w:type="dxa"/>
              <w:start w:w="80" w:type="dxa"/>
              <w:bottom w:w="60" w:type="dxa"/>
              <w:end w:w="80" w:type="dxa"/>
            </w:tcMar>
            <w:vAlign w:val="top"/>
          </w:tcPr>
          <w:p>
            <w:pPr>
              <w:spacing w:after="0"/>
            </w:pPr>
            <w:r>
              <w:rPr>
                <w:rFonts w:ascii="Carlito" w:hAnsi="Carlito" w:eastAsia="Carlito"/>
                <w:color w:val="1F2933"/>
                <w:sz w:val="16"/>
              </w:rPr>
              <w:t>Relaxed constraints, bound interpretation, feasibility recovery and relaxation gap.</w:t>
            </w:r>
          </w:p>
        </w:tc>
      </w:tr>
      <w:tr>
        <w:tc>
          <w:tcPr>
            <w:tcW w:type="dxa" w:w="2088"/>
            <w:tcMar>
              <w:top w:w="60" w:type="dxa"/>
              <w:start w:w="80" w:type="dxa"/>
              <w:bottom w:w="60" w:type="dxa"/>
              <w:end w:w="80" w:type="dxa"/>
            </w:tcMar>
            <w:vAlign w:val="top"/>
          </w:tcPr>
          <w:p>
            <w:pPr>
              <w:spacing w:after="0"/>
            </w:pPr>
            <w:r>
              <w:rPr>
                <w:rFonts w:ascii="Carlito" w:hAnsi="Carlito" w:eastAsia="Carlito"/>
                <w:color w:val="1F2933"/>
                <w:sz w:val="16"/>
              </w:rPr>
              <w:t>Approximate formulation</w:t>
            </w:r>
          </w:p>
        </w:tc>
        <w:tc>
          <w:tcPr>
            <w:tcW w:type="dxa" w:w="7848"/>
            <w:tcMar>
              <w:top w:w="60" w:type="dxa"/>
              <w:start w:w="80" w:type="dxa"/>
              <w:bottom w:w="60" w:type="dxa"/>
              <w:end w:w="80" w:type="dxa"/>
            </w:tcMar>
            <w:vAlign w:val="top"/>
          </w:tcPr>
          <w:p>
            <w:pPr>
              <w:spacing w:after="0"/>
            </w:pPr>
            <w:r>
              <w:rPr>
                <w:rFonts w:ascii="Carlito" w:hAnsi="Carlito" w:eastAsia="Carlito"/>
                <w:color w:val="1F2933"/>
                <w:sz w:val="16"/>
              </w:rPr>
              <w:t>Approximation structure, granularity, residual reconciliation error and empirical sensitivity.</w:t>
            </w:r>
          </w:p>
        </w:tc>
      </w:tr>
      <w:tr>
        <w:tc>
          <w:tcPr>
            <w:tcW w:type="dxa" w:w="2088"/>
            <w:shd w:fill="F7F8F9" w:val="clear"/>
            <w:tcMar>
              <w:top w:w="60" w:type="dxa"/>
              <w:start w:w="80" w:type="dxa"/>
              <w:bottom w:w="60" w:type="dxa"/>
              <w:end w:w="80" w:type="dxa"/>
            </w:tcMar>
            <w:vAlign w:val="top"/>
          </w:tcPr>
          <w:p>
            <w:pPr>
              <w:spacing w:after="0"/>
            </w:pPr>
            <w:r>
              <w:rPr>
                <w:rFonts w:ascii="Carlito" w:hAnsi="Carlito" w:eastAsia="Carlito"/>
                <w:color w:val="1F2933"/>
                <w:sz w:val="16"/>
              </w:rPr>
              <w:t>Heuristic/decomposition</w:t>
            </w:r>
          </w:p>
        </w:tc>
        <w:tc>
          <w:tcPr>
            <w:tcW w:type="dxa" w:w="7848"/>
            <w:shd w:fill="F7F8F9" w:val="clear"/>
            <w:tcMar>
              <w:top w:w="60" w:type="dxa"/>
              <w:start w:w="80" w:type="dxa"/>
              <w:bottom w:w="60" w:type="dxa"/>
              <w:end w:w="80" w:type="dxa"/>
            </w:tcMar>
            <w:vAlign w:val="top"/>
          </w:tcPr>
          <w:p>
            <w:pPr>
              <w:spacing w:after="0"/>
            </w:pPr>
            <w:r>
              <w:rPr>
                <w:rFonts w:ascii="Carlito" w:hAnsi="Carlito" w:eastAsia="Carlito"/>
                <w:color w:val="1F2933"/>
                <w:sz w:val="16"/>
              </w:rPr>
              <w:t>Subproblem structure, stopping rule, starts or seeds, best-known objective and physical/financial feasibility evidence.</w:t>
            </w:r>
          </w:p>
        </w:tc>
      </w:tr>
    </w:tbl>
    <w:p>
      <w:pPr>
        <w:spacing w:after="0"/>
      </w:pPr>
    </w:p>
    <w:p>
      <w:pPr>
        <w:pStyle w:val="Heading2"/>
      </w:pPr>
      <w:r>
        <w:t>8.21 Permitted result claims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088"/>
            <w:shd w:fill="17365D" w:val="clear"/>
            <w:tcMar>
              <w:top w:w="60" w:type="dxa"/>
              <w:start w:w="80" w:type="dxa"/>
              <w:bottom w:w="60" w:type="dxa"/>
              <w:end w:w="80" w:type="dxa"/>
            </w:tcMar>
            <w:vAlign w:val="center"/>
          </w:tcPr>
          <w:p>
            <w:pPr>
              <w:spacing w:after="0"/>
            </w:pPr>
            <w:r>
              <w:rPr>
                <w:rFonts w:ascii="Carlito" w:hAnsi="Carlito" w:eastAsia="Carlito"/>
                <w:b/>
                <w:color w:val="FFFFFF"/>
                <w:sz w:val="16"/>
              </w:rPr>
              <w:t>Status</w:t>
            </w:r>
          </w:p>
        </w:tc>
        <w:tc>
          <w:tcPr>
            <w:tcW w:type="dxa" w:w="7848"/>
            <w:shd w:fill="17365D" w:val="clear"/>
            <w:tcMar>
              <w:top w:w="60" w:type="dxa"/>
              <w:start w:w="80" w:type="dxa"/>
              <w:bottom w:w="60" w:type="dxa"/>
              <w:end w:w="80" w:type="dxa"/>
            </w:tcMar>
            <w:vAlign w:val="center"/>
          </w:tcPr>
          <w:p>
            <w:pPr>
              <w:spacing w:after="0"/>
            </w:pPr>
            <w:r>
              <w:rPr>
                <w:rFonts w:ascii="Carlito" w:hAnsi="Carlito" w:eastAsia="Carlito"/>
                <w:b/>
                <w:color w:val="FFFFFF"/>
                <w:sz w:val="16"/>
              </w:rPr>
              <w:t>Permitted claim</w:t>
            </w:r>
          </w:p>
        </w:tc>
      </w:tr>
      <w:tr>
        <w:tc>
          <w:tcPr>
            <w:tcW w:type="dxa" w:w="2088"/>
            <w:tcMar>
              <w:top w:w="60" w:type="dxa"/>
              <w:start w:w="80" w:type="dxa"/>
              <w:bottom w:w="60" w:type="dxa"/>
              <w:end w:w="80" w:type="dxa"/>
            </w:tcMar>
            <w:vAlign w:val="top"/>
          </w:tcPr>
          <w:p>
            <w:pPr>
              <w:spacing w:after="0"/>
            </w:pPr>
            <w:r>
              <w:rPr>
                <w:rFonts w:ascii="Carlito" w:hAnsi="Carlito" w:eastAsia="Carlito"/>
                <w:color w:val="1F2933"/>
                <w:sz w:val="16"/>
              </w:rPr>
              <w:t>globally_optimal</w:t>
            </w:r>
          </w:p>
        </w:tc>
        <w:tc>
          <w:tcPr>
            <w:tcW w:type="dxa" w:w="7848"/>
            <w:tcMar>
              <w:top w:w="60" w:type="dxa"/>
              <w:start w:w="80" w:type="dxa"/>
              <w:bottom w:w="60" w:type="dxa"/>
              <w:end w:w="80" w:type="dxa"/>
            </w:tcMar>
            <w:vAlign w:val="top"/>
          </w:tcPr>
          <w:p>
            <w:pPr>
              <w:spacing w:after="0"/>
            </w:pPr>
            <w:r>
              <w:rPr>
                <w:rFonts w:ascii="Carlito" w:hAnsi="Carlito" w:eastAsia="Carlito"/>
                <w:color w:val="1F2933"/>
                <w:sz w:val="16"/>
              </w:rPr>
              <w:t>Only with an accepted global certificate and declared gap within tolerance.</w:t>
            </w:r>
          </w:p>
        </w:tc>
      </w:tr>
      <w:tr>
        <w:tc>
          <w:tcPr>
            <w:tcW w:type="dxa" w:w="2088"/>
            <w:shd w:fill="F7F8F9" w:val="clear"/>
            <w:tcMar>
              <w:top w:w="60" w:type="dxa"/>
              <w:start w:w="80" w:type="dxa"/>
              <w:bottom w:w="60" w:type="dxa"/>
              <w:end w:w="80" w:type="dxa"/>
            </w:tcMar>
            <w:vAlign w:val="top"/>
          </w:tcPr>
          <w:p>
            <w:pPr>
              <w:spacing w:after="0"/>
            </w:pPr>
            <w:r>
              <w:rPr>
                <w:rFonts w:ascii="Carlito" w:hAnsi="Carlito" w:eastAsia="Carlito"/>
                <w:color w:val="1F2933"/>
                <w:sz w:val="16"/>
              </w:rPr>
              <w:t>locally_optimal</w:t>
            </w:r>
          </w:p>
        </w:tc>
        <w:tc>
          <w:tcPr>
            <w:tcW w:type="dxa" w:w="7848"/>
            <w:shd w:fill="F7F8F9" w:val="clear"/>
            <w:tcMar>
              <w:top w:w="60" w:type="dxa"/>
              <w:start w:w="80" w:type="dxa"/>
              <w:bottom w:w="60" w:type="dxa"/>
              <w:end w:w="80" w:type="dxa"/>
            </w:tcMar>
            <w:vAlign w:val="top"/>
          </w:tcPr>
          <w:p>
            <w:pPr>
              <w:spacing w:after="0"/>
            </w:pPr>
            <w:r>
              <w:rPr>
                <w:rFonts w:ascii="Carlito" w:hAnsi="Carlito" w:eastAsia="Carlito"/>
                <w:color w:val="1F2933"/>
                <w:sz w:val="16"/>
              </w:rPr>
              <w:t>A locally valid solution; no global-optimality claim.</w:t>
            </w:r>
          </w:p>
        </w:tc>
      </w:tr>
      <w:tr>
        <w:tc>
          <w:tcPr>
            <w:tcW w:type="dxa" w:w="2088"/>
            <w:tcMar>
              <w:top w:w="60" w:type="dxa"/>
              <w:start w:w="80" w:type="dxa"/>
              <w:bottom w:w="60" w:type="dxa"/>
              <w:end w:w="80" w:type="dxa"/>
            </w:tcMar>
            <w:vAlign w:val="top"/>
          </w:tcPr>
          <w:p>
            <w:pPr>
              <w:spacing w:after="0"/>
            </w:pPr>
            <w:r>
              <w:rPr>
                <w:rFonts w:ascii="Carlito" w:hAnsi="Carlito" w:eastAsia="Carlito"/>
                <w:color w:val="1F2933"/>
                <w:sz w:val="16"/>
              </w:rPr>
              <w:t>feasible_time_limited</w:t>
            </w:r>
          </w:p>
        </w:tc>
        <w:tc>
          <w:tcPr>
            <w:tcW w:type="dxa" w:w="7848"/>
            <w:tcMar>
              <w:top w:w="60" w:type="dxa"/>
              <w:start w:w="80" w:type="dxa"/>
              <w:bottom w:w="60" w:type="dxa"/>
              <w:end w:w="80" w:type="dxa"/>
            </w:tcMar>
            <w:vAlign w:val="top"/>
          </w:tcPr>
          <w:p>
            <w:pPr>
              <w:spacing w:after="0"/>
            </w:pPr>
            <w:r>
              <w:rPr>
                <w:rFonts w:ascii="Carlito" w:hAnsi="Carlito" w:eastAsia="Carlito"/>
                <w:color w:val="1F2933"/>
                <w:sz w:val="16"/>
              </w:rPr>
              <w:t>A reconciled incumbent at the time limit.</w:t>
            </w:r>
          </w:p>
        </w:tc>
      </w:tr>
      <w:tr>
        <w:tc>
          <w:tcPr>
            <w:tcW w:type="dxa" w:w="2088"/>
            <w:shd w:fill="F7F8F9" w:val="clear"/>
            <w:tcMar>
              <w:top w:w="60" w:type="dxa"/>
              <w:start w:w="80" w:type="dxa"/>
              <w:bottom w:w="60" w:type="dxa"/>
              <w:end w:w="80" w:type="dxa"/>
            </w:tcMar>
            <w:vAlign w:val="top"/>
          </w:tcPr>
          <w:p>
            <w:pPr>
              <w:spacing w:after="0"/>
            </w:pPr>
            <w:r>
              <w:rPr>
                <w:rFonts w:ascii="Carlito" w:hAnsi="Carlito" w:eastAsia="Carlito"/>
                <w:color w:val="1F2933"/>
                <w:sz w:val="16"/>
              </w:rPr>
              <w:t>best_found</w:t>
            </w:r>
          </w:p>
        </w:tc>
        <w:tc>
          <w:tcPr>
            <w:tcW w:type="dxa" w:w="7848"/>
            <w:shd w:fill="F7F8F9" w:val="clear"/>
            <w:tcMar>
              <w:top w:w="60" w:type="dxa"/>
              <w:start w:w="80" w:type="dxa"/>
              <w:bottom w:w="60" w:type="dxa"/>
              <w:end w:w="80" w:type="dxa"/>
            </w:tcMar>
            <w:vAlign w:val="top"/>
          </w:tcPr>
          <w:p>
            <w:pPr>
              <w:spacing w:after="0"/>
            </w:pPr>
            <w:r>
              <w:rPr>
                <w:rFonts w:ascii="Carlito" w:hAnsi="Carlito" w:eastAsia="Carlito"/>
                <w:color w:val="1F2933"/>
                <w:sz w:val="16"/>
              </w:rPr>
              <w:t>Best reconciled result from the declared search or approximation process.</w:t>
            </w:r>
          </w:p>
        </w:tc>
      </w:tr>
      <w:tr>
        <w:tc>
          <w:tcPr>
            <w:tcW w:type="dxa" w:w="2088"/>
            <w:tcMar>
              <w:top w:w="60" w:type="dxa"/>
              <w:start w:w="80" w:type="dxa"/>
              <w:bottom w:w="60" w:type="dxa"/>
              <w:end w:w="80" w:type="dxa"/>
            </w:tcMar>
            <w:vAlign w:val="top"/>
          </w:tcPr>
          <w:p>
            <w:pPr>
              <w:spacing w:after="0"/>
            </w:pPr>
            <w:r>
              <w:rPr>
                <w:rFonts w:ascii="Carlito" w:hAnsi="Carlito" w:eastAsia="Carlito"/>
                <w:color w:val="1F2933"/>
                <w:sz w:val="16"/>
              </w:rPr>
              <w:t>infeasible</w:t>
            </w:r>
          </w:p>
        </w:tc>
        <w:tc>
          <w:tcPr>
            <w:tcW w:type="dxa" w:w="7848"/>
            <w:tcMar>
              <w:top w:w="60" w:type="dxa"/>
              <w:start w:w="80" w:type="dxa"/>
              <w:bottom w:w="60" w:type="dxa"/>
              <w:end w:w="80" w:type="dxa"/>
            </w:tcMar>
            <w:vAlign w:val="top"/>
          </w:tcPr>
          <w:p>
            <w:pPr>
              <w:spacing w:after="0"/>
            </w:pPr>
            <w:r>
              <w:rPr>
                <w:rFonts w:ascii="Carlito" w:hAnsi="Carlito" w:eastAsia="Carlito"/>
                <w:color w:val="1F2933"/>
                <w:sz w:val="16"/>
              </w:rPr>
              <w:t>Only with appropriate solver or deterministic evidence.</w:t>
            </w:r>
          </w:p>
        </w:tc>
      </w:tr>
      <w:tr>
        <w:tc>
          <w:tcPr>
            <w:tcW w:type="dxa" w:w="2088"/>
            <w:shd w:fill="F7F8F9" w:val="clear"/>
            <w:tcMar>
              <w:top w:w="60" w:type="dxa"/>
              <w:start w:w="80" w:type="dxa"/>
              <w:bottom w:w="60" w:type="dxa"/>
              <w:end w:w="80" w:type="dxa"/>
            </w:tcMar>
            <w:vAlign w:val="top"/>
          </w:tcPr>
          <w:p>
            <w:pPr>
              <w:spacing w:after="0"/>
            </w:pPr>
            <w:r>
              <w:rPr>
                <w:rFonts w:ascii="Carlito" w:hAnsi="Carlito" w:eastAsia="Carlito"/>
                <w:color w:val="1F2933"/>
                <w:sz w:val="16"/>
              </w:rPr>
              <w:t>solver_failed</w:t>
            </w:r>
          </w:p>
        </w:tc>
        <w:tc>
          <w:tcPr>
            <w:tcW w:type="dxa" w:w="7848"/>
            <w:shd w:fill="F7F8F9" w:val="clear"/>
            <w:tcMar>
              <w:top w:w="60" w:type="dxa"/>
              <w:start w:w="80" w:type="dxa"/>
              <w:bottom w:w="60" w:type="dxa"/>
              <w:end w:w="80" w:type="dxa"/>
            </w:tcMar>
            <w:vAlign w:val="top"/>
          </w:tcPr>
          <w:p>
            <w:pPr>
              <w:spacing w:after="0"/>
            </w:pPr>
            <w:r>
              <w:rPr>
                <w:rFonts w:ascii="Carlito" w:hAnsi="Carlito" w:eastAsia="Carlito"/>
                <w:color w:val="1F2933"/>
                <w:sz w:val="16"/>
              </w:rPr>
              <w:t>No defensible solution; failure is surfaced to the user and evaluator.</w:t>
            </w:r>
          </w:p>
        </w:tc>
      </w:tr>
    </w:tbl>
    <w:p>
      <w:pPr>
        <w:spacing w:after="0"/>
      </w:pPr>
    </w:p>
    <w:p>
      <w:pPr>
        <w:pStyle w:val="Heading1"/>
      </w:pPr>
      <w:r>
        <w:t>9. Fixed-price baseline and student resilience challenge</w:t>
      </w:r>
    </w:p>
    <w:p>
      <w:pPr>
        <w:pStyle w:val="Heading2"/>
      </w:pPr>
      <w:r>
        <w:t>9.1 Required fixed-price MILP baseline</w:t>
      </w:r>
    </w:p>
    <w:p>
      <w:pPr>
        <w:spacing w:after="90"/>
      </w:pPr>
      <w:r>
        <w:t>Every submission must implement or reproduce a common fixed-price MILP comparator. It uses baseline-only standard intermediate costs and the same physical network, transformation, yield, capacity, approval, contract, lane, lead-time, MOQ, lot, activation, storage and service controls as the recursive model.</w:t>
      </w:r>
    </w:p>
    <w:p>
      <w:pPr>
        <w:pStyle w:val="ListBullet"/>
        <w:spacing w:after="44"/>
        <w:ind w:left="317" w:hanging="173"/>
      </w:pPr>
      <w:r>
        <w:t>Stage 1 minimises weighted shortage.</w:t>
      </w:r>
    </w:p>
    <w:p>
      <w:pPr>
        <w:pStyle w:val="ListBullet"/>
        <w:spacing w:after="44"/>
        <w:ind w:left="317" w:hanging="173"/>
      </w:pPr>
      <w:r>
        <w:t>Stage 2 minimises fixed-price operational cost at the minimum shortage level.</w:t>
      </w:r>
    </w:p>
    <w:p>
      <w:pPr>
        <w:pStyle w:val="ListBullet"/>
        <w:spacing w:after="44"/>
        <w:ind w:left="317" w:hanging="173"/>
      </w:pPr>
      <w:r>
        <w:t>BASE is expected to achieve zero shortage.</w:t>
      </w:r>
    </w:p>
    <w:p>
      <w:pPr>
        <w:pStyle w:val="ListBullet"/>
        <w:spacing w:after="44"/>
        <w:ind w:left="317" w:hanging="173"/>
      </w:pPr>
      <w:r>
        <w:t>Comparator costs are explicitly non-authoritative and must be isolated from the recursive model.</w:t>
      </w:r>
    </w:p>
    <w:p>
      <w:pPr>
        <w:pStyle w:val="ListBullet"/>
        <w:spacing w:after="44"/>
        <w:ind w:left="317" w:hanging="173"/>
      </w:pPr>
      <w:r>
        <w:t>The baseline is solved for BASE and every supplied scenario.</w:t>
      </w:r>
    </w:p>
    <w:p>
      <w:pPr>
        <w:pStyle w:val="Heading2"/>
      </w:pPr>
      <w:r>
        <w:t>9.2 Required recursive-cost task</w:t>
      </w:r>
    </w:p>
    <w:p>
      <w:pPr>
        <w:spacing w:after="50"/>
        <w:ind w:left="317" w:hanging="317"/>
      </w:pPr>
      <w:r>
        <w:rPr>
          <w:b/>
        </w:rPr>
        <w:t xml:space="preserve">1. </w:t>
      </w:r>
      <w:r>
        <w:t>Implement or reproduce the Tier-N physical network and exact weighted-average policy.</w:t>
      </w:r>
    </w:p>
    <w:p>
      <w:pPr>
        <w:spacing w:after="50"/>
        <w:ind w:left="317" w:hanging="317"/>
      </w:pPr>
      <w:r>
        <w:rPr>
          <w:b/>
        </w:rPr>
        <w:t xml:space="preserve">2. </w:t>
      </w:r>
      <w:r>
        <w:t>Calculate intermediate output and receipt values recursively from external boundary prices.</w:t>
      </w:r>
    </w:p>
    <w:p>
      <w:pPr>
        <w:spacing w:after="50"/>
        <w:ind w:left="317" w:hanging="317"/>
      </w:pPr>
      <w:r>
        <w:rPr>
          <w:b/>
        </w:rPr>
        <w:t xml:space="preserve">3. </w:t>
      </w:r>
      <w:r>
        <w:t>Reconcile every active pool, shipment, transformation, inventory movement and terminal service line.</w:t>
      </w:r>
    </w:p>
    <w:p>
      <w:pPr>
        <w:spacing w:after="50"/>
        <w:ind w:left="317" w:hanging="317"/>
      </w:pPr>
      <w:r>
        <w:rPr>
          <w:b/>
        </w:rPr>
        <w:t xml:space="preserve">4. </w:t>
      </w:r>
      <w:r>
        <w:t>Compare allocation, cost and service with the fixed-price MILP.</w:t>
      </w:r>
    </w:p>
    <w:p>
      <w:pPr>
        <w:spacing w:after="50"/>
        <w:ind w:left="317" w:hanging="317"/>
      </w:pPr>
      <w:r>
        <w:rPr>
          <w:b/>
        </w:rPr>
        <w:t xml:space="preserve">5. </w:t>
      </w:r>
      <w:r>
        <w:t>Report solver strategy, bounds, status, objective, available bound, gap, starts and runtime honestly.</w:t>
      </w:r>
    </w:p>
    <w:p>
      <w:pPr>
        <w:spacing w:after="50"/>
        <w:ind w:left="317" w:hanging="317"/>
      </w:pPr>
      <w:r>
        <w:rPr>
          <w:b/>
        </w:rPr>
        <w:t xml:space="preserve">6. </w:t>
      </w:r>
      <w:r>
        <w:t>Evaluate every supplied disruption scenario.</w:t>
      </w:r>
    </w:p>
    <w:p>
      <w:pPr>
        <w:spacing w:after="50"/>
        <w:ind w:left="317" w:hanging="317"/>
      </w:pPr>
      <w:r>
        <w:rPr>
          <w:b/>
        </w:rPr>
        <w:t xml:space="preserve">7. </w:t>
      </w:r>
      <w:r>
        <w:t>Explain how upstream source mix changes terminal cost and the confidence that can be placed in the result.</w:t>
      </w:r>
    </w:p>
    <w:p>
      <w:pPr>
        <w:pStyle w:val="Heading2"/>
      </w:pPr>
      <w:r>
        <w:t>9.3 Resilience requirement</w:t>
      </w:r>
    </w:p>
    <w:tbl>
      <w:tblPr>
        <w:tblW w:type="auto" w:w="0"/>
        <w:jc w:val="center"/>
        <w:tblLayout w:type="fixed"/>
        <w:tblLook w:firstColumn="1" w:firstRow="1" w:lastColumn="0" w:lastRow="0" w:noHBand="0" w:noVBand="1" w:val="04A0"/>
      </w:tblPr>
      <w:tblGrid>
        <w:gridCol w:w="9936"/>
      </w:tblGrid>
      <w:tr>
        <w:tc>
          <w:tcPr>
            <w:tcW w:type="dxa" w:w="10119"/>
            <w:shd w:fill="EAF1F7" w:val="clear"/>
            <w:tcMar>
              <w:top w:w="100" w:type="dxa"/>
              <w:start w:w="130" w:type="dxa"/>
              <w:bottom w:w="100" w:type="dxa"/>
              <w:end w:w="130" w:type="dxa"/>
            </w:tcMar>
            <w:tcBorders>
              <w:top w:val="nil"/>
              <w:start w:val="single" w:sz="18" w:color="2F7D8C"/>
              <w:bottom w:val="nil"/>
              <w:end w:val="nil"/>
            </w:tcBorders>
          </w:tcPr>
          <w:p>
            <w:pPr>
              <w:spacing w:after="40"/>
            </w:pPr>
            <w:r>
              <w:rPr>
                <w:rFonts w:ascii="Carlito" w:hAnsi="Carlito" w:eastAsia="Carlito"/>
                <w:b/>
                <w:color w:val="2F7D8C"/>
                <w:sz w:val="18"/>
              </w:rPr>
              <w:t>Required student judgement</w:t>
            </w:r>
          </w:p>
          <w:p>
            <w:pPr>
              <w:spacing w:after="0"/>
            </w:pPr>
            <w:r>
              <w:rPr>
                <w:rFonts w:ascii="Carlito" w:hAnsi="Carlito" w:eastAsia="Carlito"/>
                <w:color w:val="1F2933"/>
                <w:sz w:val="18"/>
              </w:rPr>
              <w:t>Supply-chain resilience and concentration are core customer concerns. The consultant must use the supplied network and scenarios to define suitable quantitative measures, implement at least one resilience intervention and communicate its commercial and operational trade-offs. The brief does not prescribe one canonical metric or objective.</w:t>
            </w:r>
          </w:p>
        </w:tc>
      </w:tr>
    </w:tbl>
    <w:p>
      <w:pPr>
        <w:spacing w:after="0"/>
      </w:pPr>
    </w:p>
    <w:p>
      <w:pPr>
        <w:pStyle w:val="Heading2"/>
      </w:pPr>
      <w:r>
        <w:t>9.4 Student prompting questions</w:t>
      </w:r>
    </w:p>
    <w:p>
      <w:pPr>
        <w:pStyle w:val="ListBullet"/>
        <w:spacing w:after="44"/>
        <w:ind w:left="317" w:hanging="173"/>
      </w:pPr>
      <w:r>
        <w:t>Where does the BASE plan depend heavily on a site, parent group, geography, lane, material, recipe or upstream source?</w:t>
      </w:r>
    </w:p>
    <w:p>
      <w:pPr>
        <w:pStyle w:val="ListBullet"/>
        <w:spacing w:after="44"/>
        <w:ind w:left="317" w:hanging="173"/>
      </w:pPr>
      <w:r>
        <w:t>Which vulnerabilities are hidden by direct Tier 1 supplier diversity?</w:t>
      </w:r>
    </w:p>
    <w:p>
      <w:pPr>
        <w:pStyle w:val="ListBullet"/>
        <w:spacing w:after="44"/>
        <w:ind w:left="317" w:hanging="173"/>
      </w:pPr>
      <w:r>
        <w:t>How does the plan perform under each supplied disruption?</w:t>
      </w:r>
    </w:p>
    <w:p>
      <w:pPr>
        <w:pStyle w:val="ListBullet"/>
        <w:spacing w:after="44"/>
        <w:ind w:left="317" w:hanging="173"/>
      </w:pPr>
      <w:r>
        <w:t>Which resilience measure is meaningful for this customer and why?</w:t>
      </w:r>
    </w:p>
    <w:p>
      <w:pPr>
        <w:pStyle w:val="ListBullet"/>
        <w:spacing w:after="44"/>
        <w:ind w:left="317" w:hanging="173"/>
      </w:pPr>
      <w:r>
        <w:t>Should the intervention use a constraint, objective term, robust formulation, inventory rule, source-allocation policy or another mechanism?</w:t>
      </w:r>
    </w:p>
    <w:p>
      <w:pPr>
        <w:pStyle w:val="ListBullet"/>
        <w:spacing w:after="44"/>
        <w:ind w:left="317" w:hanging="173"/>
      </w:pPr>
      <w:r>
        <w:t>What extra cost, inventory, complexity or solver burden does the intervention create?</w:t>
      </w:r>
    </w:p>
    <w:p>
      <w:pPr>
        <w:pStyle w:val="ListBullet"/>
        <w:spacing w:after="44"/>
        <w:ind w:left="317" w:hanging="173"/>
      </w:pPr>
      <w:r>
        <w:t>Which risks remain after the intervention?</w:t>
      </w:r>
    </w:p>
    <w:p>
      <w:pPr>
        <w:pStyle w:val="ListBullet"/>
        <w:spacing w:after="44"/>
        <w:ind w:left="317" w:hanging="173"/>
      </w:pPr>
      <w:r>
        <w:t>How should the application explain the recommendation without overstating certainty?</w:t>
      </w:r>
    </w:p>
    <w:p>
      <w:pPr>
        <w:pStyle w:val="Heading2"/>
      </w:pPr>
      <w:r>
        <w:t>9.5 Illustrative intervention families</w:t>
      </w:r>
    </w:p>
    <w:p>
      <w:pPr>
        <w:spacing w:after="90"/>
      </w:pPr>
      <w:r>
        <w:t>The following are examples for control and evaluator design. They should not be presented to students as a required checklist:</w:t>
      </w:r>
    </w:p>
    <w:p>
      <w:pPr>
        <w:pStyle w:val="ListBullet"/>
        <w:spacing w:after="44"/>
        <w:ind w:left="317" w:hanging="173"/>
      </w:pPr>
      <w:r>
        <w:t>site-, parent-, region-, lane-, material- or recipe-exposure caps;</w:t>
      </w:r>
    </w:p>
    <w:p>
      <w:pPr>
        <w:pStyle w:val="ListBullet"/>
        <w:spacing w:after="44"/>
        <w:ind w:left="317" w:hanging="173"/>
      </w:pPr>
      <w:r>
        <w:t>minimum alternate-source or qualified-path allocation;</w:t>
      </w:r>
    </w:p>
    <w:p>
      <w:pPr>
        <w:pStyle w:val="ListBullet"/>
        <w:spacing w:after="44"/>
        <w:ind w:left="317" w:hanging="173"/>
      </w:pPr>
      <w:r>
        <w:t>critical-material stock or coverage constraints;</w:t>
      </w:r>
    </w:p>
    <w:p>
      <w:pPr>
        <w:pStyle w:val="ListBullet"/>
        <w:spacing w:after="44"/>
        <w:ind w:left="317" w:hanging="173"/>
      </w:pPr>
      <w:r>
        <w:t>scenario-weighted shortage or expected-loss terms;</w:t>
      </w:r>
    </w:p>
    <w:p>
      <w:pPr>
        <w:pStyle w:val="ListBullet"/>
        <w:spacing w:after="44"/>
        <w:ind w:left="317" w:hanging="173"/>
      </w:pPr>
      <w:r>
        <w:t>min-max, robust or CVaR-style service protection;</w:t>
      </w:r>
    </w:p>
    <w:p>
      <w:pPr>
        <w:pStyle w:val="ListBullet"/>
        <w:spacing w:after="44"/>
        <w:ind w:left="317" w:hanging="173"/>
      </w:pPr>
      <w:r>
        <w:t>cost-resilience Pareto or epsilon-constraint analysis;</w:t>
      </w:r>
    </w:p>
    <w:p>
      <w:pPr>
        <w:pStyle w:val="ListBullet"/>
        <w:spacing w:after="44"/>
        <w:ind w:left="317" w:hanging="173"/>
      </w:pPr>
      <w:r>
        <w:t>optional capacity, expedite or recipe reservation;</w:t>
      </w:r>
    </w:p>
    <w:p>
      <w:pPr>
        <w:pStyle w:val="ListBullet"/>
        <w:spacing w:after="44"/>
        <w:ind w:left="317" w:hanging="173"/>
      </w:pPr>
      <w:r>
        <w:t>network-path or source-contribution diversification.</w:t>
      </w:r>
    </w:p>
    <w:p>
      <w:r>
        <w:br w:type="page"/>
      </w:r>
    </w:p>
    <w:p>
      <w:pPr>
        <w:pStyle w:val="Heading2"/>
      </w:pPr>
      <w:r>
        <w:t>9.6 Minimum comparison evidence</w:t>
      </w:r>
    </w:p>
    <w:p>
      <w:pPr>
        <w:pStyle w:val="ListBullet"/>
        <w:spacing w:after="44"/>
        <w:ind w:left="317" w:hanging="173"/>
      </w:pPr>
      <w:r>
        <w:t>BASE fixed-price MILP result;</w:t>
      </w:r>
    </w:p>
    <w:p>
      <w:pPr>
        <w:pStyle w:val="ListBullet"/>
        <w:spacing w:after="44"/>
        <w:ind w:left="317" w:hanging="173"/>
      </w:pPr>
      <w:r>
        <w:t>BASE recursive-cost result;</w:t>
      </w:r>
    </w:p>
    <w:p>
      <w:pPr>
        <w:pStyle w:val="ListBullet"/>
        <w:spacing w:after="44"/>
        <w:ind w:left="317" w:hanging="173"/>
      </w:pPr>
      <w:r>
        <w:t>the baseline plan evaluated under every disruption;</w:t>
      </w:r>
    </w:p>
    <w:p>
      <w:pPr>
        <w:pStyle w:val="ListBullet"/>
        <w:spacing w:after="44"/>
        <w:ind w:left="317" w:hanging="173"/>
      </w:pPr>
      <w:r>
        <w:t>the selected resilience measure and model intervention;</w:t>
      </w:r>
    </w:p>
    <w:p>
      <w:pPr>
        <w:pStyle w:val="ListBullet"/>
        <w:spacing w:after="44"/>
        <w:ind w:left="317" w:hanging="173"/>
      </w:pPr>
      <w:r>
        <w:t>cost, service, inventory, source contribution and resilience comparison;</w:t>
      </w:r>
    </w:p>
    <w:p>
      <w:pPr>
        <w:pStyle w:val="ListBullet"/>
        <w:spacing w:after="44"/>
        <w:ind w:left="317" w:hanging="173"/>
      </w:pPr>
      <w:r>
        <w:t>sensitivity or trade-off analysis;</w:t>
      </w:r>
    </w:p>
    <w:p>
      <w:pPr>
        <w:pStyle w:val="ListBullet"/>
        <w:spacing w:after="44"/>
        <w:ind w:left="317" w:hanging="173"/>
      </w:pPr>
      <w:r>
        <w:t>solver-confidence and reconciliation evidence;</w:t>
      </w:r>
    </w:p>
    <w:p>
      <w:pPr>
        <w:pStyle w:val="ListBullet"/>
        <w:spacing w:after="44"/>
        <w:ind w:left="317" w:hanging="173"/>
      </w:pPr>
      <w:r>
        <w:t>customer recommendation and remaining limitations.</w:t>
      </w:r>
    </w:p>
    <w:p>
      <w:pPr>
        <w:pStyle w:val="Heading1"/>
      </w:pPr>
      <w:r>
        <w:t>10. Disruption-scenario design</w:t>
      </w:r>
    </w:p>
    <w:p>
      <w:pPr>
        <w:pStyle w:val="Heading2"/>
      </w:pPr>
      <w:r>
        <w:t>10.1 Scenario catalogue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936"/>
            <w:shd w:fill="17365D" w:val="clear"/>
            <w:tcMar>
              <w:top w:w="60" w:type="dxa"/>
              <w:start w:w="80" w:type="dxa"/>
              <w:bottom w:w="60" w:type="dxa"/>
              <w:end w:w="80" w:type="dxa"/>
            </w:tcMar>
            <w:vAlign w:val="center"/>
          </w:tcPr>
          <w:p>
            <w:pPr>
              <w:spacing w:after="0"/>
            </w:pPr>
            <w:r>
              <w:rPr>
                <w:rFonts w:ascii="Carlito" w:hAnsi="Carlito" w:eastAsia="Carlito"/>
                <w:b/>
                <w:color w:val="FFFFFF"/>
                <w:sz w:val="14"/>
              </w:rPr>
              <w:t>ID</w:t>
            </w:r>
          </w:p>
        </w:tc>
        <w:tc>
          <w:tcPr>
            <w:tcW w:type="dxa" w:w="1872"/>
            <w:shd w:fill="17365D" w:val="clear"/>
            <w:tcMar>
              <w:top w:w="60" w:type="dxa"/>
              <w:start w:w="80" w:type="dxa"/>
              <w:bottom w:w="60" w:type="dxa"/>
              <w:end w:w="80" w:type="dxa"/>
            </w:tcMar>
            <w:vAlign w:val="center"/>
          </w:tcPr>
          <w:p>
            <w:pPr>
              <w:spacing w:after="0"/>
            </w:pPr>
            <w:r>
              <w:rPr>
                <w:rFonts w:ascii="Carlito" w:hAnsi="Carlito" w:eastAsia="Carlito"/>
                <w:b/>
                <w:color w:val="FFFFFF"/>
                <w:sz w:val="14"/>
              </w:rPr>
              <w:t>Scenario</w:t>
            </w:r>
          </w:p>
        </w:tc>
        <w:tc>
          <w:tcPr>
            <w:tcW w:type="dxa" w:w="4320"/>
            <w:shd w:fill="17365D" w:val="clear"/>
            <w:tcMar>
              <w:top w:w="60" w:type="dxa"/>
              <w:start w:w="80" w:type="dxa"/>
              <w:bottom w:w="60" w:type="dxa"/>
              <w:end w:w="80" w:type="dxa"/>
            </w:tcMar>
            <w:vAlign w:val="center"/>
          </w:tcPr>
          <w:p>
            <w:pPr>
              <w:spacing w:after="0"/>
            </w:pPr>
            <w:r>
              <w:rPr>
                <w:rFonts w:ascii="Carlito" w:hAnsi="Carlito" w:eastAsia="Carlito"/>
                <w:b/>
                <w:color w:val="FFFFFF"/>
                <w:sz w:val="14"/>
              </w:rPr>
              <w:t>Core effect</w:t>
            </w:r>
          </w:p>
        </w:tc>
        <w:tc>
          <w:tcPr>
            <w:tcW w:type="dxa" w:w="2808"/>
            <w:shd w:fill="17365D" w:val="clear"/>
            <w:tcMar>
              <w:top w:w="60" w:type="dxa"/>
              <w:start w:w="80" w:type="dxa"/>
              <w:bottom w:w="60" w:type="dxa"/>
              <w:end w:w="80" w:type="dxa"/>
            </w:tcMar>
            <w:vAlign w:val="center"/>
          </w:tcPr>
          <w:p>
            <w:pPr>
              <w:spacing w:after="0"/>
            </w:pPr>
            <w:r>
              <w:rPr>
                <w:rFonts w:ascii="Carlito" w:hAnsi="Carlito" w:eastAsia="Carlito"/>
                <w:b/>
                <w:color w:val="FFFFFF"/>
                <w:sz w:val="14"/>
              </w:rPr>
              <w:t>Purpose</w:t>
            </w:r>
          </w:p>
        </w:tc>
      </w:tr>
      <w:tr>
        <w:tc>
          <w:tcPr>
            <w:tcW w:type="dxa" w:w="936"/>
            <w:tcMar>
              <w:top w:w="60" w:type="dxa"/>
              <w:start w:w="80" w:type="dxa"/>
              <w:bottom w:w="60" w:type="dxa"/>
              <w:end w:w="80" w:type="dxa"/>
            </w:tcMar>
            <w:vAlign w:val="top"/>
          </w:tcPr>
          <w:p>
            <w:pPr>
              <w:spacing w:after="0"/>
            </w:pPr>
            <w:r>
              <w:rPr>
                <w:rFonts w:ascii="Carlito" w:hAnsi="Carlito" w:eastAsia="Carlito"/>
                <w:color w:val="1F2933"/>
                <w:sz w:val="14"/>
              </w:rPr>
              <w:t>BASE</w:t>
            </w:r>
          </w:p>
        </w:tc>
        <w:tc>
          <w:tcPr>
            <w:tcW w:type="dxa" w:w="1872"/>
            <w:tcMar>
              <w:top w:w="60" w:type="dxa"/>
              <w:start w:w="80" w:type="dxa"/>
              <w:bottom w:w="60" w:type="dxa"/>
              <w:end w:w="80" w:type="dxa"/>
            </w:tcMar>
            <w:vAlign w:val="top"/>
          </w:tcPr>
          <w:p>
            <w:pPr>
              <w:spacing w:after="0"/>
            </w:pPr>
            <w:r>
              <w:rPr>
                <w:rFonts w:ascii="Carlito" w:hAnsi="Carlito" w:eastAsia="Carlito"/>
                <w:color w:val="1F2933"/>
                <w:sz w:val="14"/>
              </w:rPr>
              <w:t>Normal planning conditions</w:t>
            </w:r>
          </w:p>
        </w:tc>
        <w:tc>
          <w:tcPr>
            <w:tcW w:type="dxa" w:w="4320"/>
            <w:tcMar>
              <w:top w:w="60" w:type="dxa"/>
              <w:start w:w="80" w:type="dxa"/>
              <w:bottom w:w="60" w:type="dxa"/>
              <w:end w:w="80" w:type="dxa"/>
            </w:tcMar>
            <w:vAlign w:val="top"/>
          </w:tcPr>
          <w:p>
            <w:pPr>
              <w:spacing w:after="0"/>
            </w:pPr>
            <w:r>
              <w:rPr>
                <w:rFonts w:ascii="Carlito" w:hAnsi="Carlito" w:eastAsia="Carlito"/>
                <w:color w:val="1F2933"/>
                <w:sz w:val="14"/>
              </w:rPr>
              <w:t>Normal capacities, costs, transit, recipes, approvals and terminal demand.</w:t>
            </w:r>
          </w:p>
        </w:tc>
        <w:tc>
          <w:tcPr>
            <w:tcW w:type="dxa" w:w="2808"/>
            <w:tcMar>
              <w:top w:w="60" w:type="dxa"/>
              <w:start w:w="80" w:type="dxa"/>
              <w:bottom w:w="60" w:type="dxa"/>
              <w:end w:w="80" w:type="dxa"/>
            </w:tcMar>
            <w:vAlign w:val="top"/>
          </w:tcPr>
          <w:p>
            <w:pPr>
              <w:spacing w:after="0"/>
            </w:pPr>
            <w:r>
              <w:rPr>
                <w:rFonts w:ascii="Carlito" w:hAnsi="Carlito" w:eastAsia="Carlito"/>
                <w:color w:val="1F2933"/>
                <w:sz w:val="14"/>
              </w:rPr>
              <w:t>Establishes the common minimum-shortage and economic comparison case.</w:t>
            </w:r>
          </w:p>
        </w:tc>
      </w:tr>
      <w:tr>
        <w:tc>
          <w:tcPr>
            <w:tcW w:type="dxa" w:w="936"/>
            <w:shd w:fill="F7F8F9" w:val="clear"/>
            <w:tcMar>
              <w:top w:w="60" w:type="dxa"/>
              <w:start w:w="80" w:type="dxa"/>
              <w:bottom w:w="60" w:type="dxa"/>
              <w:end w:w="80" w:type="dxa"/>
            </w:tcMar>
            <w:vAlign w:val="top"/>
          </w:tcPr>
          <w:p>
            <w:pPr>
              <w:spacing w:after="0"/>
            </w:pPr>
            <w:r>
              <w:rPr>
                <w:rFonts w:ascii="Carlito" w:hAnsi="Carlito" w:eastAsia="Carlito"/>
                <w:color w:val="1F2933"/>
                <w:sz w:val="14"/>
              </w:rPr>
              <w:t>SCN-01</w:t>
            </w:r>
          </w:p>
        </w:tc>
        <w:tc>
          <w:tcPr>
            <w:tcW w:type="dxa" w:w="1872"/>
            <w:shd w:fill="F7F8F9" w:val="clear"/>
            <w:tcMar>
              <w:top w:w="60" w:type="dxa"/>
              <w:start w:w="80" w:type="dxa"/>
              <w:bottom w:w="60" w:type="dxa"/>
              <w:end w:w="80" w:type="dxa"/>
            </w:tcMar>
            <w:vAlign w:val="top"/>
          </w:tcPr>
          <w:p>
            <w:pPr>
              <w:spacing w:after="0"/>
            </w:pPr>
            <w:r>
              <w:rPr>
                <w:rFonts w:ascii="Carlito" w:hAnsi="Carlito" w:eastAsia="Carlito"/>
                <w:color w:val="1F2933"/>
                <w:sz w:val="14"/>
              </w:rPr>
              <w:t>Semiconductor boundary-source outage</w:t>
            </w:r>
          </w:p>
        </w:tc>
        <w:tc>
          <w:tcPr>
            <w:tcW w:type="dxa" w:w="4320"/>
            <w:shd w:fill="F7F8F9" w:val="clear"/>
            <w:tcMar>
              <w:top w:w="60" w:type="dxa"/>
              <w:start w:w="80" w:type="dxa"/>
              <w:bottom w:w="60" w:type="dxa"/>
              <w:end w:w="80" w:type="dxa"/>
            </w:tcMar>
            <w:vAlign w:val="top"/>
          </w:tcPr>
          <w:p>
            <w:pPr>
              <w:spacing w:after="0"/>
            </w:pPr>
            <w:r>
              <w:rPr>
                <w:rFonts w:ascii="Carlito" w:hAnsi="Carlito" w:eastAsia="Carlito"/>
                <w:color w:val="1F2933"/>
                <w:sz w:val="14"/>
              </w:rPr>
              <w:t>A critical Tier 4 silicon-die source operates at 30% in P03-P05, 60% in P06 and recovers in P07.</w:t>
            </w:r>
          </w:p>
        </w:tc>
        <w:tc>
          <w:tcPr>
            <w:tcW w:type="dxa" w:w="2808"/>
            <w:shd w:fill="F7F8F9" w:val="clear"/>
            <w:tcMar>
              <w:top w:w="60" w:type="dxa"/>
              <w:start w:w="80" w:type="dxa"/>
              <w:bottom w:w="60" w:type="dxa"/>
              <w:end w:w="80" w:type="dxa"/>
            </w:tcMar>
            <w:vAlign w:val="top"/>
          </w:tcPr>
          <w:p>
            <w:pPr>
              <w:spacing w:after="0"/>
            </w:pPr>
            <w:r>
              <w:rPr>
                <w:rFonts w:ascii="Carlito" w:hAnsi="Carlito" w:eastAsia="Carlito"/>
                <w:color w:val="1F2933"/>
                <w:sz w:val="14"/>
              </w:rPr>
              <w:t>Exposes shared upstream dependency and recursive effects on Tier 3-Tier 1 cost and availability.</w:t>
            </w:r>
          </w:p>
        </w:tc>
      </w:tr>
      <w:tr>
        <w:tc>
          <w:tcPr>
            <w:tcW w:type="dxa" w:w="936"/>
            <w:tcMar>
              <w:top w:w="60" w:type="dxa"/>
              <w:start w:w="80" w:type="dxa"/>
              <w:bottom w:w="60" w:type="dxa"/>
              <w:end w:w="80" w:type="dxa"/>
            </w:tcMar>
            <w:vAlign w:val="top"/>
          </w:tcPr>
          <w:p>
            <w:pPr>
              <w:spacing w:after="0"/>
            </w:pPr>
            <w:r>
              <w:rPr>
                <w:rFonts w:ascii="Carlito" w:hAnsi="Carlito" w:eastAsia="Carlito"/>
                <w:color w:val="1F2933"/>
                <w:sz w:val="14"/>
              </w:rPr>
              <w:t>SCN-02</w:t>
            </w:r>
          </w:p>
        </w:tc>
        <w:tc>
          <w:tcPr>
            <w:tcW w:type="dxa" w:w="1872"/>
            <w:tcMar>
              <w:top w:w="60" w:type="dxa"/>
              <w:start w:w="80" w:type="dxa"/>
              <w:bottom w:w="60" w:type="dxa"/>
              <w:end w:w="80" w:type="dxa"/>
            </w:tcMar>
            <w:vAlign w:val="top"/>
          </w:tcPr>
          <w:p>
            <w:pPr>
              <w:spacing w:after="0"/>
            </w:pPr>
            <w:r>
              <w:rPr>
                <w:rFonts w:ascii="Carlito" w:hAnsi="Carlito" w:eastAsia="Carlito"/>
                <w:color w:val="1F2933"/>
                <w:sz w:val="14"/>
              </w:rPr>
              <w:t>Maritime route disruption</w:t>
            </w:r>
          </w:p>
        </w:tc>
        <w:tc>
          <w:tcPr>
            <w:tcW w:type="dxa" w:w="4320"/>
            <w:tcMar>
              <w:top w:w="60" w:type="dxa"/>
              <w:start w:w="80" w:type="dxa"/>
              <w:bottom w:w="60" w:type="dxa"/>
              <w:end w:w="80" w:type="dxa"/>
            </w:tcMar>
            <w:vAlign w:val="top"/>
          </w:tcPr>
          <w:p>
            <w:pPr>
              <w:spacing w:after="0"/>
            </w:pPr>
            <w:r>
              <w:rPr>
                <w:rFonts w:ascii="Carlito" w:hAnsi="Carlito" w:eastAsia="Carlito"/>
                <w:color w:val="1F2933"/>
                <w:sz w:val="14"/>
              </w:rPr>
              <w:t>Selected Asia-Europe lanes: transit x1.75, freight x1.40 and capacity x0.75 in P02-P07; air alternatives remain available.</w:t>
            </w:r>
          </w:p>
        </w:tc>
        <w:tc>
          <w:tcPr>
            <w:tcW w:type="dxa" w:w="2808"/>
            <w:tcMar>
              <w:top w:w="60" w:type="dxa"/>
              <w:start w:w="80" w:type="dxa"/>
              <w:bottom w:w="60" w:type="dxa"/>
              <w:end w:w="80" w:type="dxa"/>
            </w:tcMar>
            <w:vAlign w:val="top"/>
          </w:tcPr>
          <w:p>
            <w:pPr>
              <w:spacing w:after="0"/>
            </w:pPr>
            <w:r>
              <w:rPr>
                <w:rFonts w:ascii="Carlito" w:hAnsi="Carlito" w:eastAsia="Carlito"/>
                <w:color w:val="1F2933"/>
                <w:sz w:val="14"/>
              </w:rPr>
              <w:t>Tests lead time, inventory, expensive mode switching and propagated receipt cost.</w:t>
            </w:r>
          </w:p>
        </w:tc>
      </w:tr>
      <w:tr>
        <w:tc>
          <w:tcPr>
            <w:tcW w:type="dxa" w:w="936"/>
            <w:shd w:fill="F7F8F9" w:val="clear"/>
            <w:tcMar>
              <w:top w:w="60" w:type="dxa"/>
              <w:start w:w="80" w:type="dxa"/>
              <w:bottom w:w="60" w:type="dxa"/>
              <w:end w:w="80" w:type="dxa"/>
            </w:tcMar>
            <w:vAlign w:val="top"/>
          </w:tcPr>
          <w:p>
            <w:pPr>
              <w:spacing w:after="0"/>
            </w:pPr>
            <w:r>
              <w:rPr>
                <w:rFonts w:ascii="Carlito" w:hAnsi="Carlito" w:eastAsia="Carlito"/>
                <w:color w:val="1F2933"/>
                <w:sz w:val="14"/>
              </w:rPr>
              <w:t>SCN-03</w:t>
            </w:r>
          </w:p>
        </w:tc>
        <w:tc>
          <w:tcPr>
            <w:tcW w:type="dxa" w:w="1872"/>
            <w:shd w:fill="F7F8F9" w:val="clear"/>
            <w:tcMar>
              <w:top w:w="60" w:type="dxa"/>
              <w:start w:w="80" w:type="dxa"/>
              <w:bottom w:w="60" w:type="dxa"/>
              <w:end w:w="80" w:type="dxa"/>
            </w:tcMar>
            <w:vAlign w:val="top"/>
          </w:tcPr>
          <w:p>
            <w:pPr>
              <w:spacing w:after="0"/>
            </w:pPr>
            <w:r>
              <w:rPr>
                <w:rFonts w:ascii="Carlito" w:hAnsi="Carlito" w:eastAsia="Carlito"/>
                <w:color w:val="1F2933"/>
                <w:sz w:val="14"/>
              </w:rPr>
              <w:t>Tier 1 labour disruption</w:t>
            </w:r>
          </w:p>
        </w:tc>
        <w:tc>
          <w:tcPr>
            <w:tcW w:type="dxa" w:w="4320"/>
            <w:shd w:fill="F7F8F9" w:val="clear"/>
            <w:tcMar>
              <w:top w:w="60" w:type="dxa"/>
              <w:start w:w="80" w:type="dxa"/>
              <w:bottom w:w="60" w:type="dxa"/>
              <w:end w:w="80" w:type="dxa"/>
            </w:tcMar>
            <w:vAlign w:val="top"/>
          </w:tcPr>
          <w:p>
            <w:pPr>
              <w:spacing w:after="0"/>
            </w:pPr>
            <w:r>
              <w:rPr>
                <w:rFonts w:ascii="Carlito" w:hAnsi="Carlito" w:eastAsia="Carlito"/>
                <w:color w:val="1F2933"/>
                <w:sz w:val="14"/>
              </w:rPr>
              <w:t>One enclosure or control-assembly node is unavailable in P04, at 50% in P05 and recovers in P06.</w:t>
            </w:r>
          </w:p>
        </w:tc>
        <w:tc>
          <w:tcPr>
            <w:tcW w:type="dxa" w:w="2808"/>
            <w:shd w:fill="F7F8F9" w:val="clear"/>
            <w:tcMar>
              <w:top w:w="60" w:type="dxa"/>
              <w:start w:w="80" w:type="dxa"/>
              <w:bottom w:w="60" w:type="dxa"/>
              <w:end w:w="80" w:type="dxa"/>
            </w:tcMar>
            <w:vAlign w:val="top"/>
          </w:tcPr>
          <w:p>
            <w:pPr>
              <w:spacing w:after="0"/>
            </w:pPr>
            <w:r>
              <w:rPr>
                <w:rFonts w:ascii="Carlito" w:hAnsi="Carlito" w:eastAsia="Carlito"/>
                <w:color w:val="1F2933"/>
                <w:sz w:val="14"/>
              </w:rPr>
              <w:t>Creates a direct downstream transformation and service shock.</w:t>
            </w:r>
          </w:p>
        </w:tc>
      </w:tr>
      <w:tr>
        <w:tc>
          <w:tcPr>
            <w:tcW w:type="dxa" w:w="936"/>
            <w:tcMar>
              <w:top w:w="60" w:type="dxa"/>
              <w:start w:w="80" w:type="dxa"/>
              <w:bottom w:w="60" w:type="dxa"/>
              <w:end w:w="80" w:type="dxa"/>
            </w:tcMar>
            <w:vAlign w:val="top"/>
          </w:tcPr>
          <w:p>
            <w:pPr>
              <w:spacing w:after="0"/>
            </w:pPr>
            <w:r>
              <w:rPr>
                <w:rFonts w:ascii="Carlito" w:hAnsi="Carlito" w:eastAsia="Carlito"/>
                <w:color w:val="1F2933"/>
                <w:sz w:val="14"/>
              </w:rPr>
              <w:t>SCN-04</w:t>
            </w:r>
          </w:p>
        </w:tc>
        <w:tc>
          <w:tcPr>
            <w:tcW w:type="dxa" w:w="1872"/>
            <w:tcMar>
              <w:top w:w="60" w:type="dxa"/>
              <w:start w:w="80" w:type="dxa"/>
              <w:bottom w:w="60" w:type="dxa"/>
              <w:end w:w="80" w:type="dxa"/>
            </w:tcMar>
            <w:vAlign w:val="top"/>
          </w:tcPr>
          <w:p>
            <w:pPr>
              <w:spacing w:after="0"/>
            </w:pPr>
            <w:r>
              <w:rPr>
                <w:rFonts w:ascii="Carlito" w:hAnsi="Carlito" w:eastAsia="Carlito"/>
                <w:color w:val="1F2933"/>
                <w:sz w:val="14"/>
              </w:rPr>
              <w:t>Regional energy constraint</w:t>
            </w:r>
          </w:p>
        </w:tc>
        <w:tc>
          <w:tcPr>
            <w:tcW w:type="dxa" w:w="4320"/>
            <w:tcMar>
              <w:top w:w="60" w:type="dxa"/>
              <w:start w:w="80" w:type="dxa"/>
              <w:bottom w:w="60" w:type="dxa"/>
              <w:end w:w="80" w:type="dxa"/>
            </w:tcMar>
            <w:vAlign w:val="top"/>
          </w:tcPr>
          <w:p>
            <w:pPr>
              <w:spacing w:after="0"/>
            </w:pPr>
            <w:r>
              <w:rPr>
                <w:rFonts w:ascii="Carlito" w:hAnsi="Carlito" w:eastAsia="Carlito"/>
                <w:color w:val="1F2933"/>
                <w:sz w:val="14"/>
              </w:rPr>
              <w:t>Multiple Tier 2-Tier 4 nodes in one region receive differentiated 20-40% capacity reductions.</w:t>
            </w:r>
          </w:p>
        </w:tc>
        <w:tc>
          <w:tcPr>
            <w:tcW w:type="dxa" w:w="2808"/>
            <w:tcMar>
              <w:top w:w="60" w:type="dxa"/>
              <w:start w:w="80" w:type="dxa"/>
              <w:bottom w:w="60" w:type="dxa"/>
              <w:end w:w="80" w:type="dxa"/>
            </w:tcMar>
            <w:vAlign w:val="top"/>
          </w:tcPr>
          <w:p>
            <w:pPr>
              <w:spacing w:after="0"/>
            </w:pPr>
            <w:r>
              <w:rPr>
                <w:rFonts w:ascii="Carlito" w:hAnsi="Carlito" w:eastAsia="Carlito"/>
                <w:color w:val="1F2933"/>
                <w:sz w:val="14"/>
              </w:rPr>
              <w:t>Tests correlated regional dependency across several stages.</w:t>
            </w:r>
          </w:p>
        </w:tc>
      </w:tr>
      <w:tr>
        <w:tc>
          <w:tcPr>
            <w:tcW w:type="dxa" w:w="936"/>
            <w:shd w:fill="F7F8F9" w:val="clear"/>
            <w:tcMar>
              <w:top w:w="60" w:type="dxa"/>
              <w:start w:w="80" w:type="dxa"/>
              <w:bottom w:w="60" w:type="dxa"/>
              <w:end w:w="80" w:type="dxa"/>
            </w:tcMar>
            <w:vAlign w:val="top"/>
          </w:tcPr>
          <w:p>
            <w:pPr>
              <w:spacing w:after="0"/>
            </w:pPr>
            <w:r>
              <w:rPr>
                <w:rFonts w:ascii="Carlito" w:hAnsi="Carlito" w:eastAsia="Carlito"/>
                <w:color w:val="1F2933"/>
                <w:sz w:val="14"/>
              </w:rPr>
              <w:t>SCN-05</w:t>
            </w:r>
          </w:p>
        </w:tc>
        <w:tc>
          <w:tcPr>
            <w:tcW w:type="dxa" w:w="1872"/>
            <w:shd w:fill="F7F8F9" w:val="clear"/>
            <w:tcMar>
              <w:top w:w="60" w:type="dxa"/>
              <w:start w:w="80" w:type="dxa"/>
              <w:bottom w:w="60" w:type="dxa"/>
              <w:end w:w="80" w:type="dxa"/>
            </w:tcMar>
            <w:vAlign w:val="top"/>
          </w:tcPr>
          <w:p>
            <w:pPr>
              <w:spacing w:after="0"/>
            </w:pPr>
            <w:r>
              <w:rPr>
                <w:rFonts w:ascii="Carlito" w:hAnsi="Carlito" w:eastAsia="Carlito"/>
                <w:color w:val="1F2933"/>
                <w:sz w:val="14"/>
              </w:rPr>
              <w:t>Combined severe scenario</w:t>
            </w:r>
          </w:p>
        </w:tc>
        <w:tc>
          <w:tcPr>
            <w:tcW w:type="dxa" w:w="4320"/>
            <w:shd w:fill="F7F8F9" w:val="clear"/>
            <w:tcMar>
              <w:top w:w="60" w:type="dxa"/>
              <w:start w:w="80" w:type="dxa"/>
              <w:bottom w:w="60" w:type="dxa"/>
              <w:end w:w="80" w:type="dxa"/>
            </w:tcMar>
            <w:vAlign w:val="top"/>
          </w:tcPr>
          <w:p>
            <w:pPr>
              <w:spacing w:after="0"/>
            </w:pPr>
            <w:r>
              <w:rPr>
                <w:rFonts w:ascii="Carlito" w:hAnsi="Carlito" w:eastAsia="Carlito"/>
                <w:color w:val="1F2933"/>
                <w:sz w:val="14"/>
              </w:rPr>
              <w:t>SCN-01 and SCN-02 overlap with a 10-15% uplift in selected critical terminal demand.</w:t>
            </w:r>
          </w:p>
        </w:tc>
        <w:tc>
          <w:tcPr>
            <w:tcW w:type="dxa" w:w="2808"/>
            <w:shd w:fill="F7F8F9" w:val="clear"/>
            <w:tcMar>
              <w:top w:w="60" w:type="dxa"/>
              <w:start w:w="80" w:type="dxa"/>
              <w:bottom w:w="60" w:type="dxa"/>
              <w:end w:w="80" w:type="dxa"/>
            </w:tcMar>
            <w:vAlign w:val="top"/>
          </w:tcPr>
          <w:p>
            <w:pPr>
              <w:spacing w:after="0"/>
            </w:pPr>
            <w:r>
              <w:rPr>
                <w:rFonts w:ascii="Carlito" w:hAnsi="Carlito" w:eastAsia="Carlito"/>
                <w:color w:val="1F2933"/>
                <w:sz w:val="14"/>
              </w:rPr>
              <w:t>Requires meaningful recourse and exposes limitations of low-cost, tightly coupled plans.</w:t>
            </w:r>
          </w:p>
        </w:tc>
      </w:tr>
    </w:tbl>
    <w:p>
      <w:pPr>
        <w:spacing w:after="0"/>
      </w:pPr>
    </w:p>
    <w:p>
      <w:pPr>
        <w:pStyle w:val="Heading2"/>
      </w:pPr>
      <w:r>
        <w:t>10.2 Scenario targeting</w:t>
      </w:r>
    </w:p>
    <w:p>
      <w:pPr>
        <w:spacing w:after="90"/>
      </w:pPr>
      <w:r>
        <w:t>Impacts may target a node, organisation, parent group, region, arc or lane, recipe, material, external price, conversion cost or terminal-demand combination. Every impact carries explicit active periods and an auditable description.</w:t>
      </w:r>
    </w:p>
    <w:p>
      <w:pPr>
        <w:pStyle w:val="Heading2"/>
      </w:pPr>
      <w:r>
        <w:t>10.3 Combination and precedence</w:t>
      </w:r>
    </w:p>
    <w:p>
      <w:pPr>
        <w:spacing w:after="50"/>
        <w:ind w:left="317" w:hanging="317"/>
      </w:pPr>
      <w:r>
        <w:rPr>
          <w:b/>
        </w:rPr>
        <w:t xml:space="preserve">1. </w:t>
      </w:r>
      <w:r>
        <w:t>Start from immutable BASE data.</w:t>
      </w:r>
    </w:p>
    <w:p>
      <w:pPr>
        <w:spacing w:after="50"/>
        <w:ind w:left="317" w:hanging="317"/>
      </w:pPr>
      <w:r>
        <w:rPr>
          <w:b/>
        </w:rPr>
        <w:t xml:space="preserve">2. </w:t>
      </w:r>
      <w:r>
        <w:t>Resolve all applicable impact rows for the target and period.</w:t>
      </w:r>
    </w:p>
    <w:p>
      <w:pPr>
        <w:spacing w:after="50"/>
        <w:ind w:left="317" w:hanging="317"/>
      </w:pPr>
      <w:r>
        <w:rPr>
          <w:b/>
        </w:rPr>
        <w:t xml:space="preserve">3. </w:t>
      </w:r>
      <w:r>
        <w:t>An availability value of false overrides capacity or lane availability.</w:t>
      </w:r>
    </w:p>
    <w:p>
      <w:pPr>
        <w:spacing w:after="50"/>
        <w:ind w:left="317" w:hanging="317"/>
      </w:pPr>
      <w:r>
        <w:rPr>
          <w:b/>
        </w:rPr>
        <w:t xml:space="preserve">4. </w:t>
      </w:r>
      <w:r>
        <w:t>Applicable multiplicative impacts combine by multiplication within the declared cost, capacity, transit or demand field.</w:t>
      </w:r>
    </w:p>
    <w:p>
      <w:pPr>
        <w:spacing w:after="50"/>
        <w:ind w:left="317" w:hanging="317"/>
      </w:pPr>
      <w:r>
        <w:rPr>
          <w:b/>
        </w:rPr>
        <w:t xml:space="preserve">5. </w:t>
      </w:r>
      <w:r>
        <w:t>An explicit replacement value is permitted only for a field whose scenario rule declares replacement semantics; the highest configured priority wins and ties are rejected by validation.</w:t>
      </w:r>
    </w:p>
    <w:p>
      <w:pPr>
        <w:spacing w:after="50"/>
        <w:ind w:left="317" w:hanging="317"/>
      </w:pPr>
      <w:r>
        <w:rPr>
          <w:b/>
        </w:rPr>
        <w:t xml:space="preserve">6. </w:t>
      </w:r>
      <w:r>
        <w:t>Recovery is represented by explicit later-period rows.</w:t>
      </w:r>
    </w:p>
    <w:p>
      <w:pPr>
        <w:spacing w:after="50"/>
        <w:ind w:left="317" w:hanging="317"/>
      </w:pPr>
      <w:r>
        <w:rPr>
          <w:b/>
        </w:rPr>
        <w:t xml:space="preserve">7. </w:t>
      </w:r>
      <w:r>
        <w:t>Resulting values are validated for non-negativity, finite bounds and commercial plausibility.</w:t>
      </w:r>
    </w:p>
    <w:p>
      <w:pPr>
        <w:pStyle w:val="Heading2"/>
      </w:pPr>
      <w:r>
        <w:t>10.4 Price and cost propagation</w:t>
      </w:r>
    </w:p>
    <w:p>
      <w:pPr>
        <w:spacing w:after="90"/>
      </w:pPr>
      <w:r>
        <w:t>A scenario may change an external boundary price, variable conversion cost, freight, duty, insurance, capacity or lead time. A downstream intermediate cost is not directly shocked unless the scenario explicitly targets a non-material external service. It changes through the recursive source mix and declared cost additions.</w:t>
      </w:r>
    </w:p>
    <w:p>
      <w:pPr>
        <w:pStyle w:val="Heading2"/>
      </w:pPr>
      <w:r>
        <w:t>10.5 Scenario evaluation policy</w:t>
      </w:r>
    </w:p>
    <w:p>
      <w:pPr>
        <w:spacing w:after="90"/>
      </w:pPr>
      <w:r>
        <w:t>The student application must make clear whether a plan is re-optimised under a scenario or whether an existing plan is stress-tested without reallocation. Both views are useful and must not be conflated. The standard comparison should include baseline-plan stress performance and scenario-specific re-optimisation where computationally supportable.</w:t>
      </w:r>
    </w:p>
    <w:p>
      <w:pPr>
        <w:pStyle w:val="Heading1"/>
      </w:pPr>
      <w:r>
        <w:t>11. Dataset release structure and detailed data contracts</w:t>
      </w:r>
    </w:p>
    <w:p>
      <w:pPr>
        <w:pStyle w:val="Heading2"/>
      </w:pPr>
      <w:r>
        <w:t>11.1 Student release structure</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CAP-001-tier-n-release/</w:t>
              <w:br/>
              <w:t xml:space="preserve">  CAPSTONE_BRIEF.md</w:t>
              <w:br/>
              <w:t xml:space="preserve">  TASK_REQUIREMENTS.md</w:t>
              <w:br/>
              <w:t xml:space="preserve">  DATA_DICTIONARY.md</w:t>
              <w:br/>
              <w:t xml:space="preserve">  COST_POLICY.md</w:t>
              <w:br/>
              <w:t xml:space="preserve">  SCENARIO_CATALOGUE.md</w:t>
              <w:br/>
              <w:t xml:space="preserve">  PRODUCTION_EXTENSION.md</w:t>
              <w:br/>
              <w:t xml:space="preserve">  release_manifest.json</w:t>
              <w:br/>
              <w:t xml:space="preserve">  checksums.sha256</w:t>
              <w:br/>
              <w:br/>
              <w:t xml:space="preserve">  data/</w:t>
              <w:br/>
              <w:t xml:space="preserve">    raw/</w:t>
              <w:br/>
              <w:t xml:space="preserve">      planning_calendar.csv</w:t>
              <w:br/>
              <w:t xml:space="preserve">      supplier_organisations.csv</w:t>
              <w:br/>
              <w:t xml:space="preserve">      network_nodes.csv</w:t>
              <w:br/>
              <w:t xml:space="preserve">      plants.csv</w:t>
              <w:br/>
              <w:t xml:space="preserve">      materials.csv</w:t>
              <w:br/>
              <w:t xml:space="preserve">      transformation_recipes.csv</w:t>
              <w:br/>
              <w:t xml:space="preserve">      transformation_inputs.csv</w:t>
              <w:br/>
              <w:t xml:space="preserve">      material_flow_approvals.csv</w:t>
              <w:br/>
              <w:t xml:space="preserve">      supply_contracts.csv</w:t>
              <w:br/>
              <w:t xml:space="preserve">      incoterm_rules.csv</w:t>
              <w:br/>
              <w:t xml:space="preserve">      import_duty_rates.csv</w:t>
              <w:br/>
              <w:t xml:space="preserve">      source_capacity.csv</w:t>
              <w:br/>
              <w:t xml:space="preserve">      transformation_capacity.csv</w:t>
              <w:br/>
              <w:t xml:space="preserve">      shipping_lanes.csv</w:t>
              <w:br/>
              <w:t xml:space="preserve">      external_source_prices.csv</w:t>
              <w:br/>
              <w:t xml:space="preserve">      conversion_costs.csv</w:t>
              <w:br/>
              <w:t xml:space="preserve">      cost_allocation_rules.csv</w:t>
              <w:br/>
              <w:t xml:space="preserve">      inventory_policies.csv</w:t>
              <w:br/>
              <w:t xml:space="preserve">      opening_inventory.csv</w:t>
              <w:br/>
              <w:t xml:space="preserve">      terminal_demand.csv</w:t>
              <w:br/>
              <w:t xml:space="preserve">      supplier_performance_history.csv</w:t>
              <w:br/>
              <w:t xml:space="preserve">      incident_history.csv</w:t>
              <w:br/>
              <w:t xml:space="preserve">      disruption_scenarios.csv</w:t>
              <w:br/>
              <w:t xml:space="preserve">      disruption_impacts.csv</w:t>
              <w:br/>
              <w:t xml:space="preserve">      fx_rates.csv</w:t>
              <w:br/>
              <w:t xml:space="preserve">      baseline_standard_costs.csv</w:t>
              <w:br/>
              <w:t xml:space="preserve">    miniature_fixture/</w:t>
              <w:br/>
              <w:t xml:space="preserve">      inputs/</w:t>
              <w:br/>
              <w:t xml:space="preserve">      expected_reconciliation/</w:t>
              <w:br/>
              <w:t xml:space="preserve">    reference/</w:t>
              <w:br/>
              <w:t xml:space="preserve">      permitted_supporting_data_only/</w:t>
              <w:br/>
              <w:br/>
              <w:t xml:space="preserve">  config/</w:t>
              <w:br/>
              <w:t xml:space="preserve">    default_case.yaml</w:t>
              <w:br/>
              <w:t xml:space="preserve">  schemas/</w:t>
              <w:br/>
              <w:t xml:space="preserve">    raw_data/</w:t>
              <w:br/>
              <w:t xml:space="preserve">    required_outputs/</w:t>
              <w:br/>
              <w:t xml:space="preserve">  starter/</w:t>
              <w:br/>
              <w:t xml:space="preserve">    submission.yaml</w:t>
              <w:br/>
              <w:t xml:space="preserve">    model_specification_template.md</w:t>
              <w:br/>
              <w:t xml:space="preserve">    solver_report_template.md</w:t>
              <w:br/>
              <w:t xml:space="preserve">    validation_report_template.md</w:t>
              <w:br/>
              <w:t xml:space="preserve">    production_readiness_template.md</w:t>
            </w:r>
          </w:p>
        </w:tc>
      </w:tr>
    </w:tbl>
    <w:p>
      <w:pPr>
        <w:spacing w:after="0"/>
      </w:pPr>
    </w:p>
    <w:p>
      <w:pPr>
        <w:spacing w:after="90"/>
      </w:pPr>
      <w:r>
        <w:t>Open-purchase-order, in-transit-shipment, frozen-allocation and WIP files must not appear in release 1. Future rolling-horizon functionality requires a new versioned schema.</w:t>
      </w:r>
    </w:p>
    <w:p>
      <w:pPr>
        <w:pStyle w:val="Heading2"/>
      </w:pPr>
      <w:r>
        <w:t>11.2 Suggested controlled scale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3672"/>
            <w:shd w:fill="17365D" w:val="clear"/>
            <w:tcMar>
              <w:top w:w="60" w:type="dxa"/>
              <w:start w:w="80" w:type="dxa"/>
              <w:bottom w:w="60" w:type="dxa"/>
              <w:end w:w="80" w:type="dxa"/>
            </w:tcMar>
            <w:vAlign w:val="center"/>
          </w:tcPr>
          <w:p>
            <w:pPr>
              <w:spacing w:after="0"/>
            </w:pPr>
            <w:r>
              <w:rPr>
                <w:rFonts w:ascii="Carlito" w:hAnsi="Carlito" w:eastAsia="Carlito"/>
                <w:b/>
                <w:color w:val="FFFFFF"/>
                <w:sz w:val="16"/>
              </w:rPr>
              <w:t>Dimension</w:t>
            </w:r>
          </w:p>
        </w:tc>
        <w:tc>
          <w:tcPr>
            <w:tcW w:type="dxa" w:w="6264"/>
            <w:shd w:fill="17365D" w:val="clear"/>
            <w:tcMar>
              <w:top w:w="60" w:type="dxa"/>
              <w:start w:w="80" w:type="dxa"/>
              <w:bottom w:w="60" w:type="dxa"/>
              <w:end w:w="80" w:type="dxa"/>
            </w:tcMar>
            <w:vAlign w:val="center"/>
          </w:tcPr>
          <w:p>
            <w:pPr>
              <w:spacing w:after="0"/>
            </w:pPr>
            <w:r>
              <w:rPr>
                <w:rFonts w:ascii="Carlito" w:hAnsi="Carlito" w:eastAsia="Carlito"/>
                <w:b/>
                <w:color w:val="FFFFFF"/>
                <w:sz w:val="16"/>
              </w:rPr>
              <w:t>Target range</w:t>
            </w:r>
          </w:p>
        </w:tc>
      </w:tr>
      <w:tr>
        <w:tc>
          <w:tcPr>
            <w:tcW w:type="dxa" w:w="3672"/>
            <w:tcMar>
              <w:top w:w="60" w:type="dxa"/>
              <w:start w:w="80" w:type="dxa"/>
              <w:bottom w:w="60" w:type="dxa"/>
              <w:end w:w="80" w:type="dxa"/>
            </w:tcMar>
            <w:vAlign w:val="top"/>
          </w:tcPr>
          <w:p>
            <w:pPr>
              <w:spacing w:after="0"/>
            </w:pPr>
            <w:r>
              <w:rPr>
                <w:rFonts w:ascii="Carlito" w:hAnsi="Carlito" w:eastAsia="Carlito"/>
                <w:color w:val="1F2933"/>
                <w:sz w:val="16"/>
              </w:rPr>
              <w:t>Asterion plants</w:t>
            </w:r>
          </w:p>
        </w:tc>
        <w:tc>
          <w:tcPr>
            <w:tcW w:type="dxa" w:w="6264"/>
            <w:tcMar>
              <w:top w:w="60" w:type="dxa"/>
              <w:start w:w="80" w:type="dxa"/>
              <w:bottom w:w="60" w:type="dxa"/>
              <w:end w:w="80" w:type="dxa"/>
            </w:tcMar>
            <w:vAlign w:val="top"/>
          </w:tcPr>
          <w:p>
            <w:pPr>
              <w:spacing w:after="0"/>
            </w:pPr>
            <w:r>
              <w:rPr>
                <w:rFonts w:ascii="Carlito" w:hAnsi="Carlito" w:eastAsia="Carlito"/>
                <w:color w:val="1F2933"/>
                <w:sz w:val="16"/>
              </w:rPr>
              <w:t>4</w:t>
            </w:r>
          </w:p>
        </w:tc>
      </w:tr>
      <w:tr>
        <w:tc>
          <w:tcPr>
            <w:tcW w:type="dxa" w:w="3672"/>
            <w:shd w:fill="F7F8F9" w:val="clear"/>
            <w:tcMar>
              <w:top w:w="60" w:type="dxa"/>
              <w:start w:w="80" w:type="dxa"/>
              <w:bottom w:w="60" w:type="dxa"/>
              <w:end w:w="80" w:type="dxa"/>
            </w:tcMar>
            <w:vAlign w:val="top"/>
          </w:tcPr>
          <w:p>
            <w:pPr>
              <w:spacing w:after="0"/>
            </w:pPr>
            <w:r>
              <w:rPr>
                <w:rFonts w:ascii="Carlito" w:hAnsi="Carlito" w:eastAsia="Carlito"/>
                <w:color w:val="1F2933"/>
                <w:sz w:val="16"/>
              </w:rPr>
              <w:t>Tier 1 supplier nodes</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6"/>
              </w:rPr>
              <w:t>6-8</w:t>
            </w:r>
          </w:p>
        </w:tc>
      </w:tr>
      <w:tr>
        <w:tc>
          <w:tcPr>
            <w:tcW w:type="dxa" w:w="3672"/>
            <w:tcMar>
              <w:top w:w="60" w:type="dxa"/>
              <w:start w:w="80" w:type="dxa"/>
              <w:bottom w:w="60" w:type="dxa"/>
              <w:end w:w="80" w:type="dxa"/>
            </w:tcMar>
            <w:vAlign w:val="top"/>
          </w:tcPr>
          <w:p>
            <w:pPr>
              <w:spacing w:after="0"/>
            </w:pPr>
            <w:r>
              <w:rPr>
                <w:rFonts w:ascii="Carlito" w:hAnsi="Carlito" w:eastAsia="Carlito"/>
                <w:color w:val="1F2933"/>
                <w:sz w:val="16"/>
              </w:rPr>
              <w:t>Tier 2 supplier nodes</w:t>
            </w:r>
          </w:p>
        </w:tc>
        <w:tc>
          <w:tcPr>
            <w:tcW w:type="dxa" w:w="6264"/>
            <w:tcMar>
              <w:top w:w="60" w:type="dxa"/>
              <w:start w:w="80" w:type="dxa"/>
              <w:bottom w:w="60" w:type="dxa"/>
              <w:end w:w="80" w:type="dxa"/>
            </w:tcMar>
            <w:vAlign w:val="top"/>
          </w:tcPr>
          <w:p>
            <w:pPr>
              <w:spacing w:after="0"/>
            </w:pPr>
            <w:r>
              <w:rPr>
                <w:rFonts w:ascii="Carlito" w:hAnsi="Carlito" w:eastAsia="Carlito"/>
                <w:color w:val="1F2933"/>
                <w:sz w:val="16"/>
              </w:rPr>
              <w:t>8-10</w:t>
            </w:r>
          </w:p>
        </w:tc>
      </w:tr>
      <w:tr>
        <w:tc>
          <w:tcPr>
            <w:tcW w:type="dxa" w:w="3672"/>
            <w:shd w:fill="F7F8F9" w:val="clear"/>
            <w:tcMar>
              <w:top w:w="60" w:type="dxa"/>
              <w:start w:w="80" w:type="dxa"/>
              <w:bottom w:w="60" w:type="dxa"/>
              <w:end w:w="80" w:type="dxa"/>
            </w:tcMar>
            <w:vAlign w:val="top"/>
          </w:tcPr>
          <w:p>
            <w:pPr>
              <w:spacing w:after="0"/>
            </w:pPr>
            <w:r>
              <w:rPr>
                <w:rFonts w:ascii="Carlito" w:hAnsi="Carlito" w:eastAsia="Carlito"/>
                <w:color w:val="1F2933"/>
                <w:sz w:val="16"/>
              </w:rPr>
              <w:t>Tier 3 supplier nodes</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6"/>
              </w:rPr>
              <w:t>8-10</w:t>
            </w:r>
          </w:p>
        </w:tc>
      </w:tr>
      <w:tr>
        <w:tc>
          <w:tcPr>
            <w:tcW w:type="dxa" w:w="3672"/>
            <w:tcMar>
              <w:top w:w="60" w:type="dxa"/>
              <w:start w:w="80" w:type="dxa"/>
              <w:bottom w:w="60" w:type="dxa"/>
              <w:end w:w="80" w:type="dxa"/>
            </w:tcMar>
            <w:vAlign w:val="top"/>
          </w:tcPr>
          <w:p>
            <w:pPr>
              <w:spacing w:after="0"/>
            </w:pPr>
            <w:r>
              <w:rPr>
                <w:rFonts w:ascii="Carlito" w:hAnsi="Carlito" w:eastAsia="Carlito"/>
                <w:color w:val="1F2933"/>
                <w:sz w:val="16"/>
              </w:rPr>
              <w:t>Tier 4 boundary/source nodes</w:t>
            </w:r>
          </w:p>
        </w:tc>
        <w:tc>
          <w:tcPr>
            <w:tcW w:type="dxa" w:w="6264"/>
            <w:tcMar>
              <w:top w:w="60" w:type="dxa"/>
              <w:start w:w="80" w:type="dxa"/>
              <w:bottom w:w="60" w:type="dxa"/>
              <w:end w:w="80" w:type="dxa"/>
            </w:tcMar>
            <w:vAlign w:val="top"/>
          </w:tcPr>
          <w:p>
            <w:pPr>
              <w:spacing w:after="0"/>
            </w:pPr>
            <w:r>
              <w:rPr>
                <w:rFonts w:ascii="Carlito" w:hAnsi="Carlito" w:eastAsia="Carlito"/>
                <w:color w:val="1F2933"/>
                <w:sz w:val="16"/>
              </w:rPr>
              <w:t>10-12</w:t>
            </w:r>
          </w:p>
        </w:tc>
      </w:tr>
      <w:tr>
        <w:tc>
          <w:tcPr>
            <w:tcW w:type="dxa" w:w="3672"/>
            <w:shd w:fill="F7F8F9" w:val="clear"/>
            <w:tcMar>
              <w:top w:w="60" w:type="dxa"/>
              <w:start w:w="80" w:type="dxa"/>
              <w:bottom w:w="60" w:type="dxa"/>
              <w:end w:w="80" w:type="dxa"/>
            </w:tcMar>
            <w:vAlign w:val="top"/>
          </w:tcPr>
          <w:p>
            <w:pPr>
              <w:spacing w:after="0"/>
            </w:pPr>
            <w:r>
              <w:rPr>
                <w:rFonts w:ascii="Carlito" w:hAnsi="Carlito" w:eastAsia="Carlito"/>
                <w:color w:val="1F2933"/>
                <w:sz w:val="16"/>
              </w:rPr>
              <w:t>Supplier organisations</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6"/>
              </w:rPr>
              <w:t>20-26, with selected multi-site and multi-tier groups</w:t>
            </w:r>
          </w:p>
        </w:tc>
      </w:tr>
      <w:tr>
        <w:tc>
          <w:tcPr>
            <w:tcW w:type="dxa" w:w="3672"/>
            <w:tcMar>
              <w:top w:w="60" w:type="dxa"/>
              <w:start w:w="80" w:type="dxa"/>
              <w:bottom w:w="60" w:type="dxa"/>
              <w:end w:w="80" w:type="dxa"/>
            </w:tcMar>
            <w:vAlign w:val="top"/>
          </w:tcPr>
          <w:p>
            <w:pPr>
              <w:spacing w:after="0"/>
            </w:pPr>
            <w:r>
              <w:rPr>
                <w:rFonts w:ascii="Carlito" w:hAnsi="Carlito" w:eastAsia="Carlito"/>
                <w:color w:val="1F2933"/>
                <w:sz w:val="16"/>
              </w:rPr>
              <w:t>Materials across all stages</w:t>
            </w:r>
          </w:p>
        </w:tc>
        <w:tc>
          <w:tcPr>
            <w:tcW w:type="dxa" w:w="6264"/>
            <w:tcMar>
              <w:top w:w="60" w:type="dxa"/>
              <w:start w:w="80" w:type="dxa"/>
              <w:bottom w:w="60" w:type="dxa"/>
              <w:end w:w="80" w:type="dxa"/>
            </w:tcMar>
            <w:vAlign w:val="top"/>
          </w:tcPr>
          <w:p>
            <w:pPr>
              <w:spacing w:after="0"/>
            </w:pPr>
            <w:r>
              <w:rPr>
                <w:rFonts w:ascii="Carlito" w:hAnsi="Carlito" w:eastAsia="Carlito"/>
                <w:color w:val="1F2933"/>
                <w:sz w:val="16"/>
              </w:rPr>
              <w:t>30-40</w:t>
            </w:r>
          </w:p>
        </w:tc>
      </w:tr>
      <w:tr>
        <w:tc>
          <w:tcPr>
            <w:tcW w:type="dxa" w:w="3672"/>
            <w:shd w:fill="F7F8F9" w:val="clear"/>
            <w:tcMar>
              <w:top w:w="60" w:type="dxa"/>
              <w:start w:w="80" w:type="dxa"/>
              <w:bottom w:w="60" w:type="dxa"/>
              <w:end w:w="80" w:type="dxa"/>
            </w:tcMar>
            <w:vAlign w:val="top"/>
          </w:tcPr>
          <w:p>
            <w:pPr>
              <w:spacing w:after="0"/>
            </w:pPr>
            <w:r>
              <w:rPr>
                <w:rFonts w:ascii="Carlito" w:hAnsi="Carlito" w:eastAsia="Carlito"/>
                <w:color w:val="1F2933"/>
                <w:sz w:val="16"/>
              </w:rPr>
              <w:t>Terminal component materials</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6"/>
              </w:rPr>
              <w:t>6-8</w:t>
            </w:r>
          </w:p>
        </w:tc>
      </w:tr>
      <w:tr>
        <w:tc>
          <w:tcPr>
            <w:tcW w:type="dxa" w:w="3672"/>
            <w:tcMar>
              <w:top w:w="60" w:type="dxa"/>
              <w:start w:w="80" w:type="dxa"/>
              <w:bottom w:w="60" w:type="dxa"/>
              <w:end w:w="80" w:type="dxa"/>
            </w:tcMar>
            <w:vAlign w:val="top"/>
          </w:tcPr>
          <w:p>
            <w:pPr>
              <w:spacing w:after="0"/>
            </w:pPr>
            <w:r>
              <w:rPr>
                <w:rFonts w:ascii="Carlito" w:hAnsi="Carlito" w:eastAsia="Carlito"/>
                <w:color w:val="1F2933"/>
                <w:sz w:val="16"/>
              </w:rPr>
              <w:t>Transformation recipes</w:t>
            </w:r>
          </w:p>
        </w:tc>
        <w:tc>
          <w:tcPr>
            <w:tcW w:type="dxa" w:w="6264"/>
            <w:tcMar>
              <w:top w:w="60" w:type="dxa"/>
              <w:start w:w="80" w:type="dxa"/>
              <w:bottom w:w="60" w:type="dxa"/>
              <w:end w:w="80" w:type="dxa"/>
            </w:tcMar>
            <w:vAlign w:val="top"/>
          </w:tcPr>
          <w:p>
            <w:pPr>
              <w:spacing w:after="0"/>
            </w:pPr>
            <w:r>
              <w:rPr>
                <w:rFonts w:ascii="Carlito" w:hAnsi="Carlito" w:eastAsia="Carlito"/>
                <w:color w:val="1F2933"/>
                <w:sz w:val="16"/>
              </w:rPr>
              <w:t>40-60</w:t>
            </w:r>
          </w:p>
        </w:tc>
      </w:tr>
      <w:tr>
        <w:tc>
          <w:tcPr>
            <w:tcW w:type="dxa" w:w="3672"/>
            <w:shd w:fill="F7F8F9" w:val="clear"/>
            <w:tcMar>
              <w:top w:w="60" w:type="dxa"/>
              <w:start w:w="80" w:type="dxa"/>
              <w:bottom w:w="60" w:type="dxa"/>
              <w:end w:w="80" w:type="dxa"/>
            </w:tcMar>
            <w:vAlign w:val="top"/>
          </w:tcPr>
          <w:p>
            <w:pPr>
              <w:spacing w:after="0"/>
            </w:pPr>
            <w:r>
              <w:rPr>
                <w:rFonts w:ascii="Carlito" w:hAnsi="Carlito" w:eastAsia="Carlito"/>
                <w:color w:val="1F2933"/>
                <w:sz w:val="16"/>
              </w:rPr>
              <w:t>Approved material-flow relationships</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6"/>
              </w:rPr>
              <w:t>120-180</w:t>
            </w:r>
          </w:p>
        </w:tc>
      </w:tr>
      <w:tr>
        <w:tc>
          <w:tcPr>
            <w:tcW w:type="dxa" w:w="3672"/>
            <w:tcMar>
              <w:top w:w="60" w:type="dxa"/>
              <w:start w:w="80" w:type="dxa"/>
              <w:bottom w:w="60" w:type="dxa"/>
              <w:end w:w="80" w:type="dxa"/>
            </w:tcMar>
            <w:vAlign w:val="top"/>
          </w:tcPr>
          <w:p>
            <w:pPr>
              <w:spacing w:after="0"/>
            </w:pPr>
            <w:r>
              <w:rPr>
                <w:rFonts w:ascii="Carlito" w:hAnsi="Carlito" w:eastAsia="Carlito"/>
                <w:color w:val="1F2933"/>
                <w:sz w:val="16"/>
              </w:rPr>
              <w:t>Supply contracts</w:t>
            </w:r>
          </w:p>
        </w:tc>
        <w:tc>
          <w:tcPr>
            <w:tcW w:type="dxa" w:w="6264"/>
            <w:tcMar>
              <w:top w:w="60" w:type="dxa"/>
              <w:start w:w="80" w:type="dxa"/>
              <w:bottom w:w="60" w:type="dxa"/>
              <w:end w:w="80" w:type="dxa"/>
            </w:tcMar>
            <w:vAlign w:val="top"/>
          </w:tcPr>
          <w:p>
            <w:pPr>
              <w:spacing w:after="0"/>
            </w:pPr>
            <w:r>
              <w:rPr>
                <w:rFonts w:ascii="Carlito" w:hAnsi="Carlito" w:eastAsia="Carlito"/>
                <w:color w:val="1F2933"/>
                <w:sz w:val="16"/>
              </w:rPr>
              <w:t>120-180</w:t>
            </w:r>
          </w:p>
        </w:tc>
      </w:tr>
      <w:tr>
        <w:tc>
          <w:tcPr>
            <w:tcW w:type="dxa" w:w="3672"/>
            <w:shd w:fill="F7F8F9" w:val="clear"/>
            <w:tcMar>
              <w:top w:w="60" w:type="dxa"/>
              <w:start w:w="80" w:type="dxa"/>
              <w:bottom w:w="60" w:type="dxa"/>
              <w:end w:w="80" w:type="dxa"/>
            </w:tcMar>
            <w:vAlign w:val="top"/>
          </w:tcPr>
          <w:p>
            <w:pPr>
              <w:spacing w:after="0"/>
            </w:pPr>
            <w:r>
              <w:rPr>
                <w:rFonts w:ascii="Carlito" w:hAnsi="Carlito" w:eastAsia="Carlito"/>
                <w:color w:val="1F2933"/>
                <w:sz w:val="16"/>
              </w:rPr>
              <w:t>Shipping lanes/modes</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6"/>
              </w:rPr>
              <w:t>90-150</w:t>
            </w:r>
          </w:p>
        </w:tc>
      </w:tr>
      <w:tr>
        <w:tc>
          <w:tcPr>
            <w:tcW w:type="dxa" w:w="3672"/>
            <w:tcMar>
              <w:top w:w="60" w:type="dxa"/>
              <w:start w:w="80" w:type="dxa"/>
              <w:bottom w:w="60" w:type="dxa"/>
              <w:end w:w="80" w:type="dxa"/>
            </w:tcMar>
            <w:vAlign w:val="top"/>
          </w:tcPr>
          <w:p>
            <w:pPr>
              <w:spacing w:after="0"/>
            </w:pPr>
            <w:r>
              <w:rPr>
                <w:rFonts w:ascii="Carlito" w:hAnsi="Carlito" w:eastAsia="Carlito"/>
                <w:color w:val="1F2933"/>
                <w:sz w:val="16"/>
              </w:rPr>
              <w:t>Planning periods</w:t>
            </w:r>
          </w:p>
        </w:tc>
        <w:tc>
          <w:tcPr>
            <w:tcW w:type="dxa" w:w="6264"/>
            <w:tcMar>
              <w:top w:w="60" w:type="dxa"/>
              <w:start w:w="80" w:type="dxa"/>
              <w:bottom w:w="60" w:type="dxa"/>
              <w:end w:w="80" w:type="dxa"/>
            </w:tcMar>
            <w:vAlign w:val="top"/>
          </w:tcPr>
          <w:p>
            <w:pPr>
              <w:spacing w:after="0"/>
            </w:pPr>
            <w:r>
              <w:rPr>
                <w:rFonts w:ascii="Carlito" w:hAnsi="Carlito" w:eastAsia="Carlito"/>
                <w:color w:val="1F2933"/>
                <w:sz w:val="16"/>
              </w:rPr>
              <w:t>12 weeks</w:t>
            </w:r>
          </w:p>
        </w:tc>
      </w:tr>
      <w:tr>
        <w:tc>
          <w:tcPr>
            <w:tcW w:type="dxa" w:w="3672"/>
            <w:shd w:fill="F7F8F9" w:val="clear"/>
            <w:tcMar>
              <w:top w:w="60" w:type="dxa"/>
              <w:start w:w="80" w:type="dxa"/>
              <w:bottom w:w="60" w:type="dxa"/>
              <w:end w:w="80" w:type="dxa"/>
            </w:tcMar>
            <w:vAlign w:val="top"/>
          </w:tcPr>
          <w:p>
            <w:pPr>
              <w:spacing w:after="0"/>
            </w:pPr>
            <w:r>
              <w:rPr>
                <w:rFonts w:ascii="Carlito" w:hAnsi="Carlito" w:eastAsia="Carlito"/>
                <w:color w:val="1F2933"/>
                <w:sz w:val="16"/>
              </w:rPr>
              <w:t>Scenarios</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6"/>
              </w:rPr>
              <w:t>6 including BASE</w:t>
            </w:r>
          </w:p>
        </w:tc>
      </w:tr>
    </w:tbl>
    <w:p>
      <w:pPr>
        <w:spacing w:after="0"/>
      </w:pPr>
    </w:p>
    <w:p>
      <w:pPr>
        <w:spacing w:after="90"/>
      </w:pPr>
      <w:r>
        <w:t>The student case should require engineering discipline and meaningful MINLP strategy while remaining solvable to a defensible feasible quality on the supported environment. A larger extension instance may be generated privately after the controlled case is stable.</w:t>
      </w:r>
    </w:p>
    <w:p>
      <w:pPr>
        <w:pStyle w:val="Heading2"/>
      </w:pPr>
      <w:r>
        <w:t>11.3 Shared schema-generation rule</w:t>
      </w:r>
    </w:p>
    <w:p>
      <w:pPr>
        <w:spacing w:after="90"/>
      </w:pPr>
      <w:r>
        <w:t>The machine-readable schemas, data dictionary, generator, validators, model adapters and evaluator must be generated from or checked against one approved configuration model. Field definitions must not be manually duplicated across artefacts where generation is practical.</w:t>
      </w:r>
    </w:p>
    <w:p>
      <w:pPr>
        <w:pStyle w:val="Heading3"/>
        <w:keepNext/>
      </w:pPr>
      <w:r>
        <w:t>11.4 planning_calendar.csv</w:t>
      </w:r>
    </w:p>
    <w:p>
      <w:pPr>
        <w:keepNext/>
        <w:spacing w:after="90"/>
      </w:pPr>
      <w:r>
        <w:t>Purpose. Defines the fixed weekly horizon and authoritative date semantics.</w:t>
      </w:r>
    </w:p>
    <w:p>
      <w:pPr>
        <w:keepNext/>
        <w:spacing w:after="90"/>
      </w:pPr>
      <w:r>
        <w:t>Grain and primary key. One row per weekly period. Primary key: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P01-P12</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identifier used by every period-indexed table.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period_number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unique; 1-12</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Sequential period number.</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week_start_date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date</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ISO date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Monday start; P01 is 2027-01-04.</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week_end_date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date</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ISO date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Sunday end; P12 is 2027-03-28.</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order_cutoff_timestamp</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timestamp</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timezone included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Narrative and future-integration planning cut-off.</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is_terminal_period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True only for P12.</w:t>
            </w:r>
          </w:p>
        </w:tc>
      </w:tr>
    </w:tbl>
    <w:p>
      <w:pPr>
        <w:spacing w:after="0"/>
      </w:pPr>
    </w:p>
    <w:p>
      <w:pPr>
        <w:pStyle w:val="Heading3"/>
        <w:keepNext/>
      </w:pPr>
      <w:r>
        <w:t>11.5 supplier_organisations.csv</w:t>
      </w:r>
    </w:p>
    <w:p>
      <w:pPr>
        <w:keepNext/>
        <w:spacing w:after="90"/>
      </w:pPr>
      <w:r>
        <w:t>Purpose. Defines fictional legal entities and parent-group ownership for network and dependency analysis.</w:t>
      </w:r>
    </w:p>
    <w:p>
      <w:pPr>
        <w:keepNext/>
        <w:spacing w:after="90"/>
      </w:pPr>
      <w:r>
        <w:t>Grain and primary key. One row per supplier organisation. Primary key: supplier_id.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supplier_id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SUP-####</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fictional organisation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supplier_name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fictional</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Human-readable name.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parent_group_id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Nullable; self-FK</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Ultimate fictional parent. Several organisations or sites may share one parent.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hq_country_code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ISO-3166 alpha-2</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Headquarters country.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region_code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configured domain</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Risk-reporting region.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financial_risk_band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LOW, MEDIUM, HIGH</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Synthetic continuity/credit signal.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recovery_time_weeks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weeks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Indicative severe-event recovery time.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open_cost_participant_flag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Whether the organisation participates in the nominated-source and open-cost programme.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active_flag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Current release status.</w:t>
            </w:r>
          </w:p>
        </w:tc>
      </w:tr>
    </w:tbl>
    <w:p>
      <w:pPr>
        <w:spacing w:after="0"/>
      </w:pPr>
    </w:p>
    <w:p>
      <w:pPr>
        <w:pStyle w:val="Heading3"/>
        <w:keepNext/>
      </w:pPr>
      <w:r>
        <w:t>11.6 network_nodes.csv</w:t>
      </w:r>
    </w:p>
    <w:p>
      <w:pPr>
        <w:keepNext/>
        <w:spacing w:after="90"/>
      </w:pPr>
      <w:r>
        <w:t>Purpose. Defines every physical supplier site and Asterion receiving plant in a tier-neutral graph.</w:t>
      </w:r>
    </w:p>
    <w:p>
      <w:pPr>
        <w:keepNext/>
        <w:spacing w:after="90"/>
      </w:pPr>
      <w:r>
        <w:t>Grain and primary key. One row per physical node. Primary key: node_id.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NODE-####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physical-node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supplier_id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 FK supplier_organisations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Owning supplier. Null for Asterion plant nodes.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node_name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fictional</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Human-readable site or plant name.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node_type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SUPPLIER_SITE, PLANT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Physical node class.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node_tier</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TIER_1-TIER_4, PLANT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Tier follows proximity to Asterion.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external_boundary_flag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True where exogenous material prices may enter.</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processing_capability_flag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Whether transformations may be configured.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pooling_policy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WEIGHTED_AVERAGE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Authoritative release-1 pooling policy.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country_code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ISO-3166 alpha-2</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Physical country.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region_code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Scenario and analysis region.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latitude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degrees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Synthetic but geographically valid.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longitude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degrees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Synthetic but geographically valid.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timezone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IANA</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Local planning timezone.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local_currency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ISO-4217</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Default local cost currency.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site_risk_score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0-100</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Exploratory signal, not a mandatory resilience metric.</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active_flag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Current release status.</w:t>
            </w:r>
          </w:p>
        </w:tc>
      </w:tr>
    </w:tbl>
    <w:p>
      <w:pPr>
        <w:spacing w:after="0"/>
      </w:pPr>
    </w:p>
    <w:p>
      <w:pPr>
        <w:pStyle w:val="Heading3"/>
        <w:keepNext/>
      </w:pPr>
      <w:r>
        <w:t>11.7 plants.csv</w:t>
      </w:r>
    </w:p>
    <w:p>
      <w:pPr>
        <w:keepNext/>
        <w:spacing w:after="90"/>
      </w:pPr>
      <w:r>
        <w:t>Purpose. Adds Asterion-specific metadata to plant nodes.</w:t>
      </w:r>
    </w:p>
    <w:p>
      <w:pPr>
        <w:keepNext/>
        <w:spacing w:after="90"/>
      </w:pPr>
      <w:r>
        <w:t>Grain and primary key. One row per plant. Primary key and FK: plant_id -&gt; network_nodes.node_id.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plant_id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PK/FK</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Asterion plant node.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plant_name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Birmingham, Dortmund, Katowice or Zaragoza.</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primary_role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Narrative production role.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base_currency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EUR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Common optimisation currency.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plant_priority_weight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Positive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Controlled service-priority weight.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customer_region</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Customer-facing reporting region.</w:t>
            </w:r>
          </w:p>
        </w:tc>
      </w:tr>
    </w:tbl>
    <w:p>
      <w:pPr>
        <w:spacing w:after="0"/>
      </w:pPr>
    </w:p>
    <w:p>
      <w:pPr>
        <w:pStyle w:val="Heading3"/>
        <w:keepNext/>
      </w:pPr>
      <w:r>
        <w:t>11.8 materials.csv</w:t>
      </w:r>
    </w:p>
    <w:p>
      <w:pPr>
        <w:keepNext/>
        <w:spacing w:after="90"/>
      </w:pPr>
      <w:r>
        <w:t>Purpose. Defines raw, intermediate and terminal materials, authoritative units and cost-model eligibility.</w:t>
      </w:r>
    </w:p>
    <w:p>
      <w:pPr>
        <w:keepNext/>
        <w:spacing w:after="90"/>
      </w:pPr>
      <w:r>
        <w:t>Grain and primary key. One row per material. Primary key: material_id.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MAT-####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material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material_name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fictional</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Human-readable name.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material_stage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BOUNDARY_RAW, PROCESSED, SUBASSEMBLY, PLANT_READY, TERMINAL</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Functional material stage.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material_family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Reporting, duty and scenario family.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uom</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EA, KG, M or configured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One authoritative unit per poolable material.</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criticality_class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LOW, MEDIUM, HIGH, CRITICAL</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Business service criticality.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terminal_material_flag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Whether plant terminal demand may reference the material.</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external_price_eligible_flag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True only for declared boundary-sourced materials.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poolable_flag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Release 1 should be true for modelled inventory materials.</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shelf_life_weeks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 weeks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No age-bucket inventory in release 1.</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active_flag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Current release status.</w:t>
            </w:r>
          </w:p>
        </w:tc>
      </w:tr>
    </w:tbl>
    <w:p>
      <w:pPr>
        <w:spacing w:after="0"/>
      </w:pPr>
    </w:p>
    <w:p>
      <w:pPr>
        <w:pStyle w:val="Heading3"/>
        <w:keepNext/>
      </w:pPr>
      <w:r>
        <w:t>11.9 transformation_recipes.csv</w:t>
      </w:r>
    </w:p>
    <w:p>
      <w:pPr>
        <w:keepNext/>
        <w:spacing w:after="90"/>
      </w:pPr>
      <w:r>
        <w:t>Purpose. Defines node-specific transformations from input materials into one output material.</w:t>
      </w:r>
    </w:p>
    <w:p>
      <w:pPr>
        <w:keepNext/>
        <w:spacing w:after="90"/>
      </w:pPr>
      <w:r>
        <w:t>Grain and primary key. One row per node-capable recipe and effective range. Primary key: recipe_id.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recipe_id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RCP-#####</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transformation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network_nodes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Processing node.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output_material_id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Produced material.</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recipe_group_id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Groups alternatives for blend or exclusivity rules.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activation_mode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BLENDABLE, EXCLUSIVE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How alternatives in the group may be used.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yield_rate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0 &lt; value &lt;= 1</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Fixed output yield convention.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minimum_run_quantity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output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Minimum positive output when activated.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setup_required_flag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Whether recipe_on is mandatory for positive production.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effective_from_period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First active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effective_to_period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Last active period.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active_flag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Current release status.</w:t>
            </w:r>
          </w:p>
        </w:tc>
      </w:tr>
    </w:tbl>
    <w:p>
      <w:pPr>
        <w:spacing w:after="0"/>
      </w:pPr>
    </w:p>
    <w:p>
      <w:pPr>
        <w:pStyle w:val="Heading3"/>
        <w:keepNext/>
      </w:pPr>
      <w:r>
        <w:t>11.10 transformation_inputs.csv</w:t>
      </w:r>
    </w:p>
    <w:p>
      <w:pPr>
        <w:keepNext/>
        <w:spacing w:after="90"/>
      </w:pPr>
      <w:r>
        <w:t>Purpose. Defines the BOM inputs and coefficients for each transformation recipe.</w:t>
      </w:r>
    </w:p>
    <w:p>
      <w:pPr>
        <w:keepNext/>
        <w:spacing w:after="90"/>
      </w:pPr>
      <w:r>
        <w:t>Grain and primary key. One row per recipe-input material. Composite key: recipe_id + input_material_id.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recipe_id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recipes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Owning transformation recipe.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input_material_id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Consumed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quantity_per_output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input UOM/output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Nominal coefficient before yield adjustment.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scrap_recovery_flag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normally false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Reserved for explicit recoverable output; false in release 1 unless configured.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input_sequence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display and validation order.</w:t>
            </w:r>
          </w:p>
        </w:tc>
      </w:tr>
    </w:tbl>
    <w:p>
      <w:pPr>
        <w:spacing w:after="0"/>
      </w:pPr>
    </w:p>
    <w:p>
      <w:pPr>
        <w:pStyle w:val="Heading3"/>
        <w:keepNext/>
      </w:pPr>
      <w:r>
        <w:t>11.11 material_flow_approvals.csv</w:t>
      </w:r>
    </w:p>
    <w:p>
      <w:pPr>
        <w:keepNext/>
        <w:spacing w:after="90"/>
      </w:pPr>
      <w:r>
        <w:t>Purpose. Controls which seller-node, material and buyer-node relationships may carry flow.</w:t>
      </w:r>
    </w:p>
    <w:p>
      <w:pPr>
        <w:keepNext/>
        <w:spacing w:after="90"/>
      </w:pPr>
      <w:r>
        <w:t>Grain and primary key. One row per approved relationship. Primary key: approval_id.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approval_id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APR-#####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approval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seller_node_id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Approved origin.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buyer_node_id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Approved destination.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Approved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approval_status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APPROVED, CONDITIONAL, SUSPENDED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Only permitted statuses may carry flow under the configured rule.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valid_from_period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First valid period.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valid_to_period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Last valid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maximum_approved_share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 0-1</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Optional approval-derived cap.</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qualification_score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0-100</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Supporting quality signal.</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notes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Controlled qualification context.</w:t>
            </w:r>
          </w:p>
        </w:tc>
      </w:tr>
    </w:tbl>
    <w:p>
      <w:pPr>
        <w:spacing w:after="0"/>
      </w:pPr>
    </w:p>
    <w:p>
      <w:pPr>
        <w:pStyle w:val="Heading3"/>
        <w:keepNext/>
      </w:pPr>
      <w:r>
        <w:t>11.12 supply_contracts.csv</w:t>
      </w:r>
    </w:p>
    <w:p>
      <w:pPr>
        <w:keepNext/>
        <w:spacing w:after="90"/>
      </w:pPr>
      <w:r>
        <w:t>Purpose. Defines ordering, pricing-method, handling, lot and fixed-cost terms for approved flows.</w:t>
      </w:r>
    </w:p>
    <w:p>
      <w:pPr>
        <w:keepNext/>
        <w:spacing w:after="90"/>
      </w:pPr>
      <w:r>
        <w:t>Grain and primary key. One row per seller-buyer-material commercial relationship. Primary key: contract_id.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contract_id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CTR-#####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contract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approval_id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approvals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Underlying approved relationship.</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pricing_method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EXTERNAL_UNIT_PRICE, RECURSIVE_COST_PLUS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Only the first may use external source price.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currency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ISO-4217</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Contract and fixed-cost currency.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incoterm_code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incoterm_rules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Simplified responsibility rule.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contract_handling_days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days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Preparation time before lane transit.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minimum_order_quantity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Positive; material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Minimum positive order.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order_multiple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Positive; material UOM</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Integer lot size.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fixed_order_cost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currency/order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Direct fixed cost when an order activates.</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horizon_activation_cost</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currency</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Non-capitalised relationship-use cost.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payment_terms_days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days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Narrative field; no cash-flow optimisation.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effective_from_period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First active period.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effective_to_period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Last active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active_flag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Current release status.</w:t>
            </w:r>
          </w:p>
        </w:tc>
      </w:tr>
    </w:tbl>
    <w:p>
      <w:pPr>
        <w:spacing w:after="0"/>
      </w:pPr>
    </w:p>
    <w:p>
      <w:pPr>
        <w:pStyle w:val="Heading3"/>
        <w:keepNext/>
      </w:pPr>
      <w:r>
        <w:t>11.13 incoterm_rules.csv</w:t>
      </w:r>
    </w:p>
    <w:p>
      <w:pPr>
        <w:keepNext/>
        <w:spacing w:after="90"/>
      </w:pPr>
      <w:r>
        <w:t>Purpose. Provides a simplified, explicit allocation of freight, insurance, duty and risk-transfer responsibility.</w:t>
      </w:r>
    </w:p>
    <w:p>
      <w:pPr>
        <w:keepNext/>
        <w:spacing w:after="90"/>
      </w:pPr>
      <w:r>
        <w:t>Grain and primary key. One row per permitted simplified Incoterm. Primary key: incoterm_code.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incoterm_code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Controlled subset such as EXW, FCA, CPT, CIP, DAP and DDP.</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description</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Plain-English modelling description.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buyer_pays_origin_transport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Responsibility flag.</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buyer_pays_main_carriage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Responsibility flag.</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buyer_pays_insurance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Responsibility flag.</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buyer_pays_import_duty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Responsibility flag.</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risk_transfer_stage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Narrative stage used in production discussion.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legal_disclaimer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fixed text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States that the table is a capstone abstraction and not legal guidance.</w:t>
            </w:r>
          </w:p>
        </w:tc>
      </w:tr>
    </w:tbl>
    <w:p>
      <w:pPr>
        <w:spacing w:after="0"/>
      </w:pPr>
    </w:p>
    <w:p>
      <w:pPr>
        <w:pStyle w:val="Heading3"/>
        <w:keepNext/>
      </w:pPr>
      <w:r>
        <w:t>11.14 import_duty_rates.csv</w:t>
      </w:r>
    </w:p>
    <w:p>
      <w:pPr>
        <w:keepNext/>
        <w:spacing w:after="90"/>
      </w:pPr>
      <w:r>
        <w:t>Purpose. Defines simplified duty rates by origin, destination and material family.</w:t>
      </w:r>
    </w:p>
    <w:p>
      <w:pPr>
        <w:keepNext/>
        <w:spacing w:after="90"/>
      </w:pPr>
      <w:r>
        <w:t>Grain and primary key. One row per origin-destination-family-effective-range rule. Primary key: duty_rule_id.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duty_rule_id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DUTY-#####</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rule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origin_country_code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ISO-3166 alpha-2</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Dispatch country.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destination_country_code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ISO-3166 alpha-2</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Receiving country.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material_family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domain</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 family.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duty_rate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0-1</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Percentage of configured customs value.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customs_value_basis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GOODS, GOODS_PLUS_FREIGHT, configured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Authoritative calculation basis.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effective_from_period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First active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effective_to_period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Last active period.</w:t>
            </w:r>
          </w:p>
        </w:tc>
      </w:tr>
    </w:tbl>
    <w:p>
      <w:pPr>
        <w:spacing w:after="0"/>
      </w:pPr>
    </w:p>
    <w:p>
      <w:pPr>
        <w:pStyle w:val="Heading3"/>
        <w:keepNext/>
      </w:pPr>
      <w:r>
        <w:t>11.15 source_capacity.csv</w:t>
      </w:r>
    </w:p>
    <w:p>
      <w:pPr>
        <w:keepNext/>
        <w:spacing w:after="90"/>
      </w:pPr>
      <w:r>
        <w:t>Purpose. Defines supply capacity for external boundary materials before transformation.</w:t>
      </w:r>
    </w:p>
    <w:p>
      <w:pPr>
        <w:keepNext/>
        <w:spacing w:after="90"/>
      </w:pPr>
      <w:r>
        <w:t>Grain and primary key. One row per boundary node, material and period. Composite key: node_id + material_id +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 boundary flag true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Capacity-owning source node.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Externally priced supplied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Capacity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regular_capacity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material UOM/week</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Normal source capacity before scenario impacts.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surge_capacity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material UOM/week</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Additional externally available capacity.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surge_unit_premium</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local currency/unit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Capitalised premium for surge source quantity.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planned_downtime_fraction</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0-1</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Configured base reduction with one authoritative application rule.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minimum_supply_quantity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Optional positive supply minimum when activated.</w:t>
            </w:r>
          </w:p>
        </w:tc>
      </w:tr>
    </w:tbl>
    <w:p>
      <w:pPr>
        <w:spacing w:after="0"/>
      </w:pPr>
    </w:p>
    <w:p>
      <w:pPr>
        <w:pStyle w:val="Heading3"/>
        <w:keepNext/>
      </w:pPr>
      <w:r>
        <w:t>11.16 transformation_capacity.csv</w:t>
      </w:r>
    </w:p>
    <w:p>
      <w:pPr>
        <w:keepNext/>
        <w:spacing w:after="90"/>
      </w:pPr>
      <w:r>
        <w:t>Purpose. Defines weekly regular and surge output capacity for each node-recipe combination.</w:t>
      </w:r>
    </w:p>
    <w:p>
      <w:pPr>
        <w:keepNext/>
        <w:spacing w:after="90"/>
      </w:pPr>
      <w:r>
        <w:t>Grain and primary key. One row per node, recipe and period. Composite key: node_id + recipe_id +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Processing node.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recipe_id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recipes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Capacity-controlled recipe.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Capacity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regular_output_capacity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output UOM/week</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Normal output capacity before scenario impacts.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surge_output_capacity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output UOM/week</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Additional output capacity.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surge_conversion_premium</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local currency/output unit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Capitalised incremental conversion cost.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planned_downtime_fraction</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0-1</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Base planned capacity reduction.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shared_capacity_group_id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Links recipes drawing on one shared production resource.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shared_capacity_coefficient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Positive where group populated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Resource use per unit of output.</w:t>
            </w:r>
          </w:p>
        </w:tc>
      </w:tr>
    </w:tbl>
    <w:p>
      <w:pPr>
        <w:spacing w:after="0"/>
      </w:pPr>
    </w:p>
    <w:p>
      <w:pPr>
        <w:pStyle w:val="Heading3"/>
        <w:keepNext/>
      </w:pPr>
      <w:r>
        <w:t>11.17 shipping_lanes.csv</w:t>
      </w:r>
    </w:p>
    <w:p>
      <w:pPr>
        <w:keepNext/>
        <w:spacing w:after="90"/>
      </w:pPr>
      <w:r>
        <w:t>Purpose. Defines tier-neutral origin-destination-mode transport options, timing, capacity and cost.</w:t>
      </w:r>
    </w:p>
    <w:p>
      <w:pPr>
        <w:keepNext/>
        <w:spacing w:after="90"/>
      </w:pPr>
      <w:r>
        <w:t>Grain and primary key. One row per directed origin-destination-mode lane. Primary key: lane_id.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lane_id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LANE-#####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lane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origin_node_id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Origin node.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destination_node_id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Destination node.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transport_mode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ROAD, SEA, RAIL, AIR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Transport mode; expedited options are separate lanes.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distance_km</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km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Synthetic route distance.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base_transit_days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Positive; days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Normal lane transit.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transit_std_days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days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Historical variability signal.</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weekly_capacity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configured equivalent UOM</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Shared lane capacity under the documented unit policy.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freight_currency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ISO-4217</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Freight charge currency.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variable_freight_cost_per_unit</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currency/unit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Capitalised when the buyer bears freight.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fixed_shipment_cost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currency/shipment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Direct fixed lane cost when activated.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insurance_rate_pct_of_goods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0-1</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Applied to configured insured value.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reliability_score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0-100</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Exploratory service signal.</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expedited_flag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Identifies premium transport alternative.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active_flag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Current release status.</w:t>
            </w:r>
          </w:p>
        </w:tc>
      </w:tr>
    </w:tbl>
    <w:p>
      <w:pPr>
        <w:spacing w:after="0"/>
      </w:pPr>
    </w:p>
    <w:p>
      <w:pPr>
        <w:pStyle w:val="Heading3"/>
        <w:keepNext/>
      </w:pPr>
      <w:r>
        <w:t>11.18 external_source_prices.csv</w:t>
      </w:r>
    </w:p>
    <w:p>
      <w:pPr>
        <w:keepNext/>
        <w:spacing w:after="90"/>
      </w:pPr>
      <w:r>
        <w:t>Purpose. Provides the only authoritative exogenous material prices used by the recursive model.</w:t>
      </w:r>
    </w:p>
    <w:p>
      <w:pPr>
        <w:keepNext/>
        <w:spacing w:after="90"/>
      </w:pPr>
      <w:r>
        <w:t>Grain and primary key. One row per external-price contract, material and period. Composite key: contract_id + material_id +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contract_id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contracts; pricing method external</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Boundary-source contract.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 external eligible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Priced boundary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Applicable dispatch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unit_price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Positive; contract currency/unit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Authoritative external price before capitalised receipt additions.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currency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ISO-4217</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Must agree with or explicitly override contract currency.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price_source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SYNTHETIC_FIXED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Makes synthetic status explicit.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scenario_sensitive_flag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Whether configured price impacts may apply.</w:t>
            </w:r>
          </w:p>
        </w:tc>
      </w:tr>
    </w:tbl>
    <w:p>
      <w:pPr>
        <w:spacing w:after="0"/>
      </w:pPr>
    </w:p>
    <w:p>
      <w:pPr>
        <w:pStyle w:val="Heading3"/>
        <w:keepNext/>
      </w:pPr>
      <w:r>
        <w:t>11.19 conversion_costs.csv</w:t>
      </w:r>
    </w:p>
    <w:p>
      <w:pPr>
        <w:keepNext/>
        <w:spacing w:after="90"/>
      </w:pPr>
      <w:r>
        <w:t>Purpose. Defines transformation value-add, setup, eligible overhead and markup by recipe and period.</w:t>
      </w:r>
    </w:p>
    <w:p>
      <w:pPr>
        <w:keepNext/>
        <w:spacing w:after="90"/>
      </w:pPr>
      <w:r>
        <w:t>Grain and primary key. One row per node, recipe and period. Composite key: node_id + recipe_id +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Processing node.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recipe_id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recipes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Transformation.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Applicable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currency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ISO-4217</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Cost currency.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variable_conversion_cost_per_output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currency/output unit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Capitalised variable conversion cost.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fixed_setup_cost</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currency/activation</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Capitalised when recipe activation occurs.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eligible_overhead_fixed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currency/activation</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Configured capitalised overhead.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eligible_overhead_variable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currency/output unit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Configured capitalised overhead.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markup_rate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&gt;=0</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Exogenous supplier markup applied once.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markup_base_rule_id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cost rules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Defines eligible cost base.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scenario_sensitive_flag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Whether conversion-cost impacts may apply.</w:t>
            </w:r>
          </w:p>
        </w:tc>
      </w:tr>
    </w:tbl>
    <w:p>
      <w:pPr>
        <w:spacing w:after="0"/>
      </w:pPr>
    </w:p>
    <w:p>
      <w:pPr>
        <w:pStyle w:val="Heading3"/>
        <w:keepNext/>
      </w:pPr>
      <w:r>
        <w:t>11.20 cost_allocation_rules.csv</w:t>
      </w:r>
    </w:p>
    <w:p>
      <w:pPr>
        <w:keepNext/>
        <w:spacing w:after="90"/>
      </w:pPr>
      <w:r>
        <w:t>Purpose. Defines the authoritative classification, basis and markup eligibility of every cost component.</w:t>
      </w:r>
    </w:p>
    <w:p>
      <w:pPr>
        <w:keepNext/>
        <w:spacing w:after="90"/>
      </w:pPr>
      <w:r>
        <w:t>Grain and primary key. One row per cost component and rule scope. Primary key: cost_rule_id.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cost_rule_id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COST-####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policy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cost_component</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EXTERNAL_PURCHASE, FREIGHT, DUTY, INSURANCE, FIXED_ORDER, FIXED_SHIPMENT, CONVERSION, SETUP, OVERHEAD, SURGE, MARKUP, HOLDING, ACTIVATION, SHORTAGE.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scope_type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GLOBAL, CONTRACT, LANE, RECIPE, MATERIAL_FAMILY</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Rule scope.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scope_id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Target identifier for non-global rules.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capitalised_flag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Whether cost enters recursive material value.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capitalisation_stage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SOURCE, RECEIPT, TRANSFORMATION, NONE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Where value is added.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allocation_basis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QUANTITY, GOODS_VALUE, ACTIVATION, DIRECT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Calculation and pool-allocation basis.</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markup_eligible_flag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Whether the cost belongs in the transformation markup base.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noncapitalised_ledger_category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Required when capitalised_flag is false and cost enters Stage 2.</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precedence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Higher-scope-specific rule precedence; ties invalid.</w:t>
            </w:r>
          </w:p>
        </w:tc>
      </w:tr>
    </w:tbl>
    <w:p>
      <w:pPr>
        <w:spacing w:after="0"/>
      </w:pPr>
    </w:p>
    <w:p>
      <w:pPr>
        <w:pStyle w:val="Heading3"/>
        <w:keepNext/>
      </w:pPr>
      <w:r>
        <w:t>11.21 inventory_policies.csv</w:t>
      </w:r>
    </w:p>
    <w:p>
      <w:pPr>
        <w:keepNext/>
        <w:spacing w:after="90"/>
      </w:pPr>
      <w:r>
        <w:t>Purpose. Defines storage, safety-stock and holding-cost parameters for eligible pools.</w:t>
      </w:r>
    </w:p>
    <w:p>
      <w:pPr>
        <w:keepNext/>
        <w:spacing w:after="90"/>
      </w:pPr>
      <w:r>
        <w:t>Grain and primary key. One row per node and material. Composite key: node_id + material_id.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Inventory location.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Stored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allow_inventory_flag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Whether closing inventory is permitted.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safety_stock_quantity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Configured target or hard requirement according to policy.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safety_stock_treatment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REPORT_ONLY, SOFT, HARD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Authoritative model treatment.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maximum_storage_quantity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Inventory quantity upper bound.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holding_cost_eur_per_unit_week</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EUR/unit/week</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Non-capitalised period expense.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minimum_meaningful_pool_quantity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Positive where pool enabled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Epsilon used for stable pool activation.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terminal_target_quantity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Nullable; material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Optional P12 target used only where configured.</w:t>
            </w:r>
          </w:p>
        </w:tc>
      </w:tr>
    </w:tbl>
    <w:p>
      <w:pPr>
        <w:spacing w:after="0"/>
      </w:pPr>
    </w:p>
    <w:p>
      <w:pPr>
        <w:pStyle w:val="Heading3"/>
        <w:keepNext/>
      </w:pPr>
      <w:r>
        <w:t>11.22 opening_inventory.csv</w:t>
      </w:r>
    </w:p>
    <w:p>
      <w:pPr>
        <w:keepNext/>
        <w:spacing w:after="90"/>
      </w:pPr>
      <w:r>
        <w:t>Purpose. Defines all P01 opening quantity and book-value basis.</w:t>
      </w:r>
    </w:p>
    <w:p>
      <w:pPr>
        <w:keepNext/>
        <w:spacing w:after="90"/>
      </w:pPr>
      <w:r>
        <w:t>Grain and primary key. One row per node and material with opening stock. Composite key: node_id + material_id.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Inventory location.</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Stored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on_hand_quantity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Physical stock.</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reserved_quantity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Unavailable reserved stock.</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usable_quantity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material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Must equal on-hand minus reserved.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opening_unit_cost_eur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EUR/unit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Book-value unit cost entering the P01 pool.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opening_total_value_eur</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EUR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Must equal usable quantity times unit cost within tolerance.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cost_basis_source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SYNTHETIC_BOOK_VALUE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Makes valuation basis explicit.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valuation_date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date</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Date of opening cost basis.</w:t>
            </w:r>
          </w:p>
        </w:tc>
      </w:tr>
    </w:tbl>
    <w:p>
      <w:pPr>
        <w:spacing w:after="0"/>
      </w:pPr>
    </w:p>
    <w:p>
      <w:pPr>
        <w:pStyle w:val="Heading3"/>
        <w:keepNext/>
      </w:pPr>
      <w:r>
        <w:t>11.23 terminal_demand.csv</w:t>
      </w:r>
    </w:p>
    <w:p>
      <w:pPr>
        <w:keepNext/>
        <w:spacing w:after="90"/>
      </w:pPr>
      <w:r>
        <w:t>Purpose. Defines fixed plant demand for terminal materials.</w:t>
      </w:r>
    </w:p>
    <w:p>
      <w:pPr>
        <w:keepNext/>
        <w:spacing w:after="90"/>
      </w:pPr>
      <w:r>
        <w:t>Grain and primary key. One row per plant, material and period. Composite key: plant_id + material_id +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plant_id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plants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Demanding Asterion plant.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terminal flag true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plant-ready terminal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Demand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demand_quantity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material UOM/week</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BASE demand before scenario multipliers.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priority_class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STANDARD, HIGH, CRITICAL</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Customer service priority.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service_weight</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Positive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Stage-1 weighted-shortage coefficient.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shortage_penalty_eur_per_unit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Nullable; EUR/unit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Reporting/sensitivity value; lexicographic service remains authoritative.</w:t>
            </w:r>
          </w:p>
        </w:tc>
      </w:tr>
    </w:tbl>
    <w:p>
      <w:pPr>
        <w:spacing w:after="0"/>
      </w:pPr>
    </w:p>
    <w:p>
      <w:pPr>
        <w:pStyle w:val="Heading3"/>
        <w:keepNext/>
      </w:pPr>
      <w:r>
        <w:t>11.24 supplier_performance_history.csv</w:t>
      </w:r>
    </w:p>
    <w:p>
      <w:pPr>
        <w:keepNext/>
        <w:spacing w:after="90"/>
      </w:pPr>
      <w:r>
        <w:t>Purpose. Provides historical delivery, lead-time and quality evidence for exploratory statistics and resilience design.</w:t>
      </w:r>
    </w:p>
    <w:p>
      <w:pPr>
        <w:keepNext/>
        <w:spacing w:after="90"/>
      </w:pPr>
      <w:r>
        <w:t>Grain and primary key. One row per supplier node, material and historical month.</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 supplier site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Observed node.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Observed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month</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date</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month start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Historical month over 24-36 months.</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ordered_quantity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Observed ordered quantity.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received_quantity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Observed received quantity.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on_time_quantity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Quantity received on or before due date.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accepted_quantity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material UOM</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Quantity accepted after quality checks.</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average_actual_lead_time_days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 days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Observed average.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lead_time_std_days</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Non-negative; days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Observed variability.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quality_incident_count</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Non-negative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Monthly incident count.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source_completeness_flag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COMPLETE, PARTIAL</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Controlled data-quality signal.</w:t>
            </w:r>
          </w:p>
        </w:tc>
      </w:tr>
    </w:tbl>
    <w:p>
      <w:pPr>
        <w:spacing w:after="0"/>
      </w:pPr>
    </w:p>
    <w:p>
      <w:pPr>
        <w:pStyle w:val="Heading3"/>
        <w:keepNext/>
      </w:pPr>
      <w:r>
        <w:t>11.25 incident_history.csv</w:t>
      </w:r>
    </w:p>
    <w:p>
      <w:pPr>
        <w:keepNext/>
        <w:spacing w:after="90"/>
      </w:pPr>
      <w:r>
        <w:t>Purpose. Provides fictional historical disruptions affecting nodes, groups, regions, lanes, recipes or materials.</w:t>
      </w:r>
    </w:p>
    <w:p>
      <w:pPr>
        <w:keepNext/>
        <w:spacing w:after="90"/>
      </w:pPr>
      <w:r>
        <w:t>Grain and primary key. One row per incident. Primary key: incident_id.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incident_id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INC-#####</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incident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target_entity_type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NODE, ORGANISATION, PARENT_GROUP, REGION, LANE, RECIPE, MATERIAL</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Affected entity class.</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target_entity_id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configured ID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Affected entity.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event_type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OUTAGE, STRIKE, WEATHER, PORT, ENERGY, QUALITY, CYBER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Incident category.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start_date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date</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Historical start.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end_date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date</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Historical end.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severity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LOW, MEDIUM, HIGH, SEVERE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Qualitative severity.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capacity_multiplier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 &gt;=0</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Observed or synthetic capacity factor.</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transit_multiplier</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Nullable; &gt;0</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Observed or synthetic transit factor.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cost_multiplier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 &gt;0</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Observed or synthetic cost factor.</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description</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fictional</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Concise customer-readable context.</w:t>
            </w:r>
          </w:p>
        </w:tc>
      </w:tr>
    </w:tbl>
    <w:p>
      <w:pPr>
        <w:spacing w:after="0"/>
      </w:pPr>
    </w:p>
    <w:p>
      <w:pPr>
        <w:pStyle w:val="Heading3"/>
        <w:keepNext/>
      </w:pPr>
      <w:r>
        <w:t>11.26 disruption_scenarios.csv</w:t>
      </w:r>
    </w:p>
    <w:p>
      <w:pPr>
        <w:keepNext/>
        <w:spacing w:after="90"/>
      </w:pPr>
      <w:r>
        <w:t>Purpose. Defines the forward scenario catalogue available in the application.</w:t>
      </w:r>
    </w:p>
    <w:p>
      <w:pPr>
        <w:keepNext/>
        <w:spacing w:after="90"/>
      </w:pPr>
      <w:r>
        <w:t>Grain and primary key. One row per scenario. Primary key: scenario_id.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scenario_id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BASE, SCN-01...05</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scenario_name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Human-readable scenario name.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scenario_category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BASE, SOURCE, LOGISTICS, NODE, REGIONAL, COMBINED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Scenario family.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severity</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NORMAL, MODERATE, HIGH, SEVERE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Qualitative severity.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description</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Customer-facing scenario narrative.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recommended_run_mode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STRESS_ONLY, REOPTIMISE, BOTH</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standard application view.</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active_flag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Available in release.</w:t>
            </w:r>
          </w:p>
        </w:tc>
      </w:tr>
    </w:tbl>
    <w:p>
      <w:pPr>
        <w:spacing w:after="0"/>
      </w:pPr>
    </w:p>
    <w:p>
      <w:pPr>
        <w:pStyle w:val="Heading3"/>
        <w:keepNext/>
      </w:pPr>
      <w:r>
        <w:t>11.27 disruption_impacts.csv</w:t>
      </w:r>
    </w:p>
    <w:p>
      <w:pPr>
        <w:keepNext/>
        <w:spacing w:after="90"/>
      </w:pPr>
      <w:r>
        <w:t>Purpose. Defines period-specific, tier-neutral transformations applied to immutable BASE data.</w:t>
      </w:r>
    </w:p>
    <w:p>
      <w:pPr>
        <w:keepNext/>
        <w:spacing w:after="90"/>
      </w:pPr>
      <w:r>
        <w:t>Grain and primary key. One row per scenario impact and active period range. Primary key: impact_id.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impact_id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PK; IMP-#####</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Stable impact identifier.</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scenario_id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scenarios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Owning scenario.</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target_entity_type</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NODE, ORGANISATION, PARENT_GROUP, REGION, LANE, RECIPE, MATERIAL, EXTERNAL_PRICE, CONVERSION_COST, TERMINAL_DEMAND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Target class.</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target_entity_id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Target identifier or controlled compound key.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target_material_id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Nullable; FK materials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Optional material refinement.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target_cost_component</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Optional cost-category refinement.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start_period_id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First affected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end_period_id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Last affected period.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availability_flag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default true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False overrides applicable capacity or lane availability.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capacity_multiplier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&gt;=0; default 1</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Applies to source or transformation capacity.</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lane_capacity_multiplier</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&gt;=0; default 1</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Applies to lane capacity.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transit_time_multiplier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&gt;0; default 1</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Applies before week conversion.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cost_multiplier</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&gt;0; default 1</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Applies only to configured target cost.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demand_multiplier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&gt;=0; default 1</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Applies only to terminal demand.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replacement_field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Nullable; controlled domain</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Field replaced under explicit replacement semantics.</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replacement_value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Replacement value.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impact_priority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integer</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Resolves permitted replacement precedence; ties rejected.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notes</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Nullable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Recovery or targeting explanation.</w:t>
            </w:r>
          </w:p>
        </w:tc>
      </w:tr>
    </w:tbl>
    <w:p>
      <w:pPr>
        <w:spacing w:after="0"/>
      </w:pPr>
    </w:p>
    <w:p>
      <w:pPr>
        <w:pStyle w:val="Heading3"/>
        <w:keepNext/>
      </w:pPr>
      <w:r>
        <w:t>11.28 fx_rates.csv</w:t>
      </w:r>
    </w:p>
    <w:p>
      <w:pPr>
        <w:keepNext/>
        <w:spacing w:after="90"/>
      </w:pPr>
      <w:r>
        <w:t>Purpose. Provides period-specific conversion from source currencies into EUR.</w:t>
      </w:r>
    </w:p>
    <w:p>
      <w:pPr>
        <w:keepNext/>
        <w:spacing w:after="90"/>
      </w:pPr>
      <w:r>
        <w:t>Grain and primary key. One row per currency and period. Composite key: currency +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currency</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ISO-4217</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Source currency.</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Applicable period.</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eur_per_currency_unit</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Positive; EUR/source currency</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Multiply source amount by this rate.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rate_source</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SYNTHETIC_FIXED</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Makes synthetic status explicit.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scenario_sensitive_flag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normally false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Whether an approved scenario may change the rate.</w:t>
            </w:r>
          </w:p>
        </w:tc>
      </w:tr>
    </w:tbl>
    <w:p>
      <w:pPr>
        <w:spacing w:after="0"/>
      </w:pPr>
    </w:p>
    <w:p>
      <w:pPr>
        <w:pStyle w:val="Heading3"/>
        <w:keepNext/>
      </w:pPr>
      <w:r>
        <w:t>11.29 baseline_standard_costs.csv</w:t>
      </w:r>
    </w:p>
    <w:p>
      <w:pPr>
        <w:keepNext/>
        <w:spacing w:after="90"/>
      </w:pPr>
      <w:r>
        <w:t>Purpose. Provides explicitly non-authoritative intermediate costs for the diagnostic fixed-price MILP only.</w:t>
      </w:r>
    </w:p>
    <w:p>
      <w:pPr>
        <w:keepNext/>
        <w:spacing w:after="90"/>
      </w:pPr>
      <w:r>
        <w:t>Grain and primary key. One row per eligible node, material and period. Composite key: node_id + material_id + period_id.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80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Column</w:t>
            </w:r>
          </w:p>
        </w:tc>
        <w:tc>
          <w:tcPr>
            <w:tcW w:type="dxa" w:w="11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Type</w:t>
            </w:r>
          </w:p>
        </w:tc>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5"/>
              </w:rPr>
              <w:t>Requirement / domain</w:t>
            </w:r>
          </w:p>
        </w:tc>
        <w:tc>
          <w:tcPr>
            <w:tcW w:type="dxa" w:w="47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Definition and generation guidance</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node_id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nodes</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Comparator supply node.</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material_id</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FK materials</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Comparator intermediate material.</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period_id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string</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FK calendar</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Applicable period.</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standard_unit_cost_eur</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decimal</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Positive; EUR/unit</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Fixed comparator cost.</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derivation_method</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category</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SYNTHETIC_STANDARD_COST</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Makes non-authoritative status explicit.</w:t>
            </w:r>
          </w:p>
        </w:tc>
      </w:tr>
      <w:tr>
        <w:tc>
          <w:tcPr>
            <w:tcW w:type="dxa" w:w="1800"/>
            <w:shd w:fill="F7F8F9" w:val="clear"/>
            <w:tcMar>
              <w:top w:w="60" w:type="dxa"/>
              <w:start w:w="80" w:type="dxa"/>
              <w:bottom w:w="60" w:type="dxa"/>
              <w:end w:w="80" w:type="dxa"/>
            </w:tcMar>
            <w:vAlign w:val="top"/>
          </w:tcPr>
          <w:p>
            <w:pPr>
              <w:spacing w:after="0"/>
            </w:pPr>
            <w:r>
              <w:rPr>
                <w:rFonts w:ascii="Carlito" w:hAnsi="Carlito" w:eastAsia="Carlito"/>
                <w:color w:val="1F2933"/>
                <w:sz w:val="15"/>
              </w:rPr>
              <w:t>baseline_only_flag</w:t>
            </w:r>
          </w:p>
        </w:tc>
        <w:tc>
          <w:tcPr>
            <w:tcW w:type="dxa" w:w="1152"/>
            <w:shd w:fill="F7F8F9" w:val="clear"/>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5"/>
              </w:rPr>
              <w:t>Required; true</w:t>
            </w:r>
          </w:p>
        </w:tc>
        <w:tc>
          <w:tcPr>
            <w:tcW w:type="dxa" w:w="4752"/>
            <w:shd w:fill="F7F8F9" w:val="clear"/>
            <w:tcMar>
              <w:top w:w="60" w:type="dxa"/>
              <w:start w:w="80" w:type="dxa"/>
              <w:bottom w:w="60" w:type="dxa"/>
              <w:end w:w="80" w:type="dxa"/>
            </w:tcMar>
            <w:vAlign w:val="top"/>
          </w:tcPr>
          <w:p>
            <w:pPr>
              <w:spacing w:after="0"/>
            </w:pPr>
            <w:r>
              <w:rPr>
                <w:rFonts w:ascii="Carlito" w:hAnsi="Carlito" w:eastAsia="Carlito"/>
                <w:color w:val="1F2933"/>
                <w:sz w:val="15"/>
              </w:rPr>
              <w:t>Must be true and enforced by code-level isolation.</w:t>
            </w:r>
          </w:p>
        </w:tc>
      </w:tr>
      <w:tr>
        <w:tc>
          <w:tcPr>
            <w:tcW w:type="dxa" w:w="1800"/>
            <w:tcMar>
              <w:top w:w="60" w:type="dxa"/>
              <w:start w:w="80" w:type="dxa"/>
              <w:bottom w:w="60" w:type="dxa"/>
              <w:end w:w="80" w:type="dxa"/>
            </w:tcMar>
            <w:vAlign w:val="top"/>
          </w:tcPr>
          <w:p>
            <w:pPr>
              <w:spacing w:after="0"/>
            </w:pPr>
            <w:r>
              <w:rPr>
                <w:rFonts w:ascii="Carlito" w:hAnsi="Carlito" w:eastAsia="Carlito"/>
                <w:color w:val="1F2933"/>
                <w:sz w:val="15"/>
              </w:rPr>
              <w:t>prohibited_for_recursive_model_flag</w:t>
            </w:r>
          </w:p>
        </w:tc>
        <w:tc>
          <w:tcPr>
            <w:tcW w:type="dxa" w:w="1152"/>
            <w:tcMar>
              <w:top w:w="60" w:type="dxa"/>
              <w:start w:w="80" w:type="dxa"/>
              <w:bottom w:w="60" w:type="dxa"/>
              <w:end w:w="80" w:type="dxa"/>
            </w:tcMar>
            <w:vAlign w:val="top"/>
          </w:tcPr>
          <w:p>
            <w:pPr>
              <w:spacing w:after="0"/>
            </w:pPr>
            <w:r>
              <w:rPr>
                <w:rFonts w:ascii="Carlito" w:hAnsi="Carlito" w:eastAsia="Carlito"/>
                <w:color w:val="1F2933"/>
                <w:sz w:val="15"/>
              </w:rPr>
              <w:t>boolean</w:t>
            </w:r>
          </w:p>
        </w:tc>
        <w:tc>
          <w:tcPr>
            <w:tcW w:type="dxa" w:w="2232"/>
            <w:tcMar>
              <w:top w:w="60" w:type="dxa"/>
              <w:start w:w="80" w:type="dxa"/>
              <w:bottom w:w="60" w:type="dxa"/>
              <w:end w:w="80" w:type="dxa"/>
            </w:tcMar>
            <w:vAlign w:val="top"/>
          </w:tcPr>
          <w:p>
            <w:pPr>
              <w:spacing w:after="0"/>
            </w:pPr>
            <w:r>
              <w:rPr>
                <w:rFonts w:ascii="Carlito" w:hAnsi="Carlito" w:eastAsia="Carlito"/>
                <w:color w:val="1F2933"/>
                <w:sz w:val="15"/>
              </w:rPr>
              <w:t>Required; true</w:t>
            </w:r>
          </w:p>
        </w:tc>
        <w:tc>
          <w:tcPr>
            <w:tcW w:type="dxa" w:w="4752"/>
            <w:tcMar>
              <w:top w:w="60" w:type="dxa"/>
              <w:start w:w="80" w:type="dxa"/>
              <w:bottom w:w="60" w:type="dxa"/>
              <w:end w:w="80" w:type="dxa"/>
            </w:tcMar>
            <w:vAlign w:val="top"/>
          </w:tcPr>
          <w:p>
            <w:pPr>
              <w:spacing w:after="0"/>
            </w:pPr>
            <w:r>
              <w:rPr>
                <w:rFonts w:ascii="Carlito" w:hAnsi="Carlito" w:eastAsia="Carlito"/>
                <w:color w:val="1F2933"/>
                <w:sz w:val="15"/>
              </w:rPr>
              <w:t>Validator fails if recursive model input references the file.</w:t>
            </w:r>
          </w:p>
        </w:tc>
      </w:tr>
    </w:tbl>
    <w:p>
      <w:pPr>
        <w:spacing w:after="0"/>
      </w:pPr>
    </w:p>
    <w:p>
      <w:pPr>
        <w:pStyle w:val="Heading2"/>
      </w:pPr>
      <w:r>
        <w:t>11.30 Prohibited student inputs</w:t>
      </w:r>
    </w:p>
    <w:p>
      <w:pPr>
        <w:pStyle w:val="ListBullet"/>
        <w:spacing w:after="44"/>
        <w:ind w:left="317" w:hanging="173"/>
      </w:pPr>
      <w:r>
        <w:t>authoritative Tier 1-Tier 3 unit prices for the recursive model;</w:t>
      </w:r>
    </w:p>
    <w:p>
      <w:pPr>
        <w:pStyle w:val="ListBullet"/>
        <w:spacing w:after="44"/>
        <w:ind w:left="317" w:hanging="173"/>
      </w:pPr>
      <w:r>
        <w:t>precomputed weighted-average pool costs;</w:t>
      </w:r>
    </w:p>
    <w:p>
      <w:pPr>
        <w:pStyle w:val="ListBullet"/>
        <w:spacing w:after="44"/>
        <w:ind w:left="317" w:hanging="173"/>
      </w:pPr>
      <w:r>
        <w:t>precomputed terminal costs or source-contribution shares;</w:t>
      </w:r>
    </w:p>
    <w:p>
      <w:pPr>
        <w:pStyle w:val="ListBullet"/>
        <w:spacing w:after="44"/>
        <w:ind w:left="317" w:hanging="173"/>
      </w:pPr>
      <w:r>
        <w:t>reference main-case allocations, objective ranges, bounds or solver starts;</w:t>
      </w:r>
    </w:p>
    <w:p>
      <w:pPr>
        <w:pStyle w:val="ListBullet"/>
        <w:spacing w:after="44"/>
        <w:ind w:left="317" w:hanging="173"/>
      </w:pPr>
      <w:r>
        <w:t>private generation seeds and hidden checks;</w:t>
      </w:r>
    </w:p>
    <w:p>
      <w:pPr>
        <w:pStyle w:val="ListBullet"/>
        <w:spacing w:after="44"/>
        <w:ind w:left="317" w:hanging="173"/>
      </w:pPr>
      <w:r>
        <w:t>unexplained cost aggregates that bypass the cost-allocation policy.</w:t>
      </w:r>
    </w:p>
    <w:tbl>
      <w:tblPr>
        <w:tblW w:type="auto" w:w="0"/>
        <w:jc w:val="center"/>
        <w:tblLayout w:type="fixed"/>
        <w:tblLook w:firstColumn="1" w:firstRow="1" w:lastColumn="0" w:lastRow="0" w:noHBand="0" w:noVBand="1" w:val="04A0"/>
      </w:tblPr>
      <w:tblGrid>
        <w:gridCol w:w="9936"/>
      </w:tblGrid>
      <w:tr>
        <w:tc>
          <w:tcPr>
            <w:tcW w:type="dxa" w:w="10119"/>
            <w:shd w:fill="FCE8E6" w:val="clear"/>
            <w:tcMar>
              <w:top w:w="100" w:type="dxa"/>
              <w:start w:w="130" w:type="dxa"/>
              <w:bottom w:w="100" w:type="dxa"/>
              <w:end w:w="130" w:type="dxa"/>
            </w:tcMar>
            <w:tcBorders>
              <w:top w:val="nil"/>
              <w:start w:val="single" w:sz="18" w:color="B42318"/>
              <w:bottom w:val="nil"/>
              <w:end w:val="nil"/>
            </w:tcBorders>
          </w:tcPr>
          <w:p>
            <w:pPr>
              <w:spacing w:after="40"/>
            </w:pPr>
            <w:r>
              <w:rPr>
                <w:rFonts w:ascii="Carlito" w:hAnsi="Carlito" w:eastAsia="Carlito"/>
                <w:b/>
                <w:color w:val="B42318"/>
                <w:sz w:val="18"/>
              </w:rPr>
              <w:t>Baseline isolation</w:t>
            </w:r>
          </w:p>
          <w:p>
            <w:pPr>
              <w:spacing w:after="0"/>
            </w:pPr>
            <w:r>
              <w:rPr>
                <w:rFonts w:ascii="Carlito" w:hAnsi="Carlito" w:eastAsia="Carlito"/>
                <w:color w:val="1F2933"/>
                <w:sz w:val="18"/>
              </w:rPr>
              <w:t>baseline_standard_costs.csv is permitted solely for the diagnostic MILP. The recursive model, application calculation layer and recursive reconciliation tests must be prevented from reading it as an authoritative cost source.</w:t>
            </w:r>
          </w:p>
        </w:tc>
      </w:tr>
    </w:tbl>
    <w:p>
      <w:pPr>
        <w:spacing w:after="0"/>
      </w:pPr>
    </w:p>
    <w:p>
      <w:pPr>
        <w:pStyle w:val="Heading1"/>
      </w:pPr>
      <w:r>
        <w:t>12. Synthetic dataset-generation specification</w:t>
      </w:r>
    </w:p>
    <w:p>
      <w:pPr>
        <w:pStyle w:val="Heading2"/>
      </w:pPr>
      <w:r>
        <w:t>12.1 General generation principles</w:t>
      </w:r>
    </w:p>
    <w:p>
      <w:pPr>
        <w:pStyle w:val="ListBullet"/>
        <w:spacing w:after="44"/>
        <w:ind w:left="317" w:hanging="173"/>
      </w:pPr>
      <w:r>
        <w:t>Use one private master seed and deterministic sub-seeds by entity and fact family.</w:t>
      </w:r>
    </w:p>
    <w:p>
      <w:pPr>
        <w:pStyle w:val="ListBullet"/>
        <w:spacing w:after="44"/>
        <w:ind w:left="317" w:hanging="173"/>
      </w:pPr>
      <w:r>
        <w:t>Generate all organisations, names, commercial terms and performance records synthetically.</w:t>
      </w:r>
    </w:p>
    <w:p>
      <w:pPr>
        <w:pStyle w:val="ListBullet"/>
        <w:spacing w:after="44"/>
        <w:ind w:left="317" w:hanging="173"/>
      </w:pPr>
      <w:r>
        <w:t>Generate dimensions and the transformation DAG before dependent facts.</w:t>
      </w:r>
    </w:p>
    <w:p>
      <w:pPr>
        <w:pStyle w:val="ListBullet"/>
        <w:spacing w:after="44"/>
        <w:ind w:left="317" w:hanging="173"/>
      </w:pPr>
      <w:r>
        <w:t>Generate the immutable BASE world first; derive scenario views through the scenario engine.</w:t>
      </w:r>
    </w:p>
    <w:p>
      <w:pPr>
        <w:pStyle w:val="ListBullet"/>
        <w:spacing w:after="44"/>
        <w:ind w:left="317" w:hanging="173"/>
      </w:pPr>
      <w:r>
        <w:t>Create interpretable economic and operational trade-offs, not independent random noise.</w:t>
      </w:r>
    </w:p>
    <w:p>
      <w:pPr>
        <w:pStyle w:val="ListBullet"/>
        <w:spacing w:after="44"/>
        <w:ind w:left="317" w:hanging="173"/>
      </w:pPr>
      <w:r>
        <w:t>Emit schemas, dictionaries, manifests and checksums from the same versioned configuration.</w:t>
      </w:r>
    </w:p>
    <w:p>
      <w:pPr>
        <w:pStyle w:val="ListBullet"/>
        <w:spacing w:after="44"/>
        <w:ind w:left="317" w:hanging="173"/>
      </w:pPr>
      <w:r>
        <w:t>Keep the controlled case within the supported computational budget while preserving genuine mixed-integer and non-convex difficulty.</w:t>
      </w:r>
    </w:p>
    <w:p>
      <w:pPr>
        <w:pStyle w:val="Heading2"/>
      </w:pPr>
      <w:r>
        <w:t>12.2 Tier-N graph construction</w:t>
      </w:r>
    </w:p>
    <w:p>
      <w:pPr>
        <w:pStyle w:val="ListBullet"/>
        <w:spacing w:after="44"/>
        <w:ind w:left="317" w:hanging="173"/>
      </w:pPr>
      <w:r>
        <w:t>Create an acyclic material-transformation graph and verify it by topological sort.</w:t>
      </w:r>
    </w:p>
    <w:p>
      <w:pPr>
        <w:pStyle w:val="ListBullet"/>
        <w:spacing w:after="44"/>
        <w:ind w:left="317" w:hanging="173"/>
      </w:pPr>
      <w:r>
        <w:t>Give every terminal material at least one complete boundary-to-plant path and at least two broader feasible sourcing combinations.</w:t>
      </w:r>
    </w:p>
    <w:p>
      <w:pPr>
        <w:pStyle w:val="ListBullet"/>
        <w:spacing w:after="44"/>
        <w:ind w:left="317" w:hanging="173"/>
      </w:pPr>
      <w:r>
        <w:t>Configure selected shorter lineages only where declared and commercially coherent.</w:t>
      </w:r>
    </w:p>
    <w:p>
      <w:pPr>
        <w:pStyle w:val="ListBullet"/>
        <w:spacing w:after="44"/>
        <w:ind w:left="317" w:hanging="173"/>
      </w:pPr>
      <w:r>
        <w:t>Create shared upstream dependencies that are not obvious from direct Tier 1 relationships.</w:t>
      </w:r>
    </w:p>
    <w:p>
      <w:pPr>
        <w:pStyle w:val="ListBullet"/>
        <w:spacing w:after="44"/>
        <w:ind w:left="317" w:hanging="173"/>
      </w:pPr>
      <w:r>
        <w:t>Create parent groups with multiple sites and selected groups operating at more than one tier.</w:t>
      </w:r>
    </w:p>
    <w:p>
      <w:pPr>
        <w:pStyle w:val="ListBullet"/>
        <w:spacing w:after="44"/>
        <w:ind w:left="317" w:hanging="173"/>
      </w:pPr>
      <w:r>
        <w:t>Ensure all active recipes have complete inputs, capacities, approvals, contracts and physical lanes.</w:t>
      </w:r>
    </w:p>
    <w:p>
      <w:pPr>
        <w:pStyle w:val="ListBullet"/>
        <w:spacing w:after="44"/>
        <w:ind w:left="317" w:hanging="173"/>
      </w:pPr>
      <w:r>
        <w:t>Reject orphan materials, disconnected terminal demand and recipe cycles.</w:t>
      </w:r>
    </w:p>
    <w:p>
      <w:pPr>
        <w:pStyle w:val="Heading2"/>
      </w:pPr>
      <w:r>
        <w:t>12.3 Economic and recursive-cost trade-offs</w:t>
      </w:r>
    </w:p>
    <w:p>
      <w:pPr>
        <w:pStyle w:val="ListBullet"/>
        <w:spacing w:after="44"/>
        <w:ind w:left="317" w:hanging="173"/>
      </w:pPr>
      <w:r>
        <w:t>Lower external price may coincide with longer lead time, larger MOQ, higher fixed cost, low reliability or disruption exposure.</w:t>
      </w:r>
    </w:p>
    <w:p>
      <w:pPr>
        <w:pStyle w:val="ListBullet"/>
        <w:spacing w:after="44"/>
        <w:ind w:left="317" w:hanging="173"/>
      </w:pPr>
      <w:r>
        <w:t>A downstream supplier with low comparator standard cost should be expensive in at least one case after recursive upstream cost is calculated.</w:t>
      </w:r>
    </w:p>
    <w:p>
      <w:pPr>
        <w:pStyle w:val="ListBullet"/>
        <w:spacing w:after="44"/>
        <w:ind w:left="317" w:hanging="173"/>
      </w:pPr>
      <w:r>
        <w:t>Multi-sourcing must change at least one intermediate weighted-average pool cost materially.</w:t>
      </w:r>
    </w:p>
    <w:p>
      <w:pPr>
        <w:pStyle w:val="ListBullet"/>
        <w:spacing w:after="44"/>
        <w:ind w:left="317" w:hanging="173"/>
      </w:pPr>
      <w:r>
        <w:t>High-reliability or geographically diverse paths should carry measurable cost, capacity or lot disadvantages.</w:t>
      </w:r>
    </w:p>
    <w:p>
      <w:pPr>
        <w:pStyle w:val="ListBullet"/>
        <w:spacing w:after="44"/>
        <w:ind w:left="317" w:hanging="173"/>
      </w:pPr>
      <w:r>
        <w:t>Surge and expedited alternatives should preserve service at a material premium.</w:t>
      </w:r>
    </w:p>
    <w:p>
      <w:pPr>
        <w:pStyle w:val="ListBullet"/>
        <w:spacing w:after="44"/>
        <w:ind w:left="317" w:hanging="173"/>
      </w:pPr>
      <w:r>
        <w:t>Opening stock should reduce early-period risk while carrying a book-value basis and holding cost.</w:t>
      </w:r>
    </w:p>
    <w:p>
      <w:pPr>
        <w:pStyle w:val="ListBullet"/>
        <w:spacing w:after="44"/>
        <w:ind w:left="317" w:hanging="173"/>
      </w:pPr>
      <w:r>
        <w:t>The fixed-price MILP and recursive MINLP should choose materially different sourcing in at least one controlled BASE decision.</w:t>
      </w:r>
    </w:p>
    <w:p>
      <w:pPr>
        <w:pStyle w:val="Heading2"/>
      </w:pPr>
      <w:r>
        <w:t>12.4 Cost generation and accounting coherence</w:t>
      </w:r>
    </w:p>
    <w:p>
      <w:pPr>
        <w:spacing w:after="50"/>
        <w:ind w:left="317" w:hanging="317"/>
      </w:pPr>
      <w:r>
        <w:rPr>
          <w:b/>
        </w:rPr>
        <w:t xml:space="preserve">1. </w:t>
      </w:r>
      <w:r>
        <w:t>Generate external boundary prices from material-family, region, supplier and period factors.</w:t>
      </w:r>
    </w:p>
    <w:p>
      <w:pPr>
        <w:spacing w:after="50"/>
        <w:ind w:left="317" w:hanging="317"/>
      </w:pPr>
      <w:r>
        <w:rPr>
          <w:b/>
        </w:rPr>
        <w:t xml:space="preserve">2. </w:t>
      </w:r>
      <w:r>
        <w:t>Generate freight from distance, mode, region and lane service level.</w:t>
      </w:r>
    </w:p>
    <w:p>
      <w:pPr>
        <w:spacing w:after="50"/>
        <w:ind w:left="317" w:hanging="317"/>
      </w:pPr>
      <w:r>
        <w:rPr>
          <w:b/>
        </w:rPr>
        <w:t xml:space="preserve">3. </w:t>
      </w:r>
      <w:r>
        <w:t>Generate duty from origin, destination and material family.</w:t>
      </w:r>
    </w:p>
    <w:p>
      <w:pPr>
        <w:spacing w:after="50"/>
        <w:ind w:left="317" w:hanging="317"/>
      </w:pPr>
      <w:r>
        <w:rPr>
          <w:b/>
        </w:rPr>
        <w:t xml:space="preserve">4. </w:t>
      </w:r>
      <w:r>
        <w:t>Generate conversion and setup cost from recipe complexity, labour region and scale.</w:t>
      </w:r>
    </w:p>
    <w:p>
      <w:pPr>
        <w:spacing w:after="50"/>
        <w:ind w:left="317" w:hanging="317"/>
      </w:pPr>
      <w:r>
        <w:rPr>
          <w:b/>
        </w:rPr>
        <w:t xml:space="preserve">5. </w:t>
      </w:r>
      <w:r>
        <w:t>Generate markup from supplier and recipe characteristics within controlled bounds.</w:t>
      </w:r>
    </w:p>
    <w:p>
      <w:pPr>
        <w:spacing w:after="50"/>
        <w:ind w:left="317" w:hanging="317"/>
      </w:pPr>
      <w:r>
        <w:rPr>
          <w:b/>
        </w:rPr>
        <w:t xml:space="preserve">6. </w:t>
      </w:r>
      <w:r>
        <w:t>Generate opening book value from historical or standard cost logic that differs plausibly from current replacement cost.</w:t>
      </w:r>
    </w:p>
    <w:p>
      <w:pPr>
        <w:spacing w:after="50"/>
        <w:ind w:left="317" w:hanging="317"/>
      </w:pPr>
      <w:r>
        <w:rPr>
          <w:b/>
        </w:rPr>
        <w:t xml:space="preserve">7. </w:t>
      </w:r>
      <w:r>
        <w:t>Apply cost-allocation rules once and validate every generated classification.</w:t>
      </w:r>
    </w:p>
    <w:p>
      <w:pPr>
        <w:spacing w:after="50"/>
        <w:ind w:left="317" w:hanging="317"/>
      </w:pPr>
      <w:r>
        <w:rPr>
          <w:b/>
        </w:rPr>
        <w:t xml:space="preserve">8. </w:t>
      </w:r>
      <w:r>
        <w:t>Topologically propagate theoretical minimum and maximum unit-cost envelopes for bound construction.</w:t>
      </w:r>
    </w:p>
    <w:p>
      <w:pPr>
        <w:pStyle w:val="Heading2"/>
      </w:pPr>
      <w:r>
        <w:t>12.5 Feasibility construction</w:t>
      </w:r>
    </w:p>
    <w:p>
      <w:pPr>
        <w:pStyle w:val="ListBullet"/>
        <w:spacing w:after="44"/>
        <w:ind w:left="317" w:hanging="173"/>
      </w:pPr>
      <w:r>
        <w:t>BASE must admit zero weighted shortage.</w:t>
      </w:r>
    </w:p>
    <w:p>
      <w:pPr>
        <w:pStyle w:val="ListBullet"/>
        <w:spacing w:after="44"/>
        <w:ind w:left="317" w:hanging="173"/>
      </w:pPr>
      <w:r>
        <w:t>Selected capacities, lanes, MOQs or setup decisions must bind or influence the result.</w:t>
      </w:r>
    </w:p>
    <w:p>
      <w:pPr>
        <w:pStyle w:val="ListBullet"/>
        <w:spacing w:after="44"/>
        <w:ind w:left="317" w:hanging="173"/>
      </w:pPr>
      <w:r>
        <w:t>Opening inventory must cover unavoidable early lead-time gaps because no in-flight supply is present.</w:t>
      </w:r>
    </w:p>
    <w:p>
      <w:pPr>
        <w:pStyle w:val="ListBullet"/>
        <w:spacing w:after="44"/>
        <w:ind w:left="317" w:hanging="173"/>
      </w:pPr>
      <w:r>
        <w:t>Every critical terminal material must have at least two feasible Tier 1 sources and more than one upstream path in the broader network.</w:t>
      </w:r>
    </w:p>
    <w:p>
      <w:pPr>
        <w:pStyle w:val="ListBullet"/>
        <w:spacing w:after="44"/>
        <w:ind w:left="317" w:hanging="173"/>
      </w:pPr>
      <w:r>
        <w:t>At least one stress scenario must require surge, expedited transport, alternative recipe, inventory drawdown or shortage.</w:t>
      </w:r>
    </w:p>
    <w:p>
      <w:pPr>
        <w:pStyle w:val="ListBullet"/>
        <w:spacing w:after="44"/>
        <w:ind w:left="317" w:hanging="173"/>
      </w:pPr>
      <w:r>
        <w:t>SCN-05 may contain unavoidable shortage, but it must remain explainable and numerically stable.</w:t>
      </w:r>
    </w:p>
    <w:p>
      <w:pPr>
        <w:pStyle w:val="ListBullet"/>
        <w:spacing w:after="44"/>
        <w:ind w:left="317" w:hanging="173"/>
      </w:pPr>
      <w:r>
        <w:t>The generator should solve a physical-feasibility MILP before recursive-cost calibration.</w:t>
      </w:r>
    </w:p>
    <w:p>
      <w:pPr>
        <w:pStyle w:val="Heading2"/>
      </w:pPr>
      <w:r>
        <w:t>12.6 Demand and historical evidence</w:t>
      </w:r>
    </w:p>
    <w:p>
      <w:pPr>
        <w:spacing w:after="90"/>
      </w:pPr>
      <w:r>
        <w:t>Terminal-component demand should be generated from a hidden finished-product mix and released only at the component level. It should include plant-specific product mix, mild week-to-week variation and selected planned peaks. Historical supplier performance should span 24-36 months and contain persistent node/material differences, noise, occasional incidents and controlled data-quality flags.</w:t>
      </w:r>
    </w:p>
    <w:p>
      <w:pPr>
        <w:pStyle w:val="Heading2"/>
      </w:pPr>
      <w:r>
        <w:t>12.7 Unit-cost and quantity bound generation</w:t>
      </w:r>
    </w:p>
    <w:p>
      <w:pPr>
        <w:spacing w:after="90"/>
      </w:pPr>
      <w:r>
        <w:t>For every eligible node-material-period pool, generation must emit or privately retain the derivation of Q_max, u_min, u_max and value bounds. Bound logic should account for:</w:t>
      </w:r>
    </w:p>
    <w:p>
      <w:pPr>
        <w:pStyle w:val="ListBullet"/>
        <w:spacing w:after="44"/>
        <w:ind w:left="317" w:hanging="173"/>
      </w:pPr>
      <w:r>
        <w:t>maximum relevant external supply, transformation and lane capacity;</w:t>
      </w:r>
    </w:p>
    <w:p>
      <w:pPr>
        <w:pStyle w:val="ListBullet"/>
        <w:spacing w:after="44"/>
        <w:ind w:left="317" w:hanging="173"/>
      </w:pPr>
      <w:r>
        <w:t>maximum storage and remaining terminal demand;</w:t>
      </w:r>
    </w:p>
    <w:p>
      <w:pPr>
        <w:pStyle w:val="ListBullet"/>
        <w:spacing w:after="44"/>
        <w:ind w:left="317" w:hanging="173"/>
      </w:pPr>
      <w:r>
        <w:t>minimum and maximum external price by scenario;</w:t>
      </w:r>
    </w:p>
    <w:p>
      <w:pPr>
        <w:pStyle w:val="ListBullet"/>
        <w:spacing w:after="44"/>
        <w:ind w:left="317" w:hanging="173"/>
      </w:pPr>
      <w:r>
        <w:t>freight, duty, insurance and directly attributable fixed-cost allocation;</w:t>
      </w:r>
    </w:p>
    <w:p>
      <w:pPr>
        <w:pStyle w:val="ListBullet"/>
        <w:spacing w:after="44"/>
        <w:ind w:left="317" w:hanging="173"/>
      </w:pPr>
      <w:r>
        <w:t>yield, conversion, setup, overhead, surge and markup;</w:t>
      </w:r>
    </w:p>
    <w:p>
      <w:pPr>
        <w:pStyle w:val="ListBullet"/>
        <w:spacing w:after="44"/>
        <w:ind w:left="317" w:hanging="173"/>
      </w:pPr>
      <w:r>
        <w:t>opening book value;</w:t>
      </w:r>
    </w:p>
    <w:p>
      <w:pPr>
        <w:pStyle w:val="ListBullet"/>
        <w:spacing w:after="44"/>
        <w:ind w:left="317" w:hanging="173"/>
      </w:pPr>
      <w:r>
        <w:t>worst-case configured scenario multipliers;</w:t>
      </w:r>
    </w:p>
    <w:p>
      <w:pPr>
        <w:pStyle w:val="ListBullet"/>
        <w:spacing w:after="44"/>
        <w:ind w:left="317" w:hanging="173"/>
      </w:pPr>
      <w:r>
        <w:t>minimum meaningful pool quantity and numerical safety margin.</w:t>
      </w:r>
    </w:p>
    <w:p>
      <w:pPr>
        <w:pStyle w:val="Heading2"/>
      </w:pPr>
      <w:r>
        <w:t>12.8 Miniature hand-worked recursive-cost fixture</w:t>
      </w:r>
    </w:p>
    <w:p>
      <w:pPr>
        <w:spacing w:after="90"/>
      </w:pPr>
      <w:r>
        <w:t>Before the full dataset is generated, the implementation must reproduce a small five-period, four-tier fixture by hand and through the approved model adapter. The fixture contains one plant, one terminal material, two Tier 4 sources, one weighted-average pool at Tier 3 and one transformation at each downstream supplier tier.</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952"/>
            <w:shd w:fill="17365D" w:val="clear"/>
            <w:tcMar>
              <w:top w:w="60" w:type="dxa"/>
              <w:start w:w="80" w:type="dxa"/>
              <w:bottom w:w="60" w:type="dxa"/>
              <w:end w:w="80" w:type="dxa"/>
            </w:tcMar>
            <w:vAlign w:val="center"/>
          </w:tcPr>
          <w:p>
            <w:pPr>
              <w:spacing w:after="0"/>
            </w:pPr>
            <w:r>
              <w:rPr>
                <w:rFonts w:ascii="Carlito" w:hAnsi="Carlito" w:eastAsia="Carlito"/>
                <w:b/>
                <w:color w:val="FFFFFF"/>
                <w:sz w:val="15"/>
              </w:rPr>
              <w:t>Step</w:t>
            </w:r>
          </w:p>
        </w:tc>
        <w:tc>
          <w:tcPr>
            <w:tcW w:type="dxa" w:w="6984"/>
            <w:shd w:fill="17365D" w:val="clear"/>
            <w:tcMar>
              <w:top w:w="60" w:type="dxa"/>
              <w:start w:w="80" w:type="dxa"/>
              <w:bottom w:w="60" w:type="dxa"/>
              <w:end w:w="80" w:type="dxa"/>
            </w:tcMar>
            <w:vAlign w:val="center"/>
          </w:tcPr>
          <w:p>
            <w:pPr>
              <w:spacing w:after="0"/>
            </w:pPr>
            <w:r>
              <w:rPr>
                <w:rFonts w:ascii="Carlito" w:hAnsi="Carlito" w:eastAsia="Carlito"/>
                <w:b/>
                <w:color w:val="FFFFFF"/>
                <w:sz w:val="15"/>
              </w:rPr>
              <w:t>Quantity and value expectation</w:t>
            </w:r>
          </w:p>
        </w:tc>
      </w:tr>
      <w:tr>
        <w:tc>
          <w:tcPr>
            <w:tcW w:type="dxa" w:w="2952"/>
            <w:tcMar>
              <w:top w:w="60" w:type="dxa"/>
              <w:start w:w="80" w:type="dxa"/>
              <w:bottom w:w="60" w:type="dxa"/>
              <w:end w:w="80" w:type="dxa"/>
            </w:tcMar>
            <w:vAlign w:val="top"/>
          </w:tcPr>
          <w:p>
            <w:pPr>
              <w:spacing w:after="0"/>
            </w:pPr>
            <w:r>
              <w:rPr>
                <w:rFonts w:ascii="Carlito" w:hAnsi="Carlito" w:eastAsia="Carlito"/>
                <w:color w:val="1F2933"/>
                <w:sz w:val="15"/>
              </w:rPr>
              <w:t>Tier 4 source A receipt at Tier 3</w:t>
            </w:r>
          </w:p>
        </w:tc>
        <w:tc>
          <w:tcPr>
            <w:tcW w:type="dxa" w:w="6984"/>
            <w:tcMar>
              <w:top w:w="60" w:type="dxa"/>
              <w:start w:w="80" w:type="dxa"/>
              <w:bottom w:w="60" w:type="dxa"/>
              <w:end w:w="80" w:type="dxa"/>
            </w:tcMar>
            <w:vAlign w:val="top"/>
          </w:tcPr>
          <w:p>
            <w:pPr>
              <w:spacing w:after="0"/>
            </w:pPr>
            <w:r>
              <w:rPr>
                <w:rFonts w:ascii="Carlito" w:hAnsi="Carlito" w:eastAsia="Carlito"/>
                <w:color w:val="1F2933"/>
                <w:sz w:val="15"/>
              </w:rPr>
              <w:t>60 units at EUR 2.00, EUR 0.20 variable freight and EUR 6 fixed order cost: receipt value EUR 138.00.</w:t>
            </w:r>
          </w:p>
        </w:tc>
      </w:tr>
      <w:tr>
        <w:tc>
          <w:tcPr>
            <w:tcW w:type="dxa" w:w="2952"/>
            <w:shd w:fill="F7F8F9" w:val="clear"/>
            <w:tcMar>
              <w:top w:w="60" w:type="dxa"/>
              <w:start w:w="80" w:type="dxa"/>
              <w:bottom w:w="60" w:type="dxa"/>
              <w:end w:w="80" w:type="dxa"/>
            </w:tcMar>
            <w:vAlign w:val="top"/>
          </w:tcPr>
          <w:p>
            <w:pPr>
              <w:spacing w:after="0"/>
            </w:pPr>
            <w:r>
              <w:rPr>
                <w:rFonts w:ascii="Carlito" w:hAnsi="Carlito" w:eastAsia="Carlito"/>
                <w:color w:val="1F2933"/>
                <w:sz w:val="15"/>
              </w:rPr>
              <w:t>Tier 4 source B receipt at Tier 3</w:t>
            </w:r>
          </w:p>
        </w:tc>
        <w:tc>
          <w:tcPr>
            <w:tcW w:type="dxa" w:w="6984"/>
            <w:shd w:fill="F7F8F9" w:val="clear"/>
            <w:tcMar>
              <w:top w:w="60" w:type="dxa"/>
              <w:start w:w="80" w:type="dxa"/>
              <w:bottom w:w="60" w:type="dxa"/>
              <w:end w:w="80" w:type="dxa"/>
            </w:tcMar>
            <w:vAlign w:val="top"/>
          </w:tcPr>
          <w:p>
            <w:pPr>
              <w:spacing w:after="0"/>
            </w:pPr>
            <w:r>
              <w:rPr>
                <w:rFonts w:ascii="Carlito" w:hAnsi="Carlito" w:eastAsia="Carlito"/>
                <w:color w:val="1F2933"/>
                <w:sz w:val="15"/>
              </w:rPr>
              <w:t>40 units at EUR 4.00, EUR 0.20 variable freight and EUR 4 fixed order cost: receipt value EUR 172.00.</w:t>
            </w:r>
          </w:p>
        </w:tc>
      </w:tr>
      <w:tr>
        <w:tc>
          <w:tcPr>
            <w:tcW w:type="dxa" w:w="2952"/>
            <w:tcMar>
              <w:top w:w="60" w:type="dxa"/>
              <w:start w:w="80" w:type="dxa"/>
              <w:bottom w:w="60" w:type="dxa"/>
              <w:end w:w="80" w:type="dxa"/>
            </w:tcMar>
            <w:vAlign w:val="top"/>
          </w:tcPr>
          <w:p>
            <w:pPr>
              <w:spacing w:after="0"/>
            </w:pPr>
            <w:r>
              <w:rPr>
                <w:rFonts w:ascii="Carlito" w:hAnsi="Carlito" w:eastAsia="Carlito"/>
                <w:color w:val="1F2933"/>
                <w:sz w:val="15"/>
              </w:rPr>
              <w:t>Tier 3 opening inventory</w:t>
            </w:r>
          </w:p>
        </w:tc>
        <w:tc>
          <w:tcPr>
            <w:tcW w:type="dxa" w:w="6984"/>
            <w:tcMar>
              <w:top w:w="60" w:type="dxa"/>
              <w:start w:w="80" w:type="dxa"/>
              <w:bottom w:w="60" w:type="dxa"/>
              <w:end w:w="80" w:type="dxa"/>
            </w:tcMar>
            <w:vAlign w:val="top"/>
          </w:tcPr>
          <w:p>
            <w:pPr>
              <w:spacing w:after="0"/>
            </w:pPr>
            <w:r>
              <w:rPr>
                <w:rFonts w:ascii="Carlito" w:hAnsi="Carlito" w:eastAsia="Carlito"/>
                <w:color w:val="1F2933"/>
                <w:sz w:val="15"/>
              </w:rPr>
              <w:t>20 units at EUR 5.00: opening value EUR 100.00.</w:t>
            </w:r>
          </w:p>
        </w:tc>
      </w:tr>
      <w:tr>
        <w:tc>
          <w:tcPr>
            <w:tcW w:type="dxa" w:w="2952"/>
            <w:shd w:fill="F7F8F9" w:val="clear"/>
            <w:tcMar>
              <w:top w:w="60" w:type="dxa"/>
              <w:start w:w="80" w:type="dxa"/>
              <w:bottom w:w="60" w:type="dxa"/>
              <w:end w:w="80" w:type="dxa"/>
            </w:tcMar>
            <w:vAlign w:val="top"/>
          </w:tcPr>
          <w:p>
            <w:pPr>
              <w:spacing w:after="0"/>
            </w:pPr>
            <w:r>
              <w:rPr>
                <w:rFonts w:ascii="Carlito" w:hAnsi="Carlito" w:eastAsia="Carlito"/>
                <w:color w:val="1F2933"/>
                <w:sz w:val="15"/>
              </w:rPr>
              <w:t>Tier 3 pool</w:t>
            </w:r>
          </w:p>
        </w:tc>
        <w:tc>
          <w:tcPr>
            <w:tcW w:type="dxa" w:w="6984"/>
            <w:shd w:fill="F7F8F9" w:val="clear"/>
            <w:tcMar>
              <w:top w:w="60" w:type="dxa"/>
              <w:start w:w="80" w:type="dxa"/>
              <w:bottom w:w="60" w:type="dxa"/>
              <w:end w:w="80" w:type="dxa"/>
            </w:tcMar>
            <w:vAlign w:val="top"/>
          </w:tcPr>
          <w:p>
            <w:pPr>
              <w:spacing w:after="0"/>
            </w:pPr>
            <w:r>
              <w:rPr>
                <w:rFonts w:ascii="Carlito" w:hAnsi="Carlito" w:eastAsia="Carlito"/>
                <w:color w:val="1F2933"/>
                <w:sz w:val="15"/>
              </w:rPr>
              <w:t>120 units, value EUR 410.00, weighted-average unit cost EUR 3.4166667.</w:t>
            </w:r>
          </w:p>
        </w:tc>
      </w:tr>
      <w:tr>
        <w:tc>
          <w:tcPr>
            <w:tcW w:type="dxa" w:w="2952"/>
            <w:tcMar>
              <w:top w:w="60" w:type="dxa"/>
              <w:start w:w="80" w:type="dxa"/>
              <w:bottom w:w="60" w:type="dxa"/>
              <w:end w:w="80" w:type="dxa"/>
            </w:tcMar>
            <w:vAlign w:val="top"/>
          </w:tcPr>
          <w:p>
            <w:pPr>
              <w:spacing w:after="0"/>
            </w:pPr>
            <w:r>
              <w:rPr>
                <w:rFonts w:ascii="Carlito" w:hAnsi="Carlito" w:eastAsia="Carlito"/>
                <w:color w:val="1F2933"/>
                <w:sz w:val="15"/>
              </w:rPr>
              <w:t>Tier 3 transformation</w:t>
            </w:r>
          </w:p>
        </w:tc>
        <w:tc>
          <w:tcPr>
            <w:tcW w:type="dxa" w:w="6984"/>
            <w:tcMar>
              <w:top w:w="60" w:type="dxa"/>
              <w:start w:w="80" w:type="dxa"/>
              <w:bottom w:w="60" w:type="dxa"/>
              <w:end w:w="80" w:type="dxa"/>
            </w:tcMar>
            <w:vAlign w:val="top"/>
          </w:tcPr>
          <w:p>
            <w:pPr>
              <w:spacing w:after="0"/>
            </w:pPr>
            <w:r>
              <w:rPr>
                <w:rFonts w:ascii="Carlito" w:hAnsi="Carlito" w:eastAsia="Carlito"/>
                <w:color w:val="1F2933"/>
                <w:sz w:val="15"/>
              </w:rPr>
              <w:t>Consumes 100 units to produce 50; conversion EUR 1/unit output; setup EUR 10; markup 10%. Output value EUR 441.8333333.</w:t>
            </w:r>
          </w:p>
        </w:tc>
      </w:tr>
      <w:tr>
        <w:tc>
          <w:tcPr>
            <w:tcW w:type="dxa" w:w="2952"/>
            <w:shd w:fill="F7F8F9" w:val="clear"/>
            <w:tcMar>
              <w:top w:w="60" w:type="dxa"/>
              <w:start w:w="80" w:type="dxa"/>
              <w:bottom w:w="60" w:type="dxa"/>
              <w:end w:w="80" w:type="dxa"/>
            </w:tcMar>
            <w:vAlign w:val="top"/>
          </w:tcPr>
          <w:p>
            <w:pPr>
              <w:spacing w:after="0"/>
            </w:pPr>
            <w:r>
              <w:rPr>
                <w:rFonts w:ascii="Carlito" w:hAnsi="Carlito" w:eastAsia="Carlito"/>
                <w:color w:val="1F2933"/>
                <w:sz w:val="15"/>
              </w:rPr>
              <w:t>Tier 3 closing inventory</w:t>
            </w:r>
          </w:p>
        </w:tc>
        <w:tc>
          <w:tcPr>
            <w:tcW w:type="dxa" w:w="6984"/>
            <w:shd w:fill="F7F8F9" w:val="clear"/>
            <w:tcMar>
              <w:top w:w="60" w:type="dxa"/>
              <w:start w:w="80" w:type="dxa"/>
              <w:bottom w:w="60" w:type="dxa"/>
              <w:end w:w="80" w:type="dxa"/>
            </w:tcMar>
            <w:vAlign w:val="top"/>
          </w:tcPr>
          <w:p>
            <w:pPr>
              <w:spacing w:after="0"/>
            </w:pPr>
            <w:r>
              <w:rPr>
                <w:rFonts w:ascii="Carlito" w:hAnsi="Carlito" w:eastAsia="Carlito"/>
                <w:color w:val="1F2933"/>
                <w:sz w:val="15"/>
              </w:rPr>
              <w:t>20 units at the common pool cost: EUR 68.3333333.</w:t>
            </w:r>
          </w:p>
        </w:tc>
      </w:tr>
      <w:tr>
        <w:tc>
          <w:tcPr>
            <w:tcW w:type="dxa" w:w="2952"/>
            <w:tcMar>
              <w:top w:w="60" w:type="dxa"/>
              <w:start w:w="80" w:type="dxa"/>
              <w:bottom w:w="60" w:type="dxa"/>
              <w:end w:w="80" w:type="dxa"/>
            </w:tcMar>
            <w:vAlign w:val="top"/>
          </w:tcPr>
          <w:p>
            <w:pPr>
              <w:spacing w:after="0"/>
            </w:pPr>
            <w:r>
              <w:rPr>
                <w:rFonts w:ascii="Carlito" w:hAnsi="Carlito" w:eastAsia="Carlito"/>
                <w:color w:val="1F2933"/>
                <w:sz w:val="15"/>
              </w:rPr>
              <w:t>Receipt at Tier 2</w:t>
            </w:r>
          </w:p>
        </w:tc>
        <w:tc>
          <w:tcPr>
            <w:tcW w:type="dxa" w:w="6984"/>
            <w:tcMar>
              <w:top w:w="60" w:type="dxa"/>
              <w:start w:w="80" w:type="dxa"/>
              <w:bottom w:w="60" w:type="dxa"/>
              <w:end w:w="80" w:type="dxa"/>
            </w:tcMar>
            <w:vAlign w:val="top"/>
          </w:tcPr>
          <w:p>
            <w:pPr>
              <w:spacing w:after="0"/>
            </w:pPr>
            <w:r>
              <w:rPr>
                <w:rFonts w:ascii="Carlito" w:hAnsi="Carlito" w:eastAsia="Carlito"/>
                <w:color w:val="1F2933"/>
                <w:sz w:val="15"/>
              </w:rPr>
              <w:t>Tier 3 output plus EUR 25 freight: value EUR 466.8333333.</w:t>
            </w:r>
          </w:p>
        </w:tc>
      </w:tr>
      <w:tr>
        <w:tc>
          <w:tcPr>
            <w:tcW w:type="dxa" w:w="2952"/>
            <w:shd w:fill="F7F8F9" w:val="clear"/>
            <w:tcMar>
              <w:top w:w="60" w:type="dxa"/>
              <w:start w:w="80" w:type="dxa"/>
              <w:bottom w:w="60" w:type="dxa"/>
              <w:end w:w="80" w:type="dxa"/>
            </w:tcMar>
            <w:vAlign w:val="top"/>
          </w:tcPr>
          <w:p>
            <w:pPr>
              <w:spacing w:after="0"/>
            </w:pPr>
            <w:r>
              <w:rPr>
                <w:rFonts w:ascii="Carlito" w:hAnsi="Carlito" w:eastAsia="Carlito"/>
                <w:color w:val="1F2933"/>
                <w:sz w:val="15"/>
              </w:rPr>
              <w:t>Tier 2 transformation</w:t>
            </w:r>
          </w:p>
        </w:tc>
        <w:tc>
          <w:tcPr>
            <w:tcW w:type="dxa" w:w="6984"/>
            <w:shd w:fill="F7F8F9" w:val="clear"/>
            <w:tcMar>
              <w:top w:w="60" w:type="dxa"/>
              <w:start w:w="80" w:type="dxa"/>
              <w:bottom w:w="60" w:type="dxa"/>
              <w:end w:w="80" w:type="dxa"/>
            </w:tcMar>
            <w:vAlign w:val="top"/>
          </w:tcPr>
          <w:p>
            <w:pPr>
              <w:spacing w:after="0"/>
            </w:pPr>
            <w:r>
              <w:rPr>
                <w:rFonts w:ascii="Carlito" w:hAnsi="Carlito" w:eastAsia="Carlito"/>
                <w:color w:val="1F2933"/>
                <w:sz w:val="15"/>
              </w:rPr>
              <w:t>50 output; conversion EUR 2/unit; markup 5%. Output value EUR 595.1750000.</w:t>
            </w:r>
          </w:p>
        </w:tc>
      </w:tr>
      <w:tr>
        <w:tc>
          <w:tcPr>
            <w:tcW w:type="dxa" w:w="2952"/>
            <w:tcMar>
              <w:top w:w="60" w:type="dxa"/>
              <w:start w:w="80" w:type="dxa"/>
              <w:bottom w:w="60" w:type="dxa"/>
              <w:end w:w="80" w:type="dxa"/>
            </w:tcMar>
            <w:vAlign w:val="top"/>
          </w:tcPr>
          <w:p>
            <w:pPr>
              <w:spacing w:after="0"/>
            </w:pPr>
            <w:r>
              <w:rPr>
                <w:rFonts w:ascii="Carlito" w:hAnsi="Carlito" w:eastAsia="Carlito"/>
                <w:color w:val="1F2933"/>
                <w:sz w:val="15"/>
              </w:rPr>
              <w:t>Receipt at Tier 1</w:t>
            </w:r>
          </w:p>
        </w:tc>
        <w:tc>
          <w:tcPr>
            <w:tcW w:type="dxa" w:w="6984"/>
            <w:tcMar>
              <w:top w:w="60" w:type="dxa"/>
              <w:start w:w="80" w:type="dxa"/>
              <w:bottom w:w="60" w:type="dxa"/>
              <w:end w:w="80" w:type="dxa"/>
            </w:tcMar>
            <w:vAlign w:val="top"/>
          </w:tcPr>
          <w:p>
            <w:pPr>
              <w:spacing w:after="0"/>
            </w:pPr>
            <w:r>
              <w:rPr>
                <w:rFonts w:ascii="Carlito" w:hAnsi="Carlito" w:eastAsia="Carlito"/>
                <w:color w:val="1F2933"/>
                <w:sz w:val="15"/>
              </w:rPr>
              <w:t>Tier 2 output plus EUR 10 freight: value EUR 605.1750000.</w:t>
            </w:r>
          </w:p>
        </w:tc>
      </w:tr>
      <w:tr>
        <w:tc>
          <w:tcPr>
            <w:tcW w:type="dxa" w:w="2952"/>
            <w:shd w:fill="F7F8F9" w:val="clear"/>
            <w:tcMar>
              <w:top w:w="60" w:type="dxa"/>
              <w:start w:w="80" w:type="dxa"/>
              <w:bottom w:w="60" w:type="dxa"/>
              <w:end w:w="80" w:type="dxa"/>
            </w:tcMar>
            <w:vAlign w:val="top"/>
          </w:tcPr>
          <w:p>
            <w:pPr>
              <w:spacing w:after="0"/>
            </w:pPr>
            <w:r>
              <w:rPr>
                <w:rFonts w:ascii="Carlito" w:hAnsi="Carlito" w:eastAsia="Carlito"/>
                <w:color w:val="1F2933"/>
                <w:sz w:val="15"/>
              </w:rPr>
              <w:t>Tier 1 transformation</w:t>
            </w:r>
          </w:p>
        </w:tc>
        <w:tc>
          <w:tcPr>
            <w:tcW w:type="dxa" w:w="6984"/>
            <w:shd w:fill="F7F8F9" w:val="clear"/>
            <w:tcMar>
              <w:top w:w="60" w:type="dxa"/>
              <w:start w:w="80" w:type="dxa"/>
              <w:bottom w:w="60" w:type="dxa"/>
              <w:end w:w="80" w:type="dxa"/>
            </w:tcMar>
            <w:vAlign w:val="top"/>
          </w:tcPr>
          <w:p>
            <w:pPr>
              <w:spacing w:after="0"/>
            </w:pPr>
            <w:r>
              <w:rPr>
                <w:rFonts w:ascii="Carlito" w:hAnsi="Carlito" w:eastAsia="Carlito"/>
                <w:color w:val="1F2933"/>
                <w:sz w:val="15"/>
              </w:rPr>
              <w:t>50 terminal units; conversion EUR 3/unit; setup EUR 20; markup 8%. Output value EUR 837.1890000.</w:t>
            </w:r>
          </w:p>
        </w:tc>
      </w:tr>
      <w:tr>
        <w:tc>
          <w:tcPr>
            <w:tcW w:type="dxa" w:w="2952"/>
            <w:tcMar>
              <w:top w:w="60" w:type="dxa"/>
              <w:start w:w="80" w:type="dxa"/>
              <w:bottom w:w="60" w:type="dxa"/>
              <w:end w:w="80" w:type="dxa"/>
            </w:tcMar>
            <w:vAlign w:val="top"/>
          </w:tcPr>
          <w:p>
            <w:pPr>
              <w:spacing w:after="0"/>
            </w:pPr>
            <w:r>
              <w:rPr>
                <w:rFonts w:ascii="Carlito" w:hAnsi="Carlito" w:eastAsia="Carlito"/>
                <w:color w:val="1F2933"/>
                <w:sz w:val="15"/>
              </w:rPr>
              <w:t>Receipt at plant</w:t>
            </w:r>
          </w:p>
        </w:tc>
        <w:tc>
          <w:tcPr>
            <w:tcW w:type="dxa" w:w="6984"/>
            <w:tcMar>
              <w:top w:w="60" w:type="dxa"/>
              <w:start w:w="80" w:type="dxa"/>
              <w:bottom w:w="60" w:type="dxa"/>
              <w:end w:w="80" w:type="dxa"/>
            </w:tcMar>
            <w:vAlign w:val="top"/>
          </w:tcPr>
          <w:p>
            <w:pPr>
              <w:spacing w:after="0"/>
            </w:pPr>
            <w:r>
              <w:rPr>
                <w:rFonts w:ascii="Carlito" w:hAnsi="Carlito" w:eastAsia="Carlito"/>
                <w:color w:val="1F2933"/>
                <w:sz w:val="15"/>
              </w:rPr>
              <w:t>Tier 1 output plus EUR 15 freight: pool value EUR 852.1890000; unit cost EUR 17.0437800.</w:t>
            </w:r>
          </w:p>
        </w:tc>
      </w:tr>
      <w:tr>
        <w:tc>
          <w:tcPr>
            <w:tcW w:type="dxa" w:w="2952"/>
            <w:shd w:fill="F7F8F9" w:val="clear"/>
            <w:tcMar>
              <w:top w:w="60" w:type="dxa"/>
              <w:start w:w="80" w:type="dxa"/>
              <w:bottom w:w="60" w:type="dxa"/>
              <w:end w:w="80" w:type="dxa"/>
            </w:tcMar>
            <w:vAlign w:val="top"/>
          </w:tcPr>
          <w:p>
            <w:pPr>
              <w:spacing w:after="0"/>
            </w:pPr>
            <w:r>
              <w:rPr>
                <w:rFonts w:ascii="Carlito" w:hAnsi="Carlito" w:eastAsia="Carlito"/>
                <w:color w:val="1F2933"/>
                <w:sz w:val="15"/>
              </w:rPr>
              <w:t>Plant service and closing inventory</w:t>
            </w:r>
          </w:p>
        </w:tc>
        <w:tc>
          <w:tcPr>
            <w:tcW w:type="dxa" w:w="6984"/>
            <w:shd w:fill="F7F8F9" w:val="clear"/>
            <w:tcMar>
              <w:top w:w="60" w:type="dxa"/>
              <w:start w:w="80" w:type="dxa"/>
              <w:bottom w:w="60" w:type="dxa"/>
              <w:end w:w="80" w:type="dxa"/>
            </w:tcMar>
            <w:vAlign w:val="top"/>
          </w:tcPr>
          <w:p>
            <w:pPr>
              <w:spacing w:after="0"/>
            </w:pPr>
            <w:r>
              <w:rPr>
                <w:rFonts w:ascii="Carlito" w:hAnsi="Carlito" w:eastAsia="Carlito"/>
                <w:color w:val="1F2933"/>
                <w:sz w:val="15"/>
              </w:rPr>
              <w:t>Serve 40 units: EUR 681.7512000. Close 10 units: EUR 170.4378000.</w:t>
            </w:r>
          </w:p>
        </w:tc>
      </w:tr>
      <w:tr>
        <w:tc>
          <w:tcPr>
            <w:tcW w:type="dxa" w:w="2952"/>
            <w:tcMar>
              <w:top w:w="60" w:type="dxa"/>
              <w:start w:w="80" w:type="dxa"/>
              <w:bottom w:w="60" w:type="dxa"/>
              <w:end w:w="80" w:type="dxa"/>
            </w:tcMar>
            <w:vAlign w:val="top"/>
          </w:tcPr>
          <w:p>
            <w:pPr>
              <w:spacing w:after="0"/>
            </w:pPr>
            <w:r>
              <w:rPr>
                <w:rFonts w:ascii="Carlito" w:hAnsi="Carlito" w:eastAsia="Carlito"/>
                <w:color w:val="1F2933"/>
                <w:sz w:val="15"/>
              </w:rPr>
              <w:t>Stage-2 recursive value before non-capitalised cost</w:t>
            </w:r>
          </w:p>
        </w:tc>
        <w:tc>
          <w:tcPr>
            <w:tcW w:type="dxa" w:w="6984"/>
            <w:tcMar>
              <w:top w:w="60" w:type="dxa"/>
              <w:start w:w="80" w:type="dxa"/>
              <w:bottom w:w="60" w:type="dxa"/>
              <w:end w:w="80" w:type="dxa"/>
            </w:tcMar>
            <w:vAlign w:val="top"/>
          </w:tcPr>
          <w:p>
            <w:pPr>
              <w:spacing w:after="0"/>
            </w:pPr>
            <w:r>
              <w:rPr>
                <w:rFonts w:ascii="Carlito" w:hAnsi="Carlito" w:eastAsia="Carlito"/>
                <w:color w:val="1F2933"/>
                <w:sz w:val="15"/>
              </w:rPr>
              <w:t>Plant served value + all closing inventory value = EUR 920.5223333.</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19"/>
            <w:shd w:fill="E7F4F2" w:val="clear"/>
            <w:tcMar>
              <w:top w:w="100" w:type="dxa"/>
              <w:start w:w="130" w:type="dxa"/>
              <w:bottom w:w="100" w:type="dxa"/>
              <w:end w:w="130" w:type="dxa"/>
            </w:tcMar>
            <w:tcBorders>
              <w:top w:val="nil"/>
              <w:start w:val="single" w:sz="18" w:color="0B7A75"/>
              <w:bottom w:val="nil"/>
              <w:end w:val="nil"/>
            </w:tcBorders>
          </w:tcPr>
          <w:p>
            <w:pPr>
              <w:spacing w:after="40"/>
            </w:pPr>
            <w:r>
              <w:rPr>
                <w:rFonts w:ascii="Carlito" w:hAnsi="Carlito" w:eastAsia="Carlito"/>
                <w:b/>
                <w:color w:val="0B7A75"/>
                <w:sz w:val="18"/>
              </w:rPr>
              <w:t>Fixture acceptance</w:t>
            </w:r>
          </w:p>
          <w:p>
            <w:pPr>
              <w:spacing w:after="0"/>
            </w:pPr>
            <w:r>
              <w:rPr>
                <w:rFonts w:ascii="Carlito" w:hAnsi="Carlito" w:eastAsia="Carlito"/>
                <w:color w:val="1F2933"/>
                <w:sz w:val="18"/>
              </w:rPr>
              <w:t>Quantity, value, unit-cost and objective values must reconcile within the approved absolute and relative tolerances. The fixture must also fail when any one of the common-pool, fixed-cost, markup or closing-inventory controls is deliberately removed.</w:t>
            </w:r>
          </w:p>
        </w:tc>
      </w:tr>
    </w:tbl>
    <w:p>
      <w:pPr>
        <w:spacing w:after="0"/>
      </w:pPr>
    </w:p>
    <w:p>
      <w:pPr>
        <w:pStyle w:val="Heading2"/>
      </w:pPr>
      <w:r>
        <w:t>12.9 Calibration acceptance</w:t>
      </w:r>
    </w:p>
    <w:p>
      <w:pPr>
        <w:pStyle w:val="ListBullet"/>
        <w:spacing w:after="44"/>
        <w:ind w:left="317" w:hanging="173"/>
      </w:pPr>
      <w:r>
        <w:t>The main case produces a physically feasible fixed-price MILP and at least one reconciled recursive-cost incumbent.</w:t>
      </w:r>
    </w:p>
    <w:p>
      <w:pPr>
        <w:pStyle w:val="ListBullet"/>
        <w:spacing w:after="44"/>
        <w:ind w:left="317" w:hanging="173"/>
      </w:pPr>
      <w:r>
        <w:t>BASE has zero shortage.</w:t>
      </w:r>
    </w:p>
    <w:p>
      <w:pPr>
        <w:pStyle w:val="ListBullet"/>
        <w:spacing w:after="44"/>
        <w:ind w:left="317" w:hanging="173"/>
      </w:pPr>
      <w:r>
        <w:t>The fixed-price and recursive solutions differ for a controlled, explainable reason.</w:t>
      </w:r>
    </w:p>
    <w:p>
      <w:pPr>
        <w:pStyle w:val="ListBullet"/>
        <w:spacing w:after="44"/>
        <w:ind w:left="317" w:hanging="173"/>
      </w:pPr>
      <w:r>
        <w:t>Weighted-average pooling affects a terminal unit cost and is not only a reporting calculation.</w:t>
      </w:r>
    </w:p>
    <w:p>
      <w:pPr>
        <w:pStyle w:val="ListBullet"/>
        <w:spacing w:after="44"/>
        <w:ind w:left="317" w:hanging="173"/>
      </w:pPr>
      <w:r>
        <w:t>All scenarios create distinct, intended effects.</w:t>
      </w:r>
    </w:p>
    <w:p>
      <w:pPr>
        <w:pStyle w:val="ListBullet"/>
        <w:spacing w:after="44"/>
        <w:ind w:left="317" w:hanging="173"/>
      </w:pPr>
      <w:r>
        <w:t>No generated cost or bound produces numerical overflow, vanishing scales or unintended unboundedness.</w:t>
      </w:r>
    </w:p>
    <w:p>
      <w:pPr>
        <w:pStyle w:val="ListBullet"/>
        <w:spacing w:after="44"/>
        <w:ind w:left="317" w:hanging="173"/>
      </w:pPr>
      <w:r>
        <w:t>The reference runtime is within the provisional budget on the declared environment.</w:t>
      </w:r>
    </w:p>
    <w:p>
      <w:pPr>
        <w:pStyle w:val="Heading1"/>
      </w:pPr>
      <w:r>
        <w:t>13. Data, model and result validation</w:t>
      </w:r>
    </w:p>
    <w:p>
      <w:pPr>
        <w:pStyle w:val="Heading2"/>
      </w:pPr>
      <w:r>
        <w:t>13.1 Structural and referential checks</w:t>
      </w:r>
    </w:p>
    <w:p>
      <w:pPr>
        <w:pStyle w:val="ListBullet"/>
        <w:spacing w:after="44"/>
        <w:ind w:left="317" w:hanging="173"/>
      </w:pPr>
      <w:r>
        <w:t>all primary keys are unique and non-null;</w:t>
      </w:r>
    </w:p>
    <w:p>
      <w:pPr>
        <w:pStyle w:val="ListBullet"/>
        <w:spacing w:after="44"/>
        <w:ind w:left="317" w:hanging="173"/>
      </w:pPr>
      <w:r>
        <w:t>all foreign keys and controlled domains resolve;</w:t>
      </w:r>
    </w:p>
    <w:p>
      <w:pPr>
        <w:pStyle w:val="ListBullet"/>
        <w:spacing w:after="44"/>
        <w:ind w:left="317" w:hanging="173"/>
      </w:pPr>
      <w:r>
        <w:t>all fact periods lie in P01-P12 and effective ranges are ordered;</w:t>
      </w:r>
    </w:p>
    <w:p>
      <w:pPr>
        <w:pStyle w:val="ListBullet"/>
        <w:spacing w:after="44"/>
        <w:ind w:left="317" w:hanging="173"/>
      </w:pPr>
      <w:r>
        <w:t>the node/material/recipe graph is acyclic;</w:t>
      </w:r>
    </w:p>
    <w:p>
      <w:pPr>
        <w:pStyle w:val="ListBullet"/>
        <w:spacing w:after="44"/>
        <w:ind w:left="317" w:hanging="173"/>
      </w:pPr>
      <w:r>
        <w:t>every active contract maps to an approval and at least one lane;</w:t>
      </w:r>
    </w:p>
    <w:p>
      <w:pPr>
        <w:pStyle w:val="ListBullet"/>
        <w:spacing w:after="44"/>
        <w:ind w:left="317" w:hanging="173"/>
      </w:pPr>
      <w:r>
        <w:t>external price appears only on external-price contracts and eligible materials;</w:t>
      </w:r>
    </w:p>
    <w:p>
      <w:pPr>
        <w:pStyle w:val="ListBullet"/>
        <w:spacing w:after="44"/>
        <w:ind w:left="317" w:hanging="173"/>
      </w:pPr>
      <w:r>
        <w:t>every recipe has at least one input and a valid output;</w:t>
      </w:r>
    </w:p>
    <w:p>
      <w:pPr>
        <w:pStyle w:val="ListBullet"/>
        <w:spacing w:after="44"/>
        <w:ind w:left="317" w:hanging="173"/>
      </w:pPr>
      <w:r>
        <w:t>every terminal demand line refers to an Asterion plant and terminal material;</w:t>
      </w:r>
    </w:p>
    <w:p>
      <w:pPr>
        <w:pStyle w:val="ListBullet"/>
        <w:spacing w:after="44"/>
        <w:ind w:left="317" w:hanging="173"/>
      </w:pPr>
      <w:r>
        <w:t>units, currencies, coordinates and country codes use declared domains.</w:t>
      </w:r>
    </w:p>
    <w:p>
      <w:pPr>
        <w:pStyle w:val="Heading2"/>
      </w:pPr>
      <w:r>
        <w:t>13.2 Numerical invariants</w:t>
      </w:r>
    </w:p>
    <w:p>
      <w:pPr>
        <w:pStyle w:val="ListBullet"/>
        <w:spacing w:after="44"/>
        <w:ind w:left="317" w:hanging="173"/>
      </w:pPr>
      <w:r>
        <w:t>quantities, capacities, values, prices and costs are non-negative;</w:t>
      </w:r>
    </w:p>
    <w:p>
      <w:pPr>
        <w:pStyle w:val="ListBullet"/>
        <w:spacing w:after="44"/>
        <w:ind w:left="317" w:hanging="173"/>
      </w:pPr>
      <w:r>
        <w:t>yield lies in (0,1];</w:t>
      </w:r>
    </w:p>
    <w:p>
      <w:pPr>
        <w:pStyle w:val="ListBullet"/>
        <w:spacing w:after="44"/>
        <w:ind w:left="317" w:hanging="173"/>
      </w:pPr>
      <w:r>
        <w:t>MOQ and order multiples are positive and compatible with the permitted lot formulation;</w:t>
      </w:r>
    </w:p>
    <w:p>
      <w:pPr>
        <w:pStyle w:val="ListBullet"/>
        <w:spacing w:after="44"/>
        <w:ind w:left="317" w:hanging="173"/>
      </w:pPr>
      <w:r>
        <w:t>usable opening inventory equals on-hand minus reserved;</w:t>
      </w:r>
    </w:p>
    <w:p>
      <w:pPr>
        <w:pStyle w:val="ListBullet"/>
        <w:spacing w:after="44"/>
        <w:ind w:left="317" w:hanging="173"/>
      </w:pPr>
      <w:r>
        <w:t>opening total value equals usable quantity times unit cost;</w:t>
      </w:r>
    </w:p>
    <w:p>
      <w:pPr>
        <w:pStyle w:val="ListBullet"/>
        <w:spacing w:after="44"/>
        <w:ind w:left="317" w:hanging="173"/>
      </w:pPr>
      <w:r>
        <w:t>safety stock and terminal target do not exceed storage bounds;</w:t>
      </w:r>
    </w:p>
    <w:p>
      <w:pPr>
        <w:pStyle w:val="ListBullet"/>
        <w:spacing w:after="44"/>
        <w:ind w:left="317" w:hanging="173"/>
      </w:pPr>
      <w:r>
        <w:t>scenario defaults equal one and availability defaults to true;</w:t>
      </w:r>
    </w:p>
    <w:p>
      <w:pPr>
        <w:pStyle w:val="ListBullet"/>
        <w:spacing w:after="44"/>
        <w:ind w:left="317" w:hanging="173"/>
      </w:pPr>
      <w:r>
        <w:t>unit-cost and quantity bounds are finite and ordered;</w:t>
      </w:r>
    </w:p>
    <w:p>
      <w:pPr>
        <w:pStyle w:val="ListBullet"/>
        <w:spacing w:after="44"/>
        <w:ind w:left="317" w:hanging="173"/>
      </w:pPr>
      <w:r>
        <w:t>minimum meaningful pool quantity is positive and below every legitimate positive lot or production quantity.</w:t>
      </w:r>
    </w:p>
    <w:p>
      <w:pPr>
        <w:pStyle w:val="Heading2"/>
      </w:pPr>
      <w:r>
        <w:t>13.3 Physical post-solve checks</w:t>
      </w:r>
    </w:p>
    <w:p>
      <w:pPr>
        <w:pStyle w:val="ListBullet"/>
        <w:spacing w:after="44"/>
        <w:ind w:left="317" w:hanging="173"/>
      </w:pPr>
      <w:r>
        <w:t>positive flow has a valid approval, contract and lane;</w:t>
      </w:r>
    </w:p>
    <w:p>
      <w:pPr>
        <w:pStyle w:val="ListBullet"/>
        <w:spacing w:after="44"/>
        <w:ind w:left="317" w:hanging="173"/>
      </w:pPr>
      <w:r>
        <w:t>lot, MOQ, fixed-cost and activation logic reconciles;</w:t>
      </w:r>
    </w:p>
    <w:p>
      <w:pPr>
        <w:pStyle w:val="ListBullet"/>
        <w:spacing w:after="44"/>
        <w:ind w:left="317" w:hanging="173"/>
      </w:pPr>
      <w:r>
        <w:t>source, transformation, shared-resource, storage and lane capacities are respected;</w:t>
      </w:r>
    </w:p>
    <w:p>
      <w:pPr>
        <w:pStyle w:val="ListBullet"/>
        <w:spacing w:after="44"/>
        <w:ind w:left="317" w:hanging="173"/>
      </w:pPr>
      <w:r>
        <w:t>dispatch and arrival indexing is correct;</w:t>
      </w:r>
    </w:p>
    <w:p>
      <w:pPr>
        <w:pStyle w:val="ListBullet"/>
        <w:spacing w:after="44"/>
        <w:ind w:left="317" w:hanging="173"/>
      </w:pPr>
      <w:r>
        <w:t>recipe input consumption matches BOM and yield;</w:t>
      </w:r>
    </w:p>
    <w:p>
      <w:pPr>
        <w:pStyle w:val="ListBullet"/>
        <w:spacing w:after="44"/>
        <w:ind w:left="317" w:hanging="173"/>
      </w:pPr>
      <w:r>
        <w:t>quantity pools and outflow balances reconcile;</w:t>
      </w:r>
    </w:p>
    <w:p>
      <w:pPr>
        <w:pStyle w:val="ListBullet"/>
        <w:spacing w:after="44"/>
        <w:ind w:left="317" w:hanging="173"/>
      </w:pPr>
      <w:r>
        <w:t>inventory never becomes negative;</w:t>
      </w:r>
    </w:p>
    <w:p>
      <w:pPr>
        <w:pStyle w:val="ListBullet"/>
        <w:spacing w:after="44"/>
        <w:ind w:left="317" w:hanging="173"/>
      </w:pPr>
      <w:r>
        <w:t>terminal demand equals service plus shortage;</w:t>
      </w:r>
    </w:p>
    <w:p>
      <w:pPr>
        <w:pStyle w:val="ListBullet"/>
        <w:spacing w:after="44"/>
        <w:ind w:left="317" w:hanging="173"/>
      </w:pPr>
      <w:r>
        <w:t>exclusive recipe and minimum-run rules are respected;</w:t>
      </w:r>
    </w:p>
    <w:p>
      <w:pPr>
        <w:pStyle w:val="ListBullet"/>
        <w:spacing w:after="44"/>
        <w:ind w:left="317" w:hanging="173"/>
      </w:pPr>
      <w:r>
        <w:t>scenario impacts target the intended records and periods.</w:t>
      </w:r>
    </w:p>
    <w:p>
      <w:pPr>
        <w:pStyle w:val="Heading2"/>
      </w:pPr>
      <w:r>
        <w:t>13.4 Recursive-cost reconciliation</w:t>
      </w:r>
    </w:p>
    <w:p>
      <w:pPr>
        <w:pStyle w:val="ListBullet"/>
        <w:spacing w:after="44"/>
        <w:ind w:left="317" w:hanging="173"/>
      </w:pPr>
      <w:r>
        <w:t>pool quantity equals prior inventory plus receipts plus production;</w:t>
      </w:r>
    </w:p>
    <w:p>
      <w:pPr>
        <w:pStyle w:val="ListBullet"/>
        <w:spacing w:after="44"/>
        <w:ind w:left="317" w:hanging="173"/>
      </w:pPr>
      <w:r>
        <w:t>pool value equals prior inventory value plus receipt value plus production value;</w:t>
      </w:r>
    </w:p>
    <w:p>
      <w:pPr>
        <w:pStyle w:val="ListBullet"/>
        <w:spacing w:after="44"/>
        <w:ind w:left="317" w:hanging="173"/>
      </w:pPr>
      <w:r>
        <w:t>pool value equals pool unit cost multiplied by pool quantity;</w:t>
      </w:r>
    </w:p>
    <w:p>
      <w:pPr>
        <w:pStyle w:val="ListBullet"/>
        <w:spacing w:after="44"/>
        <w:ind w:left="317" w:hanging="173"/>
      </w:pPr>
      <w:r>
        <w:t>every simultaneous outflow uses the same pool unit cost;</w:t>
      </w:r>
    </w:p>
    <w:p>
      <w:pPr>
        <w:pStyle w:val="ListBullet"/>
        <w:spacing w:after="44"/>
        <w:ind w:left="317" w:hanging="173"/>
      </w:pPr>
      <w:r>
        <w:t>closing inventory, shipment, consumption and service values equal unit cost multiplied by quantity;</w:t>
      </w:r>
    </w:p>
    <w:p>
      <w:pPr>
        <w:pStyle w:val="ListBullet"/>
        <w:spacing w:after="44"/>
        <w:ind w:left="317" w:hanging="173"/>
      </w:pPr>
      <w:r>
        <w:t>pool value equals all outflow values plus closing inventory value;</w:t>
      </w:r>
    </w:p>
    <w:p>
      <w:pPr>
        <w:pStyle w:val="ListBullet"/>
        <w:spacing w:after="44"/>
        <w:ind w:left="317" w:hanging="173"/>
      </w:pPr>
      <w:r>
        <w:t>production output value equals input value plus approved conversion, setup, overhead, surge and markup additions;</w:t>
      </w:r>
    </w:p>
    <w:p>
      <w:pPr>
        <w:pStyle w:val="ListBullet"/>
        <w:spacing w:after="44"/>
        <w:ind w:left="317" w:hanging="173"/>
      </w:pPr>
      <w:r>
        <w:t>receipt value equals dispatched value plus approved capitalised additions;</w:t>
      </w:r>
    </w:p>
    <w:p>
      <w:pPr>
        <w:pStyle w:val="ListBullet"/>
        <w:spacing w:after="44"/>
        <w:ind w:left="317" w:hanging="173"/>
      </w:pPr>
      <w:r>
        <w:t>opening inventory quantity and value enter P01 exactly once;</w:t>
      </w:r>
    </w:p>
    <w:p>
      <w:pPr>
        <w:pStyle w:val="ListBullet"/>
        <w:spacing w:after="44"/>
        <w:ind w:left="317" w:hanging="173"/>
      </w:pPr>
      <w:r>
        <w:t>zero-quantity pools have zero unit cost and value;</w:t>
      </w:r>
    </w:p>
    <w:p>
      <w:pPr>
        <w:pStyle w:val="ListBullet"/>
        <w:spacing w:after="44"/>
        <w:ind w:left="317" w:hanging="173"/>
      </w:pPr>
      <w:r>
        <w:t>every terminal cost can be traced to external source and value-add ledger entries.</w:t>
      </w:r>
    </w:p>
    <w:p>
      <w:pPr>
        <w:pStyle w:val="Heading2"/>
      </w:pPr>
      <w:r>
        <w:t>13.5 Cost-ledger checks</w:t>
      </w:r>
    </w:p>
    <w:p>
      <w:pPr>
        <w:pStyle w:val="ListBullet"/>
        <w:spacing w:after="44"/>
        <w:ind w:left="317" w:hanging="173"/>
      </w:pPr>
      <w:r>
        <w:t>every cost component resolves to one approved cost-allocation rule;</w:t>
      </w:r>
    </w:p>
    <w:p>
      <w:pPr>
        <w:pStyle w:val="ListBullet"/>
        <w:spacing w:after="44"/>
        <w:ind w:left="317" w:hanging="173"/>
      </w:pPr>
      <w:r>
        <w:t>no cost appears in both capitalised and non-capitalised ledgers;</w:t>
      </w:r>
    </w:p>
    <w:p>
      <w:pPr>
        <w:pStyle w:val="ListBullet"/>
        <w:spacing w:after="44"/>
        <w:ind w:left="317" w:hanging="173"/>
      </w:pPr>
      <w:r>
        <w:t>markup is applied once and to the approved base;</w:t>
      </w:r>
    </w:p>
    <w:p>
      <w:pPr>
        <w:pStyle w:val="ListBullet"/>
        <w:spacing w:after="44"/>
        <w:ind w:left="317" w:hanging="173"/>
      </w:pPr>
      <w:r>
        <w:t>fixed order and shipment costs activate and allocate correctly;</w:t>
      </w:r>
    </w:p>
    <w:p>
      <w:pPr>
        <w:pStyle w:val="ListBullet"/>
        <w:spacing w:after="44"/>
        <w:ind w:left="317" w:hanging="173"/>
      </w:pPr>
      <w:r>
        <w:t>horizon activation and holding cost remain non-capitalised;</w:t>
      </w:r>
    </w:p>
    <w:p>
      <w:pPr>
        <w:pStyle w:val="ListBullet"/>
        <w:spacing w:after="44"/>
        <w:ind w:left="317" w:hanging="173"/>
      </w:pPr>
      <w:r>
        <w:t>intermediate value is not summed again as independent expenditure;</w:t>
      </w:r>
    </w:p>
    <w:p>
      <w:pPr>
        <w:pStyle w:val="ListBullet"/>
        <w:spacing w:after="44"/>
        <w:ind w:left="317" w:hanging="173"/>
      </w:pPr>
      <w:r>
        <w:t>accounting cost and incremental new spend reconcile to their respective ledgers;</w:t>
      </w:r>
    </w:p>
    <w:p>
      <w:pPr>
        <w:pStyle w:val="ListBullet"/>
        <w:spacing w:after="44"/>
        <w:ind w:left="317" w:hanging="173"/>
      </w:pPr>
      <w:r>
        <w:t>FX conversion uses the dispatch or cost-recognition period declared by policy.</w:t>
      </w:r>
    </w:p>
    <w:p>
      <w:pPr>
        <w:pStyle w:val="Heading2"/>
      </w:pPr>
      <w:r>
        <w:t>13.6 Adversarial and anti-gaming checks</w:t>
      </w:r>
    </w:p>
    <w:p>
      <w:pPr>
        <w:pStyle w:val="ListBullet"/>
        <w:spacing w:after="44"/>
        <w:ind w:left="317" w:hanging="173"/>
      </w:pPr>
      <w:r>
        <w:t>surplus low-cost purchasing intended to dilute terminal unit cost;</w:t>
      </w:r>
    </w:p>
    <w:p>
      <w:pPr>
        <w:pStyle w:val="ListBullet"/>
        <w:spacing w:after="44"/>
        <w:ind w:left="317" w:hanging="173"/>
      </w:pPr>
      <w:r>
        <w:t>selective assignment of high cost to closing inventory and low cost to demand;</w:t>
      </w:r>
    </w:p>
    <w:p>
      <w:pPr>
        <w:pStyle w:val="ListBullet"/>
        <w:spacing w:after="44"/>
        <w:ind w:left="317" w:hanging="173"/>
      </w:pPr>
      <w:r>
        <w:t>arbitrary unit cost on an empty or numerically negligible pool;</w:t>
      </w:r>
    </w:p>
    <w:p>
      <w:pPr>
        <w:pStyle w:val="ListBullet"/>
        <w:spacing w:after="44"/>
        <w:ind w:left="317" w:hanging="173"/>
      </w:pPr>
      <w:r>
        <w:t>cost disappearing between transformation or shipment stages;</w:t>
      </w:r>
    </w:p>
    <w:p>
      <w:pPr>
        <w:pStyle w:val="ListBullet"/>
        <w:spacing w:after="44"/>
        <w:ind w:left="317" w:hanging="173"/>
      </w:pPr>
      <w:r>
        <w:t>repeated markup or duplicated freight, duty, insurance or fixed cost;</w:t>
      </w:r>
    </w:p>
    <w:p>
      <w:pPr>
        <w:pStyle w:val="ListBullet"/>
        <w:spacing w:after="44"/>
        <w:ind w:left="317" w:hanging="173"/>
      </w:pPr>
      <w:r>
        <w:t>expensive opening inventory ignored contrary to policy;</w:t>
      </w:r>
    </w:p>
    <w:p>
      <w:pPr>
        <w:pStyle w:val="ListBullet"/>
        <w:spacing w:after="44"/>
        <w:ind w:left="317" w:hanging="173"/>
      </w:pPr>
      <w:r>
        <w:t>post-horizon dispatch or unvalued in-transit material;</w:t>
      </w:r>
    </w:p>
    <w:p>
      <w:pPr>
        <w:pStyle w:val="ListBullet"/>
        <w:spacing w:after="44"/>
        <w:ind w:left="317" w:hanging="173"/>
      </w:pPr>
      <w:r>
        <w:t>weak or missing bounds that permit an implausible relaxation;</w:t>
      </w:r>
    </w:p>
    <w:p>
      <w:pPr>
        <w:pStyle w:val="ListBullet"/>
        <w:spacing w:after="44"/>
        <w:ind w:left="317" w:hanging="173"/>
      </w:pPr>
      <w:r>
        <w:t>baseline standard cost leaking into the recursive model.</w:t>
      </w:r>
    </w:p>
    <w:p>
      <w:pPr>
        <w:pStyle w:val="Heading2"/>
      </w:pPr>
      <w:r>
        <w:t>13.7 Default tolerances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3024"/>
            <w:shd w:fill="17365D" w:val="clear"/>
            <w:tcMar>
              <w:top w:w="60" w:type="dxa"/>
              <w:start w:w="80" w:type="dxa"/>
              <w:bottom w:w="60" w:type="dxa"/>
              <w:end w:w="80" w:type="dxa"/>
            </w:tcMar>
            <w:vAlign w:val="center"/>
          </w:tcPr>
          <w:p>
            <w:pPr>
              <w:spacing w:after="0"/>
            </w:pPr>
            <w:r>
              <w:rPr>
                <w:rFonts w:ascii="Carlito" w:hAnsi="Carlito" w:eastAsia="Carlito"/>
                <w:b/>
                <w:color w:val="FFFFFF"/>
                <w:sz w:val="16"/>
              </w:rPr>
              <w:t>Check family</w:t>
            </w:r>
          </w:p>
        </w:tc>
        <w:tc>
          <w:tcPr>
            <w:tcW w:type="dxa" w:w="6912"/>
            <w:shd w:fill="17365D" w:val="clear"/>
            <w:tcMar>
              <w:top w:w="60" w:type="dxa"/>
              <w:start w:w="80" w:type="dxa"/>
              <w:bottom w:w="60" w:type="dxa"/>
              <w:end w:w="80" w:type="dxa"/>
            </w:tcMar>
            <w:vAlign w:val="center"/>
          </w:tcPr>
          <w:p>
            <w:pPr>
              <w:spacing w:after="0"/>
            </w:pPr>
            <w:r>
              <w:rPr>
                <w:rFonts w:ascii="Carlito" w:hAnsi="Carlito" w:eastAsia="Carlito"/>
                <w:b/>
                <w:color w:val="FFFFFF"/>
                <w:sz w:val="16"/>
              </w:rPr>
              <w:t>Initial default</w:t>
            </w:r>
          </w:p>
        </w:tc>
      </w:tr>
      <w:tr>
        <w:tc>
          <w:tcPr>
            <w:tcW w:type="dxa" w:w="3024"/>
            <w:tcMar>
              <w:top w:w="60" w:type="dxa"/>
              <w:start w:w="80" w:type="dxa"/>
              <w:bottom w:w="60" w:type="dxa"/>
              <w:end w:w="80" w:type="dxa"/>
            </w:tcMar>
            <w:vAlign w:val="top"/>
          </w:tcPr>
          <w:p>
            <w:pPr>
              <w:spacing w:after="0"/>
            </w:pPr>
            <w:r>
              <w:rPr>
                <w:rFonts w:ascii="Carlito" w:hAnsi="Carlito" w:eastAsia="Carlito"/>
                <w:color w:val="1F2933"/>
                <w:sz w:val="16"/>
              </w:rPr>
              <w:t>Quantity equality/inequality</w:t>
            </w:r>
          </w:p>
        </w:tc>
        <w:tc>
          <w:tcPr>
            <w:tcW w:type="dxa" w:w="6912"/>
            <w:tcMar>
              <w:top w:w="60" w:type="dxa"/>
              <w:start w:w="80" w:type="dxa"/>
              <w:bottom w:w="60" w:type="dxa"/>
              <w:end w:w="80" w:type="dxa"/>
            </w:tcMar>
            <w:vAlign w:val="top"/>
          </w:tcPr>
          <w:p>
            <w:pPr>
              <w:spacing w:after="0"/>
            </w:pPr>
            <w:r>
              <w:rPr>
                <w:rFonts w:ascii="Carlito" w:hAnsi="Carlito" w:eastAsia="Carlito"/>
                <w:color w:val="1F2933"/>
                <w:sz w:val="16"/>
              </w:rPr>
              <w:t>max(1e-5 material units, 1e-7 x relevant scale)</w:t>
            </w:r>
          </w:p>
        </w:tc>
      </w:tr>
      <w:tr>
        <w:tc>
          <w:tcPr>
            <w:tcW w:type="dxa" w:w="3024"/>
            <w:shd w:fill="F7F8F9" w:val="clear"/>
            <w:tcMar>
              <w:top w:w="60" w:type="dxa"/>
              <w:start w:w="80" w:type="dxa"/>
              <w:bottom w:w="60" w:type="dxa"/>
              <w:end w:w="80" w:type="dxa"/>
            </w:tcMar>
            <w:vAlign w:val="top"/>
          </w:tcPr>
          <w:p>
            <w:pPr>
              <w:spacing w:after="0"/>
            </w:pPr>
            <w:r>
              <w:rPr>
                <w:rFonts w:ascii="Carlito" w:hAnsi="Carlito" w:eastAsia="Carlito"/>
                <w:color w:val="1F2933"/>
                <w:sz w:val="16"/>
              </w:rPr>
              <w:t>Value reconciliation</w:t>
            </w:r>
          </w:p>
        </w:tc>
        <w:tc>
          <w:tcPr>
            <w:tcW w:type="dxa" w:w="6912"/>
            <w:shd w:fill="F7F8F9" w:val="clear"/>
            <w:tcMar>
              <w:top w:w="60" w:type="dxa"/>
              <w:start w:w="80" w:type="dxa"/>
              <w:bottom w:w="60" w:type="dxa"/>
              <w:end w:w="80" w:type="dxa"/>
            </w:tcMar>
            <w:vAlign w:val="top"/>
          </w:tcPr>
          <w:p>
            <w:pPr>
              <w:spacing w:after="0"/>
            </w:pPr>
            <w:r>
              <w:rPr>
                <w:rFonts w:ascii="Carlito" w:hAnsi="Carlito" w:eastAsia="Carlito"/>
                <w:color w:val="1F2933"/>
                <w:sz w:val="16"/>
              </w:rPr>
              <w:t>max(EUR 1e-3, 1e-7 x relevant value scale)</w:t>
            </w:r>
          </w:p>
        </w:tc>
      </w:tr>
      <w:tr>
        <w:tc>
          <w:tcPr>
            <w:tcW w:type="dxa" w:w="3024"/>
            <w:tcMar>
              <w:top w:w="60" w:type="dxa"/>
              <w:start w:w="80" w:type="dxa"/>
              <w:bottom w:w="60" w:type="dxa"/>
              <w:end w:w="80" w:type="dxa"/>
            </w:tcMar>
            <w:vAlign w:val="top"/>
          </w:tcPr>
          <w:p>
            <w:pPr>
              <w:spacing w:after="0"/>
            </w:pPr>
            <w:r>
              <w:rPr>
                <w:rFonts w:ascii="Carlito" w:hAnsi="Carlito" w:eastAsia="Carlito"/>
                <w:color w:val="1F2933"/>
                <w:sz w:val="16"/>
              </w:rPr>
              <w:t>Unit-cost reconciliation</w:t>
            </w:r>
          </w:p>
        </w:tc>
        <w:tc>
          <w:tcPr>
            <w:tcW w:type="dxa" w:w="6912"/>
            <w:tcMar>
              <w:top w:w="60" w:type="dxa"/>
              <w:start w:w="80" w:type="dxa"/>
              <w:bottom w:w="60" w:type="dxa"/>
              <w:end w:w="80" w:type="dxa"/>
            </w:tcMar>
            <w:vAlign w:val="top"/>
          </w:tcPr>
          <w:p>
            <w:pPr>
              <w:spacing w:after="0"/>
            </w:pPr>
            <w:r>
              <w:rPr>
                <w:rFonts w:ascii="Carlito" w:hAnsi="Carlito" w:eastAsia="Carlito"/>
                <w:color w:val="1F2933"/>
                <w:sz w:val="16"/>
              </w:rPr>
              <w:t>max(EUR 1e-5/unit, 1e-7 x relevant unit-cost scale)</w:t>
            </w:r>
          </w:p>
        </w:tc>
      </w:tr>
      <w:tr>
        <w:tc>
          <w:tcPr>
            <w:tcW w:type="dxa" w:w="3024"/>
            <w:shd w:fill="F7F8F9" w:val="clear"/>
            <w:tcMar>
              <w:top w:w="60" w:type="dxa"/>
              <w:start w:w="80" w:type="dxa"/>
              <w:bottom w:w="60" w:type="dxa"/>
              <w:end w:w="80" w:type="dxa"/>
            </w:tcMar>
            <w:vAlign w:val="top"/>
          </w:tcPr>
          <w:p>
            <w:pPr>
              <w:spacing w:after="0"/>
            </w:pPr>
            <w:r>
              <w:rPr>
                <w:rFonts w:ascii="Carlito" w:hAnsi="Carlito" w:eastAsia="Carlito"/>
                <w:color w:val="1F2933"/>
                <w:sz w:val="16"/>
              </w:rPr>
              <w:t>Integrality</w:t>
            </w:r>
          </w:p>
        </w:tc>
        <w:tc>
          <w:tcPr>
            <w:tcW w:type="dxa" w:w="6912"/>
            <w:shd w:fill="F7F8F9" w:val="clear"/>
            <w:tcMar>
              <w:top w:w="60" w:type="dxa"/>
              <w:start w:w="80" w:type="dxa"/>
              <w:bottom w:w="60" w:type="dxa"/>
              <w:end w:w="80" w:type="dxa"/>
            </w:tcMar>
            <w:vAlign w:val="top"/>
          </w:tcPr>
          <w:p>
            <w:pPr>
              <w:spacing w:after="0"/>
            </w:pPr>
            <w:r>
              <w:rPr>
                <w:rFonts w:ascii="Carlito" w:hAnsi="Carlito" w:eastAsia="Carlito"/>
                <w:color w:val="1F2933"/>
                <w:sz w:val="16"/>
              </w:rPr>
              <w:t>1e-6 from nearest integer</w:t>
            </w:r>
          </w:p>
        </w:tc>
      </w:tr>
      <w:tr>
        <w:tc>
          <w:tcPr>
            <w:tcW w:type="dxa" w:w="3024"/>
            <w:tcMar>
              <w:top w:w="60" w:type="dxa"/>
              <w:start w:w="80" w:type="dxa"/>
              <w:bottom w:w="60" w:type="dxa"/>
              <w:end w:w="80" w:type="dxa"/>
            </w:tcMar>
            <w:vAlign w:val="top"/>
          </w:tcPr>
          <w:p>
            <w:pPr>
              <w:spacing w:after="0"/>
            </w:pPr>
            <w:r>
              <w:rPr>
                <w:rFonts w:ascii="Carlito" w:hAnsi="Carlito" w:eastAsia="Carlito"/>
                <w:color w:val="1F2933"/>
                <w:sz w:val="16"/>
              </w:rPr>
              <w:t>Bound compliance</w:t>
            </w:r>
          </w:p>
        </w:tc>
        <w:tc>
          <w:tcPr>
            <w:tcW w:type="dxa" w:w="6912"/>
            <w:tcMar>
              <w:top w:w="60" w:type="dxa"/>
              <w:start w:w="80" w:type="dxa"/>
              <w:bottom w:w="60" w:type="dxa"/>
              <w:end w:w="80" w:type="dxa"/>
            </w:tcMar>
            <w:vAlign w:val="top"/>
          </w:tcPr>
          <w:p>
            <w:pPr>
              <w:spacing w:after="0"/>
            </w:pPr>
            <w:r>
              <w:rPr>
                <w:rFonts w:ascii="Carlito" w:hAnsi="Carlito" w:eastAsia="Carlito"/>
                <w:color w:val="1F2933"/>
                <w:sz w:val="16"/>
              </w:rPr>
              <w:t>Same absolute/relative tolerance as the associated quantity, value or cost</w:t>
            </w:r>
          </w:p>
        </w:tc>
      </w:tr>
    </w:tbl>
    <w:p>
      <w:pPr>
        <w:spacing w:after="0"/>
      </w:pPr>
    </w:p>
    <w:p>
      <w:pPr>
        <w:spacing w:after="90"/>
      </w:pPr>
      <w:r>
        <w:t>Final tolerances are frozen in ADR-011 after solver calibration. Display rounding must never be used for machine acceptance.</w:t>
      </w:r>
    </w:p>
    <w:p>
      <w:pPr>
        <w:pStyle w:val="Heading2"/>
      </w:pPr>
      <w:r>
        <w:t>13.8 Release acceptance gate</w:t>
      </w:r>
    </w:p>
    <w:tbl>
      <w:tblPr>
        <w:tblW w:type="auto" w:w="0"/>
        <w:jc w:val="center"/>
        <w:tblLayout w:type="fixed"/>
        <w:tblLook w:firstColumn="1" w:firstRow="1" w:lastColumn="0" w:lastRow="0" w:noHBand="0" w:noVBand="1" w:val="04A0"/>
      </w:tblPr>
      <w:tblGrid>
        <w:gridCol w:w="9936"/>
      </w:tblGrid>
      <w:tr>
        <w:tc>
          <w:tcPr>
            <w:tcW w:type="dxa" w:w="10119"/>
            <w:shd w:fill="FCE8E6" w:val="clear"/>
            <w:tcMar>
              <w:top w:w="100" w:type="dxa"/>
              <w:start w:w="130" w:type="dxa"/>
              <w:bottom w:w="100" w:type="dxa"/>
              <w:end w:w="130" w:type="dxa"/>
            </w:tcMar>
            <w:tcBorders>
              <w:top w:val="nil"/>
              <w:start w:val="single" w:sz="18" w:color="B42318"/>
              <w:bottom w:val="nil"/>
              <w:end w:val="nil"/>
            </w:tcBorders>
          </w:tcPr>
          <w:p>
            <w:pPr>
              <w:spacing w:after="40"/>
            </w:pPr>
            <w:r>
              <w:rPr>
                <w:rFonts w:ascii="Carlito" w:hAnsi="Carlito" w:eastAsia="Carlito"/>
                <w:b/>
                <w:color w:val="B42318"/>
                <w:sz w:val="18"/>
              </w:rPr>
              <w:t>No-release gate</w:t>
            </w:r>
          </w:p>
          <w:p>
            <w:pPr>
              <w:spacing w:after="0"/>
            </w:pPr>
            <w:r>
              <w:rPr>
                <w:rFonts w:ascii="Carlito" w:hAnsi="Carlito" w:eastAsia="Carlito"/>
                <w:color w:val="1F2933"/>
                <w:sz w:val="18"/>
              </w:rPr>
              <w:t>No student release may be built until the miniature fixture, generator, schema validator, fixed-price MILP, recursive-cost reference route and all physical, financial and scenario acceptance checks pass from a clean environment.</w:t>
            </w:r>
          </w:p>
        </w:tc>
      </w:tr>
    </w:tbl>
    <w:p>
      <w:pPr>
        <w:spacing w:after="0"/>
      </w:pPr>
    </w:p>
    <w:p>
      <w:pPr>
        <w:pStyle w:val="Heading1"/>
      </w:pPr>
      <w:r>
        <w:t>14. Student-facing task, application and deliverables</w:t>
      </w:r>
    </w:p>
    <w:p>
      <w:pPr>
        <w:pStyle w:val="Heading2"/>
      </w:pPr>
      <w:r>
        <w:t>14.1 Fixed task statement</w:t>
      </w:r>
    </w:p>
    <w:tbl>
      <w:tblPr>
        <w:tblW w:type="auto" w:w="0"/>
        <w:jc w:val="center"/>
        <w:tblLayout w:type="fixed"/>
        <w:tblLook w:firstColumn="1" w:firstRow="1" w:lastColumn="0" w:lastRow="0" w:noHBand="0" w:noVBand="1" w:val="04A0"/>
      </w:tblPr>
      <w:tblGrid>
        <w:gridCol w:w="9936"/>
      </w:tblGrid>
      <w:tr>
        <w:tc>
          <w:tcPr>
            <w:tcW w:type="dxa" w:w="10119"/>
            <w:shd w:fill="E7F4F2" w:val="clear"/>
            <w:tcMar>
              <w:top w:w="100" w:type="dxa"/>
              <w:start w:w="130" w:type="dxa"/>
              <w:bottom w:w="100" w:type="dxa"/>
              <w:end w:w="130" w:type="dxa"/>
            </w:tcMar>
            <w:tcBorders>
              <w:top w:val="nil"/>
              <w:start w:val="single" w:sz="18" w:color="0B7A75"/>
              <w:bottom w:val="nil"/>
              <w:end w:val="nil"/>
            </w:tcBorders>
          </w:tcPr>
          <w:p>
            <w:pPr>
              <w:spacing w:after="40"/>
            </w:pPr>
            <w:r>
              <w:rPr>
                <w:rFonts w:ascii="Carlito" w:hAnsi="Carlito" w:eastAsia="Carlito"/>
                <w:b/>
                <w:color w:val="0B7A75"/>
                <w:sz w:val="18"/>
              </w:rPr>
              <w:t>Student task</w:t>
            </w:r>
          </w:p>
          <w:p>
            <w:pPr>
              <w:spacing w:after="0"/>
            </w:pPr>
            <w:r>
              <w:rPr>
                <w:rFonts w:ascii="Carlito" w:hAnsi="Carlito" w:eastAsia="Carlito"/>
                <w:color w:val="1F2933"/>
                <w:sz w:val="18"/>
              </w:rPr>
              <w:t>Build an interactive decision-support application that produces and explains a valid 12-week Tier-N sourcing plan for Asterion, compares a fixed-price MILP with an end-to-end recursive-cost model, evaluates disruption scenarios, and recommends an evidence-based resilience intervention.</w:t>
            </w:r>
          </w:p>
        </w:tc>
      </w:tr>
    </w:tbl>
    <w:p>
      <w:pPr>
        <w:spacing w:after="0"/>
      </w:pPr>
    </w:p>
    <w:p>
      <w:pPr>
        <w:pStyle w:val="Heading2"/>
      </w:pPr>
      <w:r>
        <w:t>14.2 Required capabilities</w:t>
      </w:r>
    </w:p>
    <w:p>
      <w:pPr>
        <w:pStyle w:val="ListBullet"/>
        <w:spacing w:after="44"/>
        <w:ind w:left="317" w:hanging="173"/>
      </w:pPr>
      <w:r>
        <w:t>explain the business decision, network and nominated-source operating model;</w:t>
      </w:r>
    </w:p>
    <w:p>
      <w:pPr>
        <w:pStyle w:val="ListBullet"/>
        <w:spacing w:after="44"/>
        <w:ind w:left="317" w:hanging="173"/>
      </w:pPr>
      <w:r>
        <w:t>inspect raw and processed network, material, recipe, contract and cost-policy data;</w:t>
      </w:r>
    </w:p>
    <w:p>
      <w:pPr>
        <w:pStyle w:val="ListBullet"/>
        <w:spacing w:after="44"/>
        <w:ind w:left="317" w:hanging="173"/>
      </w:pPr>
      <w:r>
        <w:t>run or reproduce the BASE fixed-price MILP;</w:t>
      </w:r>
    </w:p>
    <w:p>
      <w:pPr>
        <w:pStyle w:val="ListBullet"/>
        <w:spacing w:after="44"/>
        <w:ind w:left="317" w:hanging="173"/>
      </w:pPr>
      <w:r>
        <w:t>run, submit or retrieve the BASE recursive-cost result;</w:t>
      </w:r>
    </w:p>
    <w:p>
      <w:pPr>
        <w:pStyle w:val="ListBullet"/>
        <w:spacing w:after="44"/>
        <w:ind w:left="317" w:hanging="173"/>
      </w:pPr>
      <w:r>
        <w:t>show physical and financial reconciliation status;</w:t>
      </w:r>
    </w:p>
    <w:p>
      <w:pPr>
        <w:pStyle w:val="ListBullet"/>
        <w:spacing w:after="44"/>
        <w:ind w:left="317" w:hanging="173"/>
      </w:pPr>
      <w:r>
        <w:t>select and evaluate every supplied disruption scenario;</w:t>
      </w:r>
    </w:p>
    <w:p>
      <w:pPr>
        <w:pStyle w:val="ListBullet"/>
        <w:spacing w:after="44"/>
        <w:ind w:left="317" w:hanging="173"/>
      </w:pPr>
      <w:r>
        <w:t>distinguish stress-only evaluation from scenario re-optimisation;</w:t>
      </w:r>
    </w:p>
    <w:p>
      <w:pPr>
        <w:pStyle w:val="ListBullet"/>
        <w:spacing w:after="44"/>
        <w:ind w:left="317" w:hanging="173"/>
      </w:pPr>
      <w:r>
        <w:t>expose meaningful controls for the student-designed resilience intervention;</w:t>
      </w:r>
    </w:p>
    <w:p>
      <w:pPr>
        <w:pStyle w:val="ListBullet"/>
        <w:spacing w:after="44"/>
        <w:ind w:left="317" w:hanging="173"/>
      </w:pPr>
      <w:r>
        <w:t>compare allocation, service, inventory, cost lineage, resilience and solver confidence;</w:t>
      </w:r>
    </w:p>
    <w:p>
      <w:pPr>
        <w:pStyle w:val="ListBullet"/>
        <w:spacing w:after="44"/>
        <w:ind w:left="317" w:hanging="173"/>
      </w:pPr>
      <w:r>
        <w:t>surface infeasibility, stale output, approximation, solver failure and local or time-limited status clearly;</w:t>
      </w:r>
    </w:p>
    <w:p>
      <w:pPr>
        <w:pStyle w:val="ListBullet"/>
        <w:spacing w:after="44"/>
        <w:ind w:left="317" w:hanging="173"/>
      </w:pPr>
      <w:r>
        <w:t>export a customer-usable plan and decision summary.</w:t>
      </w:r>
    </w:p>
    <w:p>
      <w:pPr>
        <w:pStyle w:val="Heading2"/>
      </w:pPr>
      <w:r>
        <w:t>14.3 Required application views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View</w:t>
            </w:r>
          </w:p>
        </w:tc>
        <w:tc>
          <w:tcPr>
            <w:tcW w:type="dxa" w:w="75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Minimum purpose</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Executive overview</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Show service, terminal value, incremental spend, closing inventory, primary risk indicators, solver status and recommendation.</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Tier-N network explorer</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Trace material and value from external source through transformations to plants, with material, supplier, parent, tier, region and scenario filters.</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Input and policy explorer</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Expose demand, capacities, recipes, approvals, contracts, Incoterms abstraction, cost-allocation rules, opening cost basis and known data quality.</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Fixed-price baseline</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Show weekly orders, production, shipments, inventory, service, cost and constraint status.</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Recursive-cost result</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Show node/material pools, weighted-average unit costs, source mix, terminal unit cost and reconciliation.</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Recursive cost waterfall</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Trace one terminal material from external purchase through freight, duty, conversion, setup, overhead, markup and final receipt.</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Baseline comparison</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Explain why allocations or costs differ and what the fixed-price model misses.</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Scenario analysis</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Show stress-only and re-optimised outcomes where available, including service, cost propagation and recourse.</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Resilience design</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Expose the selected measure, intervention and cost-service-resilience trade-off.</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Solver and validation</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Show formulation classification, status, incumbent, bound, gap, starts, runtime, maximum residual and failed checks.</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Decision summary</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State recommended actions, approvals required, assumptions, remaining risks and result confidence.</w:t>
            </w:r>
          </w:p>
        </w:tc>
      </w:tr>
    </w:tbl>
    <w:p>
      <w:pPr>
        <w:spacing w:after="0"/>
      </w:pPr>
    </w:p>
    <w:p>
      <w:pPr>
        <w:pStyle w:val="Heading2"/>
      </w:pPr>
      <w:r>
        <w:t>14.4 Interactive solve behaviour</w:t>
      </w:r>
    </w:p>
    <w:p>
      <w:pPr>
        <w:spacing w:after="90"/>
      </w:pPr>
      <w:r>
        <w:t>The full non-convex solve does not need to block the application user interface. The application may submit an asynchronous job, retrieve the most recent completed run or present precomputed controlled scenarios. It must identify the run version, parameters, generation time and status. Smaller changes may be solved live where the implementation supports them.</w:t>
      </w:r>
    </w:p>
    <w:p>
      <w:pPr>
        <w:pStyle w:val="Heading2"/>
      </w:pPr>
      <w:r>
        <w:t>14.5 Required submission deliverables</w:t>
      </w:r>
    </w:p>
    <w:p>
      <w:pPr>
        <w:pStyle w:val="ListBullet"/>
        <w:spacing w:after="44"/>
        <w:ind w:left="317" w:hanging="173"/>
      </w:pPr>
      <w:r>
        <w:t>interactive local application in Streamlit, React or another supportable framework;</w:t>
      </w:r>
    </w:p>
    <w:p>
      <w:pPr>
        <w:pStyle w:val="ListBullet"/>
        <w:spacing w:after="44"/>
        <w:ind w:left="317" w:hanging="173"/>
      </w:pPr>
      <w:r>
        <w:t>reproducible source repository, dependency lock and one-command scripts;</w:t>
      </w:r>
    </w:p>
    <w:p>
      <w:pPr>
        <w:pStyle w:val="ListBullet"/>
        <w:spacing w:after="44"/>
        <w:ind w:left="317" w:hanging="173"/>
      </w:pPr>
      <w:r>
        <w:t>model specification covering physical, value and objective equations;</w:t>
      </w:r>
    </w:p>
    <w:p>
      <w:pPr>
        <w:pStyle w:val="ListBullet"/>
        <w:spacing w:after="44"/>
        <w:ind w:left="317" w:hanging="173"/>
      </w:pPr>
      <w:r>
        <w:t>solver strategy and bound-construction report;</w:t>
      </w:r>
    </w:p>
    <w:p>
      <w:pPr>
        <w:pStyle w:val="ListBullet"/>
        <w:spacing w:after="44"/>
        <w:ind w:left="317" w:hanging="173"/>
      </w:pPr>
      <w:r>
        <w:t>fixed-price and recursive-cost comparison;</w:t>
      </w:r>
    </w:p>
    <w:p>
      <w:pPr>
        <w:pStyle w:val="ListBullet"/>
        <w:spacing w:after="44"/>
        <w:ind w:left="317" w:hanging="173"/>
      </w:pPr>
      <w:r>
        <w:t>physical and recursive-cost validation report;</w:t>
      </w:r>
    </w:p>
    <w:p>
      <w:pPr>
        <w:pStyle w:val="ListBullet"/>
        <w:spacing w:after="44"/>
        <w:ind w:left="317" w:hanging="173"/>
      </w:pPr>
      <w:r>
        <w:t>scenario and resilience analysis;</w:t>
      </w:r>
    </w:p>
    <w:p>
      <w:pPr>
        <w:pStyle w:val="ListBullet"/>
        <w:spacing w:after="44"/>
        <w:ind w:left="317" w:hanging="173"/>
      </w:pPr>
      <w:r>
        <w:t>standardised machine-readable outputs;</w:t>
      </w:r>
    </w:p>
    <w:p>
      <w:pPr>
        <w:pStyle w:val="ListBullet"/>
        <w:spacing w:after="44"/>
        <w:ind w:left="317" w:hanging="173"/>
      </w:pPr>
      <w:r>
        <w:t>client-style presentation;</w:t>
      </w:r>
    </w:p>
    <w:p>
      <w:pPr>
        <w:pStyle w:val="ListBullet"/>
        <w:spacing w:after="44"/>
        <w:ind w:left="317" w:hanging="173"/>
      </w:pPr>
      <w:r>
        <w:t>assumptions, limitations and production-readiness note;</w:t>
      </w:r>
    </w:p>
    <w:p>
      <w:pPr>
        <w:pStyle w:val="ListBullet"/>
        <w:spacing w:after="44"/>
        <w:ind w:left="317" w:hanging="173"/>
      </w:pPr>
      <w:r>
        <w:t>AI usage disclosure;</w:t>
      </w:r>
    </w:p>
    <w:p>
      <w:pPr>
        <w:pStyle w:val="ListBullet"/>
        <w:spacing w:after="44"/>
        <w:ind w:left="317" w:hanging="173"/>
      </w:pPr>
      <w:r>
        <w:t>participation in the technical defence.</w:t>
      </w:r>
    </w:p>
    <w:p>
      <w:pPr>
        <w:pStyle w:val="Heading2"/>
      </w:pPr>
      <w:r>
        <w:t>14.6 Standard output contract</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4"/>
              </w:rPr>
              <w:t>Output</w:t>
            </w:r>
          </w:p>
        </w:tc>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4"/>
              </w:rPr>
              <w:t>Minimum grain</w:t>
            </w:r>
          </w:p>
        </w:tc>
        <w:tc>
          <w:tcPr>
            <w:tcW w:type="dxa" w:w="5328"/>
            <w:shd w:fill="17365D" w:val="clear"/>
            <w:tcMar>
              <w:top w:w="60" w:type="dxa"/>
              <w:start w:w="80" w:type="dxa"/>
              <w:bottom w:w="60" w:type="dxa"/>
              <w:end w:w="80" w:type="dxa"/>
            </w:tcMar>
            <w:vAlign w:val="center"/>
          </w:tcPr>
          <w:p>
            <w:pPr>
              <w:spacing w:after="0"/>
            </w:pPr>
            <w:r>
              <w:rPr>
                <w:rFonts w:ascii="Carlito" w:hAnsi="Carlito" w:eastAsia="Carlito"/>
                <w:b/>
                <w:color w:val="FFFFFF"/>
                <w:sz w:val="14"/>
              </w:rPr>
              <w:t>Required evidence</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run_metadata.json</w:t>
            </w:r>
          </w:p>
        </w:tc>
        <w:tc>
          <w:tcPr>
            <w:tcW w:type="dxa" w:w="2376"/>
            <w:tcMar>
              <w:top w:w="60" w:type="dxa"/>
              <w:start w:w="80" w:type="dxa"/>
              <w:bottom w:w="60" w:type="dxa"/>
              <w:end w:w="80" w:type="dxa"/>
            </w:tcMar>
            <w:vAlign w:val="top"/>
          </w:tcPr>
          <w:p>
            <w:pPr>
              <w:spacing w:after="0"/>
            </w:pPr>
            <w:r>
              <w:rPr>
                <w:rFonts w:ascii="Carlito" w:hAnsi="Carlito" w:eastAsia="Carlito"/>
                <w:color w:val="1F2933"/>
                <w:sz w:val="14"/>
              </w:rPr>
              <w:t>One record per run</w:t>
            </w:r>
          </w:p>
        </w:tc>
        <w:tc>
          <w:tcPr>
            <w:tcW w:type="dxa" w:w="5328"/>
            <w:tcMar>
              <w:top w:w="60" w:type="dxa"/>
              <w:start w:w="80" w:type="dxa"/>
              <w:bottom w:w="60" w:type="dxa"/>
              <w:end w:w="80" w:type="dxa"/>
            </w:tcMar>
            <w:vAlign w:val="top"/>
          </w:tcPr>
          <w:p>
            <w:pPr>
              <w:spacing w:after="0"/>
            </w:pPr>
            <w:r>
              <w:rPr>
                <w:rFonts w:ascii="Carlito" w:hAnsi="Carlito" w:eastAsia="Carlito"/>
                <w:color w:val="1F2933"/>
                <w:sz w:val="14"/>
              </w:rPr>
              <w:t>Capstone/data/model versions, scenario, run mode, formulation classification, solver, status, objective stages, incumbent, bound, gaps, starts, runtime, hardware and git commit.</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metrics.json</w:t>
            </w:r>
          </w:p>
        </w:tc>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4"/>
              </w:rPr>
              <w:t>One record per run</w:t>
            </w:r>
          </w:p>
        </w:tc>
        <w:tc>
          <w:tcPr>
            <w:tcW w:type="dxa" w:w="5328"/>
            <w:shd w:fill="F7F8F9" w:val="clear"/>
            <w:tcMar>
              <w:top w:w="60" w:type="dxa"/>
              <w:start w:w="80" w:type="dxa"/>
              <w:bottom w:w="60" w:type="dxa"/>
              <w:end w:w="80" w:type="dxa"/>
            </w:tcMar>
            <w:vAlign w:val="top"/>
          </w:tcPr>
          <w:p>
            <w:pPr>
              <w:spacing w:after="0"/>
            </w:pPr>
            <w:r>
              <w:rPr>
                <w:rFonts w:ascii="Carlito" w:hAnsi="Carlito" w:eastAsia="Carlito"/>
                <w:color w:val="1F2933"/>
                <w:sz w:val="14"/>
              </w:rPr>
              <w:t>Service, terminal value, incremental spend, closing inventory, non-capitalised cost, violation counts, maximum residual and student-defined resilience metrics.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orders.csv</w:t>
            </w:r>
          </w:p>
        </w:tc>
        <w:tc>
          <w:tcPr>
            <w:tcW w:type="dxa" w:w="2376"/>
            <w:tcMar>
              <w:top w:w="60" w:type="dxa"/>
              <w:start w:w="80" w:type="dxa"/>
              <w:bottom w:w="60" w:type="dxa"/>
              <w:end w:w="80" w:type="dxa"/>
            </w:tcMar>
            <w:vAlign w:val="top"/>
          </w:tcPr>
          <w:p>
            <w:pPr>
              <w:spacing w:after="0"/>
            </w:pPr>
            <w:r>
              <w:rPr>
                <w:rFonts w:ascii="Carlito" w:hAnsi="Carlito" w:eastAsia="Carlito"/>
                <w:color w:val="1F2933"/>
                <w:sz w:val="14"/>
              </w:rPr>
              <w:t>Contract-material-dispatch period</w:t>
            </w:r>
          </w:p>
        </w:tc>
        <w:tc>
          <w:tcPr>
            <w:tcW w:type="dxa" w:w="5328"/>
            <w:tcMar>
              <w:top w:w="60" w:type="dxa"/>
              <w:start w:w="80" w:type="dxa"/>
              <w:bottom w:w="60" w:type="dxa"/>
              <w:end w:w="80" w:type="dxa"/>
            </w:tcMar>
            <w:vAlign w:val="top"/>
          </w:tcPr>
          <w:p>
            <w:pPr>
              <w:spacing w:after="0"/>
            </w:pPr>
            <w:r>
              <w:rPr>
                <w:rFonts w:ascii="Carlito" w:hAnsi="Carlito" w:eastAsia="Carlito"/>
                <w:color w:val="1F2933"/>
                <w:sz w:val="14"/>
              </w:rPr>
              <w:t>Activation, lots, quantity, external price where applicable, fixed order and horizon activation cost.</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shipments.csv</w:t>
            </w:r>
          </w:p>
        </w:tc>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4"/>
              </w:rPr>
              <w:t>Arc/lane-material-dispatch and arrival period</w:t>
            </w:r>
          </w:p>
        </w:tc>
        <w:tc>
          <w:tcPr>
            <w:tcW w:type="dxa" w:w="5328"/>
            <w:shd w:fill="F7F8F9" w:val="clear"/>
            <w:tcMar>
              <w:top w:w="60" w:type="dxa"/>
              <w:start w:w="80" w:type="dxa"/>
              <w:bottom w:w="60" w:type="dxa"/>
              <w:end w:w="80" w:type="dxa"/>
            </w:tcMar>
            <w:vAlign w:val="top"/>
          </w:tcPr>
          <w:p>
            <w:pPr>
              <w:spacing w:after="0"/>
            </w:pPr>
            <w:r>
              <w:rPr>
                <w:rFonts w:ascii="Carlito" w:hAnsi="Carlito" w:eastAsia="Carlito"/>
                <w:color w:val="1F2933"/>
                <w:sz w:val="14"/>
              </w:rPr>
              <w:t>Quantity, source pool unit cost, dispatched value, freight, duty, insurance, fixed shipment addition and receipt value.</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production.csv</w:t>
            </w:r>
          </w:p>
        </w:tc>
        <w:tc>
          <w:tcPr>
            <w:tcW w:type="dxa" w:w="2376"/>
            <w:tcMar>
              <w:top w:w="60" w:type="dxa"/>
              <w:start w:w="80" w:type="dxa"/>
              <w:bottom w:w="60" w:type="dxa"/>
              <w:end w:w="80" w:type="dxa"/>
            </w:tcMar>
            <w:vAlign w:val="top"/>
          </w:tcPr>
          <w:p>
            <w:pPr>
              <w:spacing w:after="0"/>
            </w:pPr>
            <w:r>
              <w:rPr>
                <w:rFonts w:ascii="Carlito" w:hAnsi="Carlito" w:eastAsia="Carlito"/>
                <w:color w:val="1F2933"/>
                <w:sz w:val="14"/>
              </w:rPr>
              <w:t>Node-recipe-period</w:t>
            </w:r>
          </w:p>
        </w:tc>
        <w:tc>
          <w:tcPr>
            <w:tcW w:type="dxa" w:w="5328"/>
            <w:tcMar>
              <w:top w:w="60" w:type="dxa"/>
              <w:start w:w="80" w:type="dxa"/>
              <w:bottom w:w="60" w:type="dxa"/>
              <w:end w:w="80" w:type="dxa"/>
            </w:tcMar>
            <w:vAlign w:val="top"/>
          </w:tcPr>
          <w:p>
            <w:pPr>
              <w:spacing w:after="0"/>
            </w:pPr>
            <w:r>
              <w:rPr>
                <w:rFonts w:ascii="Carlito" w:hAnsi="Carlito" w:eastAsia="Carlito"/>
                <w:color w:val="1F2933"/>
                <w:sz w:val="14"/>
              </w:rPr>
              <w:t>Output, input quantities and values, yield, regular/surge capacity, conversion, setup, overhead, markup and output value.</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inventory_cost_rollforward.csv</w:t>
            </w:r>
          </w:p>
        </w:tc>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4"/>
              </w:rPr>
              <w:t>Node-material-period</w:t>
            </w:r>
          </w:p>
        </w:tc>
        <w:tc>
          <w:tcPr>
            <w:tcW w:type="dxa" w:w="5328"/>
            <w:shd w:fill="F7F8F9" w:val="clear"/>
            <w:tcMar>
              <w:top w:w="60" w:type="dxa"/>
              <w:start w:w="80" w:type="dxa"/>
              <w:bottom w:w="60" w:type="dxa"/>
              <w:end w:w="80" w:type="dxa"/>
            </w:tcMar>
            <w:vAlign w:val="top"/>
          </w:tcPr>
          <w:p>
            <w:pPr>
              <w:spacing w:after="0"/>
            </w:pPr>
            <w:r>
              <w:rPr>
                <w:rFonts w:ascii="Carlito" w:hAnsi="Carlito" w:eastAsia="Carlito"/>
                <w:color w:val="1F2933"/>
                <w:sz w:val="14"/>
              </w:rPr>
              <w:t>Opening quantity/value, receipts, production, pool quantity/value/unit cost, every outflow and closing quantity/value.</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demand_service.csv</w:t>
            </w:r>
          </w:p>
        </w:tc>
        <w:tc>
          <w:tcPr>
            <w:tcW w:type="dxa" w:w="2376"/>
            <w:tcMar>
              <w:top w:w="60" w:type="dxa"/>
              <w:start w:w="80" w:type="dxa"/>
              <w:bottom w:w="60" w:type="dxa"/>
              <w:end w:w="80" w:type="dxa"/>
            </w:tcMar>
            <w:vAlign w:val="top"/>
          </w:tcPr>
          <w:p>
            <w:pPr>
              <w:spacing w:after="0"/>
            </w:pPr>
            <w:r>
              <w:rPr>
                <w:rFonts w:ascii="Carlito" w:hAnsi="Carlito" w:eastAsia="Carlito"/>
                <w:color w:val="1F2933"/>
                <w:sz w:val="14"/>
              </w:rPr>
              <w:t>Plant-terminal material-period</w:t>
            </w:r>
          </w:p>
        </w:tc>
        <w:tc>
          <w:tcPr>
            <w:tcW w:type="dxa" w:w="5328"/>
            <w:tcMar>
              <w:top w:w="60" w:type="dxa"/>
              <w:start w:w="80" w:type="dxa"/>
              <w:bottom w:w="60" w:type="dxa"/>
              <w:end w:w="80" w:type="dxa"/>
            </w:tcMar>
            <w:vAlign w:val="top"/>
          </w:tcPr>
          <w:p>
            <w:pPr>
              <w:spacing w:after="0"/>
            </w:pPr>
            <w:r>
              <w:rPr>
                <w:rFonts w:ascii="Carlito" w:hAnsi="Carlito" w:eastAsia="Carlito"/>
                <w:color w:val="1F2933"/>
                <w:sz w:val="14"/>
              </w:rPr>
              <w:t>Demand, service, shortage, unit cost and served value.</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cost_component_ledger.csv</w:t>
            </w:r>
          </w:p>
        </w:tc>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4"/>
              </w:rPr>
              <w:t>Cost component-entity-period</w:t>
            </w:r>
          </w:p>
        </w:tc>
        <w:tc>
          <w:tcPr>
            <w:tcW w:type="dxa" w:w="5328"/>
            <w:shd w:fill="F7F8F9" w:val="clear"/>
            <w:tcMar>
              <w:top w:w="60" w:type="dxa"/>
              <w:start w:w="80" w:type="dxa"/>
              <w:bottom w:w="60" w:type="dxa"/>
              <w:end w:w="80" w:type="dxa"/>
            </w:tcMar>
            <w:vAlign w:val="top"/>
          </w:tcPr>
          <w:p>
            <w:pPr>
              <w:spacing w:after="0"/>
            </w:pPr>
            <w:r>
              <w:rPr>
                <w:rFonts w:ascii="Carlito" w:hAnsi="Carlito" w:eastAsia="Carlito"/>
                <w:color w:val="1F2933"/>
                <w:sz w:val="14"/>
              </w:rPr>
              <w:t>Amount, currency/EUR conversion, capitalisation flag, stage, markup eligibility and unique ledger classification.</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cost_lineage.csv</w:t>
            </w:r>
          </w:p>
        </w:tc>
        <w:tc>
          <w:tcPr>
            <w:tcW w:type="dxa" w:w="2376"/>
            <w:tcMar>
              <w:top w:w="60" w:type="dxa"/>
              <w:start w:w="80" w:type="dxa"/>
              <w:bottom w:w="60" w:type="dxa"/>
              <w:end w:w="80" w:type="dxa"/>
            </w:tcMar>
            <w:vAlign w:val="top"/>
          </w:tcPr>
          <w:p>
            <w:pPr>
              <w:spacing w:after="0"/>
            </w:pPr>
            <w:r>
              <w:rPr>
                <w:rFonts w:ascii="Carlito" w:hAnsi="Carlito" w:eastAsia="Carlito"/>
                <w:color w:val="1F2933"/>
                <w:sz w:val="14"/>
              </w:rPr>
              <w:t>Terminal demand-source/value-add contribution</w:t>
            </w:r>
          </w:p>
        </w:tc>
        <w:tc>
          <w:tcPr>
            <w:tcW w:type="dxa" w:w="5328"/>
            <w:tcMar>
              <w:top w:w="60" w:type="dxa"/>
              <w:start w:w="80" w:type="dxa"/>
              <w:bottom w:w="60" w:type="dxa"/>
              <w:end w:w="80" w:type="dxa"/>
            </w:tcMar>
            <w:vAlign w:val="top"/>
          </w:tcPr>
          <w:p>
            <w:pPr>
              <w:spacing w:after="0"/>
            </w:pPr>
            <w:r>
              <w:rPr>
                <w:rFonts w:ascii="Carlito" w:hAnsi="Carlito" w:eastAsia="Carlito"/>
                <w:color w:val="1F2933"/>
                <w:sz w:val="14"/>
              </w:rPr>
              <w:t>Traceable source and value-add contributions to terminal cost.</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recursive_cost_reconciliation.csv</w:t>
            </w:r>
          </w:p>
        </w:tc>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4"/>
              </w:rPr>
              <w:t>Pool or transformation check</w:t>
            </w:r>
          </w:p>
        </w:tc>
        <w:tc>
          <w:tcPr>
            <w:tcW w:type="dxa" w:w="5328"/>
            <w:shd w:fill="F7F8F9" w:val="clear"/>
            <w:tcMar>
              <w:top w:w="60" w:type="dxa"/>
              <w:start w:w="80" w:type="dxa"/>
              <w:bottom w:w="60" w:type="dxa"/>
              <w:end w:w="80" w:type="dxa"/>
            </w:tcMar>
            <w:vAlign w:val="top"/>
          </w:tcPr>
          <w:p>
            <w:pPr>
              <w:spacing w:after="0"/>
            </w:pPr>
            <w:r>
              <w:rPr>
                <w:rFonts w:ascii="Carlito" w:hAnsi="Carlito" w:eastAsia="Carlito"/>
                <w:color w:val="1F2933"/>
                <w:sz w:val="14"/>
              </w:rPr>
              <w:t>Equation identifier, LHS, RHS, absolute residual, relative residual, tolerance and pass flag.</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constraint_report.csv</w:t>
            </w:r>
          </w:p>
        </w:tc>
        <w:tc>
          <w:tcPr>
            <w:tcW w:type="dxa" w:w="2376"/>
            <w:tcMar>
              <w:top w:w="60" w:type="dxa"/>
              <w:start w:w="80" w:type="dxa"/>
              <w:bottom w:w="60" w:type="dxa"/>
              <w:end w:w="80" w:type="dxa"/>
            </w:tcMar>
            <w:vAlign w:val="top"/>
          </w:tcPr>
          <w:p>
            <w:pPr>
              <w:spacing w:after="0"/>
            </w:pPr>
            <w:r>
              <w:rPr>
                <w:rFonts w:ascii="Carlito" w:hAnsi="Carlito" w:eastAsia="Carlito"/>
                <w:color w:val="1F2933"/>
                <w:sz w:val="14"/>
              </w:rPr>
              <w:t>Constraint family-entity-period</w:t>
            </w:r>
          </w:p>
        </w:tc>
        <w:tc>
          <w:tcPr>
            <w:tcW w:type="dxa" w:w="5328"/>
            <w:tcMar>
              <w:top w:w="60" w:type="dxa"/>
              <w:start w:w="80" w:type="dxa"/>
              <w:bottom w:w="60" w:type="dxa"/>
              <w:end w:w="80" w:type="dxa"/>
            </w:tcMar>
            <w:vAlign w:val="top"/>
          </w:tcPr>
          <w:p>
            <w:pPr>
              <w:spacing w:after="0"/>
            </w:pPr>
            <w:r>
              <w:rPr>
                <w:rFonts w:ascii="Carlito" w:hAnsi="Carlito" w:eastAsia="Carlito"/>
                <w:color w:val="1F2933"/>
                <w:sz w:val="14"/>
              </w:rPr>
              <w:t>LHS, sense, RHS, slack, violation, bound and hard/soft classification.</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baseline_comparison.csv</w:t>
            </w:r>
          </w:p>
        </w:tc>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4"/>
              </w:rPr>
              <w:t>Method-scenario</w:t>
            </w:r>
          </w:p>
        </w:tc>
        <w:tc>
          <w:tcPr>
            <w:tcW w:type="dxa" w:w="5328"/>
            <w:shd w:fill="F7F8F9" w:val="clear"/>
            <w:tcMar>
              <w:top w:w="60" w:type="dxa"/>
              <w:start w:w="80" w:type="dxa"/>
              <w:bottom w:w="60" w:type="dxa"/>
              <w:end w:w="80" w:type="dxa"/>
            </w:tcMar>
            <w:vAlign w:val="top"/>
          </w:tcPr>
          <w:p>
            <w:pPr>
              <w:spacing w:after="0"/>
            </w:pPr>
            <w:r>
              <w:rPr>
                <w:rFonts w:ascii="Carlito" w:hAnsi="Carlito" w:eastAsia="Carlito"/>
                <w:color w:val="1F2933"/>
                <w:sz w:val="14"/>
              </w:rPr>
              <w:t>Service, cost, inventory, resilience, formulation class, status, runtime and caveats.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scenario_comparison.csv</w:t>
            </w:r>
          </w:p>
        </w:tc>
        <w:tc>
          <w:tcPr>
            <w:tcW w:type="dxa" w:w="2376"/>
            <w:tcMar>
              <w:top w:w="60" w:type="dxa"/>
              <w:start w:w="80" w:type="dxa"/>
              <w:bottom w:w="60" w:type="dxa"/>
              <w:end w:w="80" w:type="dxa"/>
            </w:tcMar>
            <w:vAlign w:val="top"/>
          </w:tcPr>
          <w:p>
            <w:pPr>
              <w:spacing w:after="0"/>
            </w:pPr>
            <w:r>
              <w:rPr>
                <w:rFonts w:ascii="Carlito" w:hAnsi="Carlito" w:eastAsia="Carlito"/>
                <w:color w:val="1F2933"/>
                <w:sz w:val="14"/>
              </w:rPr>
              <w:t>Plan-scenario-run mode</w:t>
            </w:r>
          </w:p>
        </w:tc>
        <w:tc>
          <w:tcPr>
            <w:tcW w:type="dxa" w:w="5328"/>
            <w:tcMar>
              <w:top w:w="60" w:type="dxa"/>
              <w:start w:w="80" w:type="dxa"/>
              <w:bottom w:w="60" w:type="dxa"/>
              <w:end w:w="80" w:type="dxa"/>
            </w:tcMar>
            <w:vAlign w:val="top"/>
          </w:tcPr>
          <w:p>
            <w:pPr>
              <w:spacing w:after="0"/>
            </w:pPr>
            <w:r>
              <w:rPr>
                <w:rFonts w:ascii="Carlito" w:hAnsi="Carlito" w:eastAsia="Carlito"/>
                <w:color w:val="1F2933"/>
                <w:sz w:val="14"/>
              </w:rPr>
              <w:t>Stress-only and re-optimised business, solver and resilience metrics.</w:t>
            </w:r>
          </w:p>
        </w:tc>
      </w:tr>
    </w:tbl>
    <w:p>
      <w:pPr>
        <w:spacing w:after="0"/>
      </w:pPr>
    </w:p>
    <w:p>
      <w:pPr>
        <w:pStyle w:val="Heading2"/>
      </w:pPr>
      <w:r>
        <w:t>14.7 AI usage disclosure</w:t>
      </w:r>
    </w:p>
    <w:p>
      <w:pPr>
        <w:spacing w:after="90"/>
      </w:pPr>
      <w:r>
        <w:t>AI assistance is expected and should be described as an engineering-control record. AI_USAGE.md must identify tools, workstreams delegated, material modelling proposals generated by AI, checks performed, errors found, approaches rejected and unresolved risks. Prompt transcripts are optional unless the release policy requires selected evidence.</w:t>
      </w:r>
    </w:p>
    <w:tbl>
      <w:tblPr>
        <w:tblW w:type="auto" w:w="0"/>
        <w:jc w:val="center"/>
        <w:tblLayout w:type="fixed"/>
        <w:tblLook w:firstColumn="1" w:firstRow="1" w:lastColumn="0" w:lastRow="0" w:noHBand="0" w:noVBand="1" w:val="04A0"/>
      </w:tblPr>
      <w:tblGrid>
        <w:gridCol w:w="9936"/>
      </w:tblGrid>
      <w:tr>
        <w:tc>
          <w:tcPr>
            <w:tcW w:type="dxa" w:w="10119"/>
            <w:shd w:fill="EAF1F7" w:val="clear"/>
            <w:tcMar>
              <w:top w:w="100" w:type="dxa"/>
              <w:start w:w="130" w:type="dxa"/>
              <w:bottom w:w="100" w:type="dxa"/>
              <w:end w:w="130" w:type="dxa"/>
            </w:tcMar>
            <w:tcBorders>
              <w:top w:val="nil"/>
              <w:start w:val="single" w:sz="18" w:color="2F7D8C"/>
              <w:bottom w:val="nil"/>
              <w:end w:val="nil"/>
            </w:tcBorders>
          </w:tcPr>
          <w:p>
            <w:pPr>
              <w:spacing w:after="40"/>
            </w:pPr>
            <w:r>
              <w:rPr>
                <w:rFonts w:ascii="Carlito" w:hAnsi="Carlito" w:eastAsia="Carlito"/>
                <w:b/>
                <w:color w:val="2F7D8C"/>
                <w:sz w:val="18"/>
              </w:rPr>
              <w:t>Strong evidence example</w:t>
            </w:r>
          </w:p>
          <w:p>
            <w:pPr>
              <w:spacing w:after="0"/>
            </w:pPr>
            <w:r>
              <w:rPr>
                <w:rFonts w:ascii="Carlito" w:hAnsi="Carlito" w:eastAsia="Carlito"/>
                <w:color w:val="1F2933"/>
                <w:sz w:val="18"/>
              </w:rPr>
              <w:t>Codex generated the first pool-valuation constraints. The miniature fixture exposed omission of fixed order cost from receipt value. The consultant corrected the equation, added a regression test and documented the cost-allocation decision.</w:t>
            </w:r>
          </w:p>
        </w:tc>
      </w:tr>
    </w:tbl>
    <w:p>
      <w:pPr>
        <w:spacing w:after="0"/>
      </w:pPr>
    </w:p>
    <w:p>
      <w:pPr>
        <w:pStyle w:val="Heading2"/>
      </w:pPr>
      <w:r>
        <w:t>14.8 Technical defence</w:t>
      </w:r>
    </w:p>
    <w:p>
      <w:pPr>
        <w:spacing w:after="90"/>
      </w:pPr>
      <w:r>
        <w:t>Each consultant should complete a 20-30 minute technical defence. Questions are selected from the submitted evidence and should test ownership rather than unaided memorisation.</w:t>
      </w:r>
    </w:p>
    <w:p>
      <w:pPr>
        <w:pStyle w:val="ListBullet"/>
        <w:spacing w:after="44"/>
        <w:ind w:left="317" w:hanging="173"/>
      </w:pPr>
      <w:r>
        <w:t>explain one quantity pool and one value pool;</w:t>
      </w:r>
    </w:p>
    <w:p>
      <w:pPr>
        <w:pStyle w:val="ListBullet"/>
        <w:spacing w:after="44"/>
        <w:ind w:left="317" w:hanging="173"/>
      </w:pPr>
      <w:r>
        <w:t>trace one terminal unit cost to an external source;</w:t>
      </w:r>
    </w:p>
    <w:p>
      <w:pPr>
        <w:pStyle w:val="ListBullet"/>
        <w:spacing w:after="44"/>
        <w:ind w:left="317" w:hanging="173"/>
      </w:pPr>
      <w:r>
        <w:t>identify a bilinear relationship and explain the resulting non-convexity;</w:t>
      </w:r>
    </w:p>
    <w:p>
      <w:pPr>
        <w:pStyle w:val="ListBullet"/>
        <w:spacing w:after="44"/>
        <w:ind w:left="317" w:hanging="173"/>
      </w:pPr>
      <w:r>
        <w:t>defend one quantity or unit-cost bound;</w:t>
      </w:r>
    </w:p>
    <w:p>
      <w:pPr>
        <w:pStyle w:val="ListBullet"/>
        <w:spacing w:after="44"/>
        <w:ind w:left="317" w:hanging="173"/>
      </w:pPr>
      <w:r>
        <w:t>explain the solver status, incumbent, bound and permitted claim;</w:t>
      </w:r>
    </w:p>
    <w:p>
      <w:pPr>
        <w:pStyle w:val="ListBullet"/>
        <w:spacing w:after="44"/>
        <w:ind w:left="317" w:hanging="173"/>
      </w:pPr>
      <w:r>
        <w:t>describe one anti-gaming control;</w:t>
      </w:r>
    </w:p>
    <w:p>
      <w:pPr>
        <w:pStyle w:val="ListBullet"/>
        <w:spacing w:after="44"/>
        <w:ind w:left="317" w:hanging="173"/>
      </w:pPr>
      <w:r>
        <w:t>explain one resilience intervention and its customer trade-off;</w:t>
      </w:r>
    </w:p>
    <w:p>
      <w:pPr>
        <w:pStyle w:val="ListBullet"/>
        <w:spacing w:after="44"/>
        <w:ind w:left="317" w:hanging="173"/>
      </w:pPr>
      <w:r>
        <w:t>identify an AI-generated proposal that was corrected, rejected or independently verified.</w:t>
      </w:r>
    </w:p>
    <w:p>
      <w:pPr>
        <w:pStyle w:val="Heading2"/>
      </w:pPr>
      <w:r>
        <w:t>14.9 Production-readiness questions</w:t>
      </w:r>
    </w:p>
    <w:p>
      <w:pPr>
        <w:pStyle w:val="ListBullet"/>
        <w:spacing w:after="44"/>
        <w:ind w:left="317" w:hanging="173"/>
      </w:pPr>
      <w:r>
        <w:t>Which systems own external prices, BOMs, conversion costs, markups, contracts, lanes, opening book values and terminal demand?</w:t>
      </w:r>
    </w:p>
    <w:p>
      <w:pPr>
        <w:pStyle w:val="ListBullet"/>
        <w:spacing w:after="44"/>
        <w:ind w:left="317" w:hanging="173"/>
      </w:pPr>
      <w:r>
        <w:t>How would source-system changes and retroactive cost corrections be versioned?</w:t>
      </w:r>
    </w:p>
    <w:p>
      <w:pPr>
        <w:pStyle w:val="ListBullet"/>
        <w:spacing w:after="44"/>
        <w:ind w:left="317" w:hanging="173"/>
      </w:pPr>
      <w:r>
        <w:t>How would the solution reconcile with ERP inventory valuation and supplier open-cost records?</w:t>
      </w:r>
    </w:p>
    <w:p>
      <w:pPr>
        <w:pStyle w:val="ListBullet"/>
        <w:spacing w:after="44"/>
        <w:ind w:left="317" w:hanging="173"/>
      </w:pPr>
      <w:r>
        <w:t>How would long-running MINLP jobs be queued, warmed, monitored, cancelled and surfaced to the application?</w:t>
      </w:r>
    </w:p>
    <w:p>
      <w:pPr>
        <w:pStyle w:val="ListBullet"/>
        <w:spacing w:after="44"/>
        <w:ind w:left="317" w:hanging="173"/>
      </w:pPr>
      <w:r>
        <w:t>What fixed-price MILP or previously approved plan acts as operational fallback?</w:t>
      </w:r>
    </w:p>
    <w:p>
      <w:pPr>
        <w:pStyle w:val="ListBullet"/>
        <w:spacing w:after="44"/>
        <w:ind w:left="317" w:hanging="173"/>
      </w:pPr>
      <w:r>
        <w:t>How would open orders, in-transit value and frozen decisions be added for rolling-horizon use?</w:t>
      </w:r>
    </w:p>
    <w:p>
      <w:pPr>
        <w:pStyle w:val="ListBullet"/>
        <w:spacing w:after="44"/>
        <w:ind w:left="317" w:hanging="173"/>
      </w:pPr>
      <w:r>
        <w:t>How would manual overrides, scenario assumptions and approvals be audited?</w:t>
      </w:r>
    </w:p>
    <w:p>
      <w:pPr>
        <w:pStyle w:val="ListBullet"/>
        <w:spacing w:after="44"/>
        <w:ind w:left="317" w:hanging="173"/>
      </w:pPr>
      <w:r>
        <w:t>How would commercially sensitive supplier cost build-ups be secured?</w:t>
      </w:r>
    </w:p>
    <w:p>
      <w:pPr>
        <w:pStyle w:val="ListBullet"/>
        <w:spacing w:after="44"/>
        <w:ind w:left="317" w:hanging="173"/>
      </w:pPr>
      <w:r>
        <w:t>How would unstable small-pool costs, infeasibility and materially different multi-start solutions be detected?</w:t>
      </w:r>
    </w:p>
    <w:p>
      <w:pPr>
        <w:pStyle w:val="Heading1"/>
      </w:pPr>
      <w:r>
        <w:t>15. Reference implementation and evaluation strategy</w:t>
      </w:r>
    </w:p>
    <w:p>
      <w:pPr>
        <w:pStyle w:val="Heading2"/>
      </w:pPr>
      <w:r>
        <w:t>15.1 Private reference architecture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Area</w:t>
            </w:r>
          </w:p>
        </w:tc>
        <w:tc>
          <w:tcPr>
            <w:tcW w:type="dxa" w:w="75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Reference position</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Language</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Python 3.12 or the approved consultancy runtime.</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Data handling</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Typed schema validation, deterministic scenario views and explicit dimensional checks.</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Algebraic modelling</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Pyomo or an approved equivalent behind a solver-neutral adapter.</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MILP baseline</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HiGHS or another approved, accessible MILP solver.</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Recursive model</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Approved non-convex MINLP/global or local solver route selected through ADR and benchmark evidence.</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Configuration</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Versioned YAML/JSON source of truth for data, cost policy, bounds, scenarios and outputs.</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Testing</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pytest plus deterministic physical, value, cost-ledger and adversarial validators.</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Application evidence</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Reference output readers and fixture visualisations; no private main-case allocation in the student release.</w:t>
            </w:r>
          </w:p>
        </w:tc>
      </w:tr>
    </w:tbl>
    <w:p>
      <w:pPr>
        <w:spacing w:after="0"/>
      </w:pPr>
    </w:p>
    <w:p>
      <w:pPr>
        <w:pStyle w:val="Heading2"/>
      </w:pPr>
      <w:r>
        <w:t>15.2 Solver access and fallback policy</w:t>
      </w:r>
    </w:p>
    <w:p>
      <w:pPr>
        <w:spacing w:after="90"/>
      </w:pPr>
      <w:r>
        <w:t>Before release, the capability owner must provide at least one supported way for every consultant to execute the assessed model or an approved approximation route. This may be a local open-source route, a consultancy-managed container, a remote solver service or a licensed environment with equal access. The release manifest identifies the reference hardware, solver adapter and runtime controls.</w:t>
      </w:r>
    </w:p>
    <w:p>
      <w:pPr>
        <w:spacing w:after="90"/>
      </w:pPr>
      <w:r>
        <w:t>The fixed-price MILP remains the required operational fallback if the recursive solver is unavailable. A student using an approximation is assessed on formulation transparency, reconciliation, quality evidence and honest claims, not on access to a particular commercial solver.</w:t>
      </w:r>
    </w:p>
    <w:p>
      <w:pPr>
        <w:pStyle w:val="Heading2"/>
      </w:pPr>
      <w:r>
        <w:t>15.3 Provisional computational budgets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3168"/>
            <w:shd w:fill="17365D" w:val="clear"/>
            <w:tcMar>
              <w:top w:w="60" w:type="dxa"/>
              <w:start w:w="80" w:type="dxa"/>
              <w:bottom w:w="60" w:type="dxa"/>
              <w:end w:w="80" w:type="dxa"/>
            </w:tcMar>
            <w:vAlign w:val="center"/>
          </w:tcPr>
          <w:p>
            <w:pPr>
              <w:spacing w:after="0"/>
            </w:pPr>
            <w:r>
              <w:rPr>
                <w:rFonts w:ascii="Carlito" w:hAnsi="Carlito" w:eastAsia="Carlito"/>
                <w:b/>
                <w:color w:val="FFFFFF"/>
                <w:sz w:val="16"/>
              </w:rPr>
              <w:t>Run</w:t>
            </w:r>
          </w:p>
        </w:tc>
        <w:tc>
          <w:tcPr>
            <w:tcW w:type="dxa" w:w="6768"/>
            <w:shd w:fill="17365D" w:val="clear"/>
            <w:tcMar>
              <w:top w:w="60" w:type="dxa"/>
              <w:start w:w="80" w:type="dxa"/>
              <w:bottom w:w="60" w:type="dxa"/>
              <w:end w:w="80" w:type="dxa"/>
            </w:tcMar>
            <w:vAlign w:val="center"/>
          </w:tcPr>
          <w:p>
            <w:pPr>
              <w:spacing w:after="0"/>
            </w:pPr>
            <w:r>
              <w:rPr>
                <w:rFonts w:ascii="Carlito" w:hAnsi="Carlito" w:eastAsia="Carlito"/>
                <w:b/>
                <w:color w:val="FFFFFF"/>
                <w:sz w:val="16"/>
              </w:rPr>
              <w:t>Provisional calibration target</w:t>
            </w:r>
          </w:p>
        </w:tc>
      </w:tr>
      <w:tr>
        <w:tc>
          <w:tcPr>
            <w:tcW w:type="dxa" w:w="3168"/>
            <w:tcMar>
              <w:top w:w="60" w:type="dxa"/>
              <w:start w:w="80" w:type="dxa"/>
              <w:bottom w:w="60" w:type="dxa"/>
              <w:end w:w="80" w:type="dxa"/>
            </w:tcMar>
            <w:vAlign w:val="top"/>
          </w:tcPr>
          <w:p>
            <w:pPr>
              <w:spacing w:after="0"/>
            </w:pPr>
            <w:r>
              <w:rPr>
                <w:rFonts w:ascii="Carlito" w:hAnsi="Carlito" w:eastAsia="Carlito"/>
                <w:color w:val="1F2933"/>
                <w:sz w:val="16"/>
              </w:rPr>
              <w:t>Miniature fixture</w:t>
            </w:r>
          </w:p>
        </w:tc>
        <w:tc>
          <w:tcPr>
            <w:tcW w:type="dxa" w:w="6768"/>
            <w:tcMar>
              <w:top w:w="60" w:type="dxa"/>
              <w:start w:w="80" w:type="dxa"/>
              <w:bottom w:w="60" w:type="dxa"/>
              <w:end w:w="80" w:type="dxa"/>
            </w:tcMar>
            <w:vAlign w:val="top"/>
          </w:tcPr>
          <w:p>
            <w:pPr>
              <w:spacing w:after="0"/>
            </w:pPr>
            <w:r>
              <w:rPr>
                <w:rFonts w:ascii="Carlito" w:hAnsi="Carlito" w:eastAsia="Carlito"/>
                <w:color w:val="1F2933"/>
                <w:sz w:val="16"/>
              </w:rPr>
              <w:t>Complete and reconcile within 2 minutes on the reference environment.</w:t>
            </w:r>
          </w:p>
        </w:tc>
      </w:tr>
      <w:tr>
        <w:tc>
          <w:tcPr>
            <w:tcW w:type="dxa" w:w="3168"/>
            <w:shd w:fill="F7F8F9" w:val="clear"/>
            <w:tcMar>
              <w:top w:w="60" w:type="dxa"/>
              <w:start w:w="80" w:type="dxa"/>
              <w:bottom w:w="60" w:type="dxa"/>
              <w:end w:w="80" w:type="dxa"/>
            </w:tcMar>
            <w:vAlign w:val="top"/>
          </w:tcPr>
          <w:p>
            <w:pPr>
              <w:spacing w:after="0"/>
            </w:pPr>
            <w:r>
              <w:rPr>
                <w:rFonts w:ascii="Carlito" w:hAnsi="Carlito" w:eastAsia="Carlito"/>
                <w:color w:val="1F2933"/>
                <w:sz w:val="16"/>
              </w:rPr>
              <w:t>Fixed-price MILP BASE or scenario</w:t>
            </w:r>
          </w:p>
        </w:tc>
        <w:tc>
          <w:tcPr>
            <w:tcW w:type="dxa" w:w="6768"/>
            <w:shd w:fill="F7F8F9" w:val="clear"/>
            <w:tcMar>
              <w:top w:w="60" w:type="dxa"/>
              <w:start w:w="80" w:type="dxa"/>
              <w:bottom w:w="60" w:type="dxa"/>
              <w:end w:w="80" w:type="dxa"/>
            </w:tcMar>
            <w:vAlign w:val="top"/>
          </w:tcPr>
          <w:p>
            <w:pPr>
              <w:spacing w:after="0"/>
            </w:pPr>
            <w:r>
              <w:rPr>
                <w:rFonts w:ascii="Carlito" w:hAnsi="Carlito" w:eastAsia="Carlito"/>
                <w:color w:val="1F2933"/>
                <w:sz w:val="16"/>
              </w:rPr>
              <w:t>Complete within 5 minutes per run.</w:t>
            </w:r>
          </w:p>
        </w:tc>
      </w:tr>
      <w:tr>
        <w:tc>
          <w:tcPr>
            <w:tcW w:type="dxa" w:w="3168"/>
            <w:tcMar>
              <w:top w:w="60" w:type="dxa"/>
              <w:start w:w="80" w:type="dxa"/>
              <w:bottom w:w="60" w:type="dxa"/>
              <w:end w:w="80" w:type="dxa"/>
            </w:tcMar>
            <w:vAlign w:val="top"/>
          </w:tcPr>
          <w:p>
            <w:pPr>
              <w:spacing w:after="0"/>
            </w:pPr>
            <w:r>
              <w:rPr>
                <w:rFonts w:ascii="Carlito" w:hAnsi="Carlito" w:eastAsia="Carlito"/>
                <w:color w:val="1F2933"/>
                <w:sz w:val="16"/>
              </w:rPr>
              <w:t>Recursive BASE</w:t>
            </w:r>
          </w:p>
        </w:tc>
        <w:tc>
          <w:tcPr>
            <w:tcW w:type="dxa" w:w="6768"/>
            <w:tcMar>
              <w:top w:w="60" w:type="dxa"/>
              <w:start w:w="80" w:type="dxa"/>
              <w:bottom w:w="60" w:type="dxa"/>
              <w:end w:w="80" w:type="dxa"/>
            </w:tcMar>
            <w:vAlign w:val="top"/>
          </w:tcPr>
          <w:p>
            <w:pPr>
              <w:spacing w:after="0"/>
            </w:pPr>
            <w:r>
              <w:rPr>
                <w:rFonts w:ascii="Carlito" w:hAnsi="Carlito" w:eastAsia="Carlito"/>
                <w:color w:val="1F2933"/>
                <w:sz w:val="16"/>
              </w:rPr>
              <w:t>Up to three starts; 20 minutes per start; incumbent retained.</w:t>
            </w:r>
          </w:p>
        </w:tc>
      </w:tr>
      <w:tr>
        <w:tc>
          <w:tcPr>
            <w:tcW w:type="dxa" w:w="3168"/>
            <w:shd w:fill="F7F8F9" w:val="clear"/>
            <w:tcMar>
              <w:top w:w="60" w:type="dxa"/>
              <w:start w:w="80" w:type="dxa"/>
              <w:bottom w:w="60" w:type="dxa"/>
              <w:end w:w="80" w:type="dxa"/>
            </w:tcMar>
            <w:vAlign w:val="top"/>
          </w:tcPr>
          <w:p>
            <w:pPr>
              <w:spacing w:after="0"/>
            </w:pPr>
            <w:r>
              <w:rPr>
                <w:rFonts w:ascii="Carlito" w:hAnsi="Carlito" w:eastAsia="Carlito"/>
                <w:color w:val="1F2933"/>
                <w:sz w:val="16"/>
              </w:rPr>
              <w:t>Recursive scenario re-optimisation</w:t>
            </w:r>
          </w:p>
        </w:tc>
        <w:tc>
          <w:tcPr>
            <w:tcW w:type="dxa" w:w="6768"/>
            <w:shd w:fill="F7F8F9" w:val="clear"/>
            <w:tcMar>
              <w:top w:w="60" w:type="dxa"/>
              <w:start w:w="80" w:type="dxa"/>
              <w:bottom w:w="60" w:type="dxa"/>
              <w:end w:w="80" w:type="dxa"/>
            </w:tcMar>
            <w:vAlign w:val="top"/>
          </w:tcPr>
          <w:p>
            <w:pPr>
              <w:spacing w:after="0"/>
            </w:pPr>
            <w:r>
              <w:rPr>
                <w:rFonts w:ascii="Carlito" w:hAnsi="Carlito" w:eastAsia="Carlito"/>
                <w:color w:val="1F2933"/>
                <w:sz w:val="16"/>
              </w:rPr>
              <w:t>One warm-started run of up to 15 minutes per scenario unless the release freezes a different budget.</w:t>
            </w:r>
          </w:p>
        </w:tc>
      </w:tr>
      <w:tr>
        <w:tc>
          <w:tcPr>
            <w:tcW w:type="dxa" w:w="3168"/>
            <w:tcMar>
              <w:top w:w="60" w:type="dxa"/>
              <w:start w:w="80" w:type="dxa"/>
              <w:bottom w:w="60" w:type="dxa"/>
              <w:end w:w="80" w:type="dxa"/>
            </w:tcMar>
            <w:vAlign w:val="top"/>
          </w:tcPr>
          <w:p>
            <w:pPr>
              <w:spacing w:after="0"/>
            </w:pPr>
            <w:r>
              <w:rPr>
                <w:rFonts w:ascii="Carlito" w:hAnsi="Carlito" w:eastAsia="Carlito"/>
                <w:color w:val="1F2933"/>
                <w:sz w:val="16"/>
              </w:rPr>
              <w:t>Application</w:t>
            </w:r>
          </w:p>
        </w:tc>
        <w:tc>
          <w:tcPr>
            <w:tcW w:type="dxa" w:w="6768"/>
            <w:tcMar>
              <w:top w:w="60" w:type="dxa"/>
              <w:start w:w="80" w:type="dxa"/>
              <w:bottom w:w="60" w:type="dxa"/>
              <w:end w:w="80" w:type="dxa"/>
            </w:tcMar>
            <w:vAlign w:val="top"/>
          </w:tcPr>
          <w:p>
            <w:pPr>
              <w:spacing w:after="0"/>
            </w:pPr>
            <w:r>
              <w:rPr>
                <w:rFonts w:ascii="Carlito" w:hAnsi="Carlito" w:eastAsia="Carlito"/>
                <w:color w:val="1F2933"/>
                <w:sz w:val="16"/>
              </w:rPr>
              <w:t>May use stored controlled results; asynchronous jobs must expose state and version.</w:t>
            </w:r>
          </w:p>
        </w:tc>
      </w:tr>
    </w:tbl>
    <w:p>
      <w:pPr>
        <w:spacing w:after="0"/>
      </w:pPr>
    </w:p>
    <w:p>
      <w:pPr>
        <w:spacing w:after="90"/>
      </w:pPr>
      <w:r>
        <w:t>These are implementation targets, not final promises. ADR-010 and the release manifest must freeze budgets after generator and solver calibration.</w:t>
      </w:r>
    </w:p>
    <w:p>
      <w:pPr>
        <w:pStyle w:val="Heading2"/>
      </w:pPr>
      <w:r>
        <w:t>15.4 Reference-result policy</w:t>
      </w:r>
    </w:p>
    <w:p>
      <w:pPr>
        <w:pStyle w:val="ListBullet"/>
        <w:spacing w:after="44"/>
        <w:ind w:left="317" w:hanging="173"/>
      </w:pPr>
      <w:r>
        <w:t>maintain an exact hand-worked miniature result;</w:t>
      </w:r>
    </w:p>
    <w:p>
      <w:pPr>
        <w:pStyle w:val="ListBullet"/>
        <w:spacing w:after="44"/>
        <w:ind w:left="317" w:hanging="173"/>
      </w:pPr>
      <w:r>
        <w:t>maintain exact or certified baseline MILP results;</w:t>
      </w:r>
    </w:p>
    <w:p>
      <w:pPr>
        <w:pStyle w:val="ListBullet"/>
        <w:spacing w:after="44"/>
        <w:ind w:left="317" w:hanging="173"/>
      </w:pPr>
      <w:r>
        <w:t>maintain best-known reconciled recursive results, starts, logs, bounds and gaps;</w:t>
      </w:r>
    </w:p>
    <w:p>
      <w:pPr>
        <w:pStyle w:val="ListBullet"/>
        <w:spacing w:after="44"/>
        <w:ind w:left="317" w:hanging="173"/>
      </w:pPr>
      <w:r>
        <w:t>do not assert global optimality without a certificate;</w:t>
      </w:r>
    </w:p>
    <w:p>
      <w:pPr>
        <w:pStyle w:val="ListBullet"/>
        <w:spacing w:after="44"/>
        <w:ind w:left="317" w:hanging="173"/>
      </w:pPr>
      <w:r>
        <w:t>record alternative optima and tie-break behaviour;</w:t>
      </w:r>
    </w:p>
    <w:p>
      <w:pPr>
        <w:pStyle w:val="ListBullet"/>
        <w:spacing w:after="44"/>
        <w:ind w:left="317" w:hanging="173"/>
      </w:pPr>
      <w:r>
        <w:t>retain expected plausibility bands for business and reconciliation metrics;</w:t>
      </w:r>
    </w:p>
    <w:p>
      <w:pPr>
        <w:pStyle w:val="ListBullet"/>
        <w:spacing w:after="44"/>
        <w:ind w:left="317" w:hanging="173"/>
      </w:pPr>
      <w:r>
        <w:t>preserve solver and hardware metadata for every calibration result.</w:t>
      </w:r>
    </w:p>
    <w:p>
      <w:pPr>
        <w:pStyle w:val="Heading2"/>
      </w:pPr>
      <w:r>
        <w:t>15.5 CAP-001 rubric addendum</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288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Common category</w:t>
            </w:r>
          </w:p>
        </w:tc>
        <w:tc>
          <w:tcPr>
            <w:tcW w:type="dxa" w:w="792"/>
            <w:shd w:fill="17365D" w:val="clear"/>
            <w:tcMar>
              <w:top w:w="60" w:type="dxa"/>
              <w:start w:w="80" w:type="dxa"/>
              <w:bottom w:w="60" w:type="dxa"/>
              <w:end w:w="80" w:type="dxa"/>
            </w:tcMar>
            <w:vAlign w:val="center"/>
          </w:tcPr>
          <w:p>
            <w:pPr>
              <w:spacing w:after="0"/>
            </w:pPr>
            <w:r>
              <w:rPr>
                <w:rFonts w:ascii="Carlito" w:hAnsi="Carlito" w:eastAsia="Carlito"/>
                <w:b/>
                <w:color w:val="FFFFFF"/>
                <w:sz w:val="15"/>
              </w:rPr>
              <w:t>Points</w:t>
            </w:r>
          </w:p>
        </w:tc>
        <w:tc>
          <w:tcPr>
            <w:tcW w:type="dxa" w:w="6264"/>
            <w:shd w:fill="17365D" w:val="clear"/>
            <w:tcMar>
              <w:top w:w="60" w:type="dxa"/>
              <w:start w:w="80" w:type="dxa"/>
              <w:bottom w:w="60" w:type="dxa"/>
              <w:end w:w="80" w:type="dxa"/>
            </w:tcMar>
            <w:vAlign w:val="center"/>
          </w:tcPr>
          <w:p>
            <w:pPr>
              <w:spacing w:after="0"/>
            </w:pPr>
            <w:r>
              <w:rPr>
                <w:rFonts w:ascii="Carlito" w:hAnsi="Carlito" w:eastAsia="Carlito"/>
                <w:b/>
                <w:color w:val="FFFFFF"/>
                <w:sz w:val="15"/>
              </w:rPr>
              <w:t>CAP-001 evidence</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5"/>
              </w:rPr>
              <w:t>Business framing and user value</w:t>
            </w:r>
          </w:p>
        </w:tc>
        <w:tc>
          <w:tcPr>
            <w:tcW w:type="dxa" w:w="792"/>
            <w:tcMar>
              <w:top w:w="60" w:type="dxa"/>
              <w:start w:w="80" w:type="dxa"/>
              <w:bottom w:w="60" w:type="dxa"/>
              <w:end w:w="80" w:type="dxa"/>
            </w:tcMar>
            <w:vAlign w:val="top"/>
          </w:tcPr>
          <w:p>
            <w:pPr>
              <w:spacing w:after="0"/>
            </w:pPr>
            <w:r>
              <w:rPr>
                <w:rFonts w:ascii="Carlito" w:hAnsi="Carlito" w:eastAsia="Carlito"/>
                <w:color w:val="1F2933"/>
                <w:sz w:val="15"/>
              </w:rPr>
              <w:t>8</w:t>
            </w:r>
          </w:p>
        </w:tc>
        <w:tc>
          <w:tcPr>
            <w:tcW w:type="dxa" w:w="6264"/>
            <w:tcMar>
              <w:top w:w="60" w:type="dxa"/>
              <w:start w:w="80" w:type="dxa"/>
              <w:bottom w:w="60" w:type="dxa"/>
              <w:end w:w="80" w:type="dxa"/>
            </w:tcMar>
            <w:vAlign w:val="top"/>
          </w:tcPr>
          <w:p>
            <w:pPr>
              <w:spacing w:after="0"/>
            </w:pPr>
            <w:r>
              <w:rPr>
                <w:rFonts w:ascii="Carlito" w:hAnsi="Carlito" w:eastAsia="Carlito"/>
                <w:color w:val="1F2933"/>
                <w:sz w:val="15"/>
              </w:rPr>
              <w:t>Understands nominated-source workflow, intended user, decision cadence and recommendation.</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5"/>
              </w:rPr>
              <w:t>Data understanding and preparation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5"/>
              </w:rPr>
              <w:t>8</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5"/>
              </w:rPr>
              <w:t>Correct Tier-N joins, units, effective dates, scenario transformations, cost-policy mapping and data-quality treatment.</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5"/>
              </w:rPr>
              <w:t>Mathematical formulation</w:t>
            </w:r>
          </w:p>
        </w:tc>
        <w:tc>
          <w:tcPr>
            <w:tcW w:type="dxa" w:w="792"/>
            <w:tcMar>
              <w:top w:w="60" w:type="dxa"/>
              <w:start w:w="80" w:type="dxa"/>
              <w:bottom w:w="60" w:type="dxa"/>
              <w:end w:w="80" w:type="dxa"/>
            </w:tcMar>
            <w:vAlign w:val="top"/>
          </w:tcPr>
          <w:p>
            <w:pPr>
              <w:spacing w:after="0"/>
            </w:pPr>
            <w:r>
              <w:rPr>
                <w:rFonts w:ascii="Carlito" w:hAnsi="Carlito" w:eastAsia="Carlito"/>
                <w:color w:val="1F2933"/>
                <w:sz w:val="15"/>
              </w:rPr>
              <w:t>16</w:t>
            </w:r>
          </w:p>
        </w:tc>
        <w:tc>
          <w:tcPr>
            <w:tcW w:type="dxa" w:w="6264"/>
            <w:tcMar>
              <w:top w:w="60" w:type="dxa"/>
              <w:start w:w="80" w:type="dxa"/>
              <w:bottom w:w="60" w:type="dxa"/>
              <w:end w:w="80" w:type="dxa"/>
            </w:tcMar>
            <w:vAlign w:val="top"/>
          </w:tcPr>
          <w:p>
            <w:pPr>
              <w:spacing w:after="0"/>
            </w:pPr>
            <w:r>
              <w:rPr>
                <w:rFonts w:ascii="Carlito" w:hAnsi="Carlito" w:eastAsia="Carlito"/>
                <w:color w:val="1F2933"/>
                <w:sz w:val="15"/>
              </w:rPr>
              <w:t>Correct physical flows, integer logic, weighted-average pooling, recursive value, objective hierarchy and bounds.</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5"/>
              </w:rPr>
              <w:t>Method selection and implementation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5"/>
              </w:rPr>
              <w:t>14</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5"/>
              </w:rPr>
              <w:t>Appropriate baseline and MINLP/relaxation/approximation strategy with justified solver controls.</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5"/>
              </w:rPr>
              <w:t>Validation, benchmarking and robustness</w:t>
            </w:r>
          </w:p>
        </w:tc>
        <w:tc>
          <w:tcPr>
            <w:tcW w:type="dxa" w:w="792"/>
            <w:tcMar>
              <w:top w:w="60" w:type="dxa"/>
              <w:start w:w="80" w:type="dxa"/>
              <w:bottom w:w="60" w:type="dxa"/>
              <w:end w:w="80" w:type="dxa"/>
            </w:tcMar>
            <w:vAlign w:val="top"/>
          </w:tcPr>
          <w:p>
            <w:pPr>
              <w:spacing w:after="0"/>
            </w:pPr>
            <w:r>
              <w:rPr>
                <w:rFonts w:ascii="Carlito" w:hAnsi="Carlito" w:eastAsia="Carlito"/>
                <w:color w:val="1F2933"/>
                <w:sz w:val="15"/>
              </w:rPr>
              <w:t>15</w:t>
            </w:r>
          </w:p>
        </w:tc>
        <w:tc>
          <w:tcPr>
            <w:tcW w:type="dxa" w:w="6264"/>
            <w:tcMar>
              <w:top w:w="60" w:type="dxa"/>
              <w:start w:w="80" w:type="dxa"/>
              <w:bottom w:w="60" w:type="dxa"/>
              <w:end w:w="80" w:type="dxa"/>
            </w:tcMar>
            <w:vAlign w:val="top"/>
          </w:tcPr>
          <w:p>
            <w:pPr>
              <w:spacing w:after="0"/>
            </w:pPr>
            <w:r>
              <w:rPr>
                <w:rFonts w:ascii="Carlito" w:hAnsi="Carlito" w:eastAsia="Carlito"/>
                <w:color w:val="1F2933"/>
                <w:sz w:val="15"/>
              </w:rPr>
              <w:t>Fixture, baseline, physical/value reconciliation, anti-gaming tests, scenarios, sensitivity and multi-start evidence.</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5"/>
              </w:rPr>
              <w:t>Interactive application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5"/>
              </w:rPr>
              <w:t>14</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5"/>
              </w:rPr>
              <w:t>Customer-usable network, allocation, cost-lineage, scenario, resilience, solver and failure views.</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5"/>
              </w:rPr>
              <w:t>Software engineering and reproducibility</w:t>
            </w:r>
          </w:p>
        </w:tc>
        <w:tc>
          <w:tcPr>
            <w:tcW w:type="dxa" w:w="792"/>
            <w:tcMar>
              <w:top w:w="60" w:type="dxa"/>
              <w:start w:w="80" w:type="dxa"/>
              <w:bottom w:w="60" w:type="dxa"/>
              <w:end w:w="80" w:type="dxa"/>
            </w:tcMar>
            <w:vAlign w:val="top"/>
          </w:tcPr>
          <w:p>
            <w:pPr>
              <w:spacing w:after="0"/>
            </w:pPr>
            <w:r>
              <w:rPr>
                <w:rFonts w:ascii="Carlito" w:hAnsi="Carlito" w:eastAsia="Carlito"/>
                <w:color w:val="1F2933"/>
                <w:sz w:val="15"/>
              </w:rPr>
              <w:t>10</w:t>
            </w:r>
          </w:p>
        </w:tc>
        <w:tc>
          <w:tcPr>
            <w:tcW w:type="dxa" w:w="6264"/>
            <w:tcMar>
              <w:top w:w="60" w:type="dxa"/>
              <w:start w:w="80" w:type="dxa"/>
              <w:bottom w:w="60" w:type="dxa"/>
              <w:end w:w="80" w:type="dxa"/>
            </w:tcMar>
            <w:vAlign w:val="top"/>
          </w:tcPr>
          <w:p>
            <w:pPr>
              <w:spacing w:after="0"/>
            </w:pPr>
            <w:r>
              <w:rPr>
                <w:rFonts w:ascii="Carlito" w:hAnsi="Carlito" w:eastAsia="Carlito"/>
                <w:color w:val="1F2933"/>
                <w:sz w:val="15"/>
              </w:rPr>
              <w:t>Modular code, isolation of baseline costs, tests, configuration, logging and one-command execution.</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5"/>
              </w:rPr>
              <w:t>Presentation and recommendation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5"/>
              </w:rPr>
              <w:t>7</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5"/>
              </w:rPr>
              <w:t>Clear client narrative, trade-offs, evidence, caveats and permitted claims.</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5"/>
              </w:rPr>
              <w:t>Production readiness and limitations</w:t>
            </w:r>
          </w:p>
        </w:tc>
        <w:tc>
          <w:tcPr>
            <w:tcW w:type="dxa" w:w="792"/>
            <w:tcMar>
              <w:top w:w="60" w:type="dxa"/>
              <w:start w:w="80" w:type="dxa"/>
              <w:bottom w:w="60" w:type="dxa"/>
              <w:end w:w="80" w:type="dxa"/>
            </w:tcMar>
            <w:vAlign w:val="top"/>
          </w:tcPr>
          <w:p>
            <w:pPr>
              <w:spacing w:after="0"/>
            </w:pPr>
            <w:r>
              <w:rPr>
                <w:rFonts w:ascii="Carlito" w:hAnsi="Carlito" w:eastAsia="Carlito"/>
                <w:color w:val="1F2933"/>
                <w:sz w:val="15"/>
              </w:rPr>
              <w:t>5</w:t>
            </w:r>
          </w:p>
        </w:tc>
        <w:tc>
          <w:tcPr>
            <w:tcW w:type="dxa" w:w="6264"/>
            <w:tcMar>
              <w:top w:w="60" w:type="dxa"/>
              <w:start w:w="80" w:type="dxa"/>
              <w:bottom w:w="60" w:type="dxa"/>
              <w:end w:w="80" w:type="dxa"/>
            </w:tcMar>
            <w:vAlign w:val="top"/>
          </w:tcPr>
          <w:p>
            <w:pPr>
              <w:spacing w:after="0"/>
            </w:pPr>
            <w:r>
              <w:rPr>
                <w:rFonts w:ascii="Carlito" w:hAnsi="Carlito" w:eastAsia="Carlito"/>
                <w:color w:val="1F2933"/>
                <w:sz w:val="15"/>
              </w:rPr>
              <w:t>Data ownership, audit, security, scale, async solving, monitoring and fallback.</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5"/>
              </w:rPr>
              <w:t>Technical defence</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5"/>
              </w:rPr>
              <w:t>3</w:t>
            </w:r>
          </w:p>
        </w:tc>
        <w:tc>
          <w:tcPr>
            <w:tcW w:type="dxa" w:w="6264"/>
            <w:shd w:fill="F7F8F9" w:val="clear"/>
            <w:tcMar>
              <w:top w:w="60" w:type="dxa"/>
              <w:start w:w="80" w:type="dxa"/>
              <w:bottom w:w="60" w:type="dxa"/>
              <w:end w:w="80" w:type="dxa"/>
            </w:tcMar>
            <w:vAlign w:val="top"/>
          </w:tcPr>
          <w:p>
            <w:pPr>
              <w:spacing w:after="0"/>
            </w:pPr>
            <w:r>
              <w:rPr>
                <w:rFonts w:ascii="Carlito" w:hAnsi="Carlito" w:eastAsia="Carlito"/>
                <w:color w:val="1F2933"/>
                <w:sz w:val="15"/>
              </w:rPr>
              <w:t>Demonstrates ownership of AI-assisted formulation, validation and result interpretation.</w:t>
            </w:r>
          </w:p>
        </w:tc>
      </w:tr>
    </w:tbl>
    <w:p>
      <w:pPr>
        <w:spacing w:after="0"/>
      </w:pPr>
    </w:p>
    <w:p>
      <w:pPr>
        <w:pStyle w:val="Heading2"/>
      </w:pPr>
      <w:r>
        <w:t>15.6 CAP-001 quality gates</w:t>
      </w:r>
    </w:p>
    <w:p>
      <w:pPr>
        <w:pStyle w:val="ListBullet"/>
        <w:spacing w:after="44"/>
        <w:ind w:left="317" w:hanging="173"/>
      </w:pPr>
      <w:r>
        <w:t>the application launches and identifies the exact run it displays;</w:t>
      </w:r>
    </w:p>
    <w:p>
      <w:pPr>
        <w:pStyle w:val="ListBullet"/>
        <w:spacing w:after="44"/>
        <w:ind w:left="317" w:hanging="173"/>
      </w:pPr>
      <w:r>
        <w:t>raw-data checksums match the release;</w:t>
      </w:r>
    </w:p>
    <w:p>
      <w:pPr>
        <w:pStyle w:val="ListBullet"/>
        <w:spacing w:after="44"/>
        <w:ind w:left="317" w:hanging="173"/>
      </w:pPr>
      <w:r>
        <w:t>the miniature fixture passes;</w:t>
      </w:r>
    </w:p>
    <w:p>
      <w:pPr>
        <w:pStyle w:val="ListBullet"/>
        <w:spacing w:after="44"/>
        <w:ind w:left="317" w:hanging="173"/>
      </w:pPr>
      <w:r>
        <w:t>the fixed-price baseline runs and reconciles physically;</w:t>
      </w:r>
    </w:p>
    <w:p>
      <w:pPr>
        <w:pStyle w:val="ListBullet"/>
        <w:spacing w:after="44"/>
        <w:ind w:left="317" w:hanging="173"/>
      </w:pPr>
      <w:r>
        <w:t>the recursive model produces a defensible reconciled result or transparently reports failure;</w:t>
      </w:r>
    </w:p>
    <w:p>
      <w:pPr>
        <w:pStyle w:val="ListBullet"/>
        <w:spacing w:after="44"/>
        <w:ind w:left="317" w:hanging="173"/>
      </w:pPr>
      <w:r>
        <w:t>no unexplained authoritative intermediate prices enter the recursive model;</w:t>
      </w:r>
    </w:p>
    <w:p>
      <w:pPr>
        <w:pStyle w:val="ListBullet"/>
        <w:spacing w:after="44"/>
        <w:ind w:left="317" w:hanging="173"/>
      </w:pPr>
      <w:r>
        <w:t>hard physical constraints and weighted-average policy checks pass;</w:t>
      </w:r>
    </w:p>
    <w:p>
      <w:pPr>
        <w:pStyle w:val="ListBullet"/>
        <w:spacing w:after="44"/>
        <w:ind w:left="317" w:hanging="173"/>
      </w:pPr>
      <w:r>
        <w:t>presentation claims agree with outputs and solver status;</w:t>
      </w:r>
    </w:p>
    <w:p>
      <w:pPr>
        <w:pStyle w:val="ListBullet"/>
        <w:spacing w:after="44"/>
        <w:ind w:left="317" w:hanging="173"/>
      </w:pPr>
      <w:r>
        <w:t>global optimality is not claimed without a certificate;</w:t>
      </w:r>
    </w:p>
    <w:p>
      <w:pPr>
        <w:pStyle w:val="ListBullet"/>
        <w:spacing w:after="44"/>
        <w:ind w:left="317" w:hanging="173"/>
      </w:pPr>
      <w:r>
        <w:t>AI usage is disclosed and the consultant completes the defence.</w:t>
      </w:r>
    </w:p>
    <w:p>
      <w:r>
        <w:br w:type="page"/>
      </w:r>
    </w:p>
    <w:p>
      <w:pPr>
        <w:pStyle w:val="Heading2"/>
      </w:pPr>
      <w:r>
        <w:t>15.7 Mandatory AI-evaluator flags</w:t>
      </w:r>
    </w:p>
    <w:p>
      <w:pPr>
        <w:pStyle w:val="ListBullet"/>
        <w:spacing w:after="44"/>
        <w:ind w:left="317" w:hanging="173"/>
      </w:pPr>
      <w:r>
        <w:t>intermediate cost treated as unexplained exogenous price;</w:t>
      </w:r>
    </w:p>
    <w:p>
      <w:pPr>
        <w:pStyle w:val="ListBullet"/>
        <w:spacing w:after="44"/>
        <w:ind w:left="317" w:hanging="173"/>
      </w:pPr>
      <w:r>
        <w:t>opening quantity or book value omitted;</w:t>
      </w:r>
    </w:p>
    <w:p>
      <w:pPr>
        <w:pStyle w:val="ListBullet"/>
        <w:spacing w:after="44"/>
        <w:ind w:left="317" w:hanging="173"/>
      </w:pPr>
      <w:r>
        <w:t>weighted-average pooling replaced by selective or average-of-unit-cost logic;</w:t>
      </w:r>
    </w:p>
    <w:p>
      <w:pPr>
        <w:pStyle w:val="ListBullet"/>
        <w:spacing w:after="44"/>
        <w:ind w:left="317" w:hanging="173"/>
      </w:pPr>
      <w:r>
        <w:t>different unit costs assigned to one pool's simultaneous outflows;</w:t>
      </w:r>
    </w:p>
    <w:p>
      <w:pPr>
        <w:pStyle w:val="ListBullet"/>
        <w:spacing w:after="44"/>
        <w:ind w:left="317" w:hanging="173"/>
      </w:pPr>
      <w:r>
        <w:t>missing bilinear cost-quantity link or zero-pool control;</w:t>
      </w:r>
    </w:p>
    <w:p>
      <w:pPr>
        <w:pStyle w:val="ListBullet"/>
        <w:spacing w:after="44"/>
        <w:ind w:left="317" w:hanging="173"/>
      </w:pPr>
      <w:r>
        <w:t>incorrect propagation of freight, duty, insurance, conversion, setup, overhead or markup;</w:t>
      </w:r>
    </w:p>
    <w:p>
      <w:pPr>
        <w:pStyle w:val="ListBullet"/>
        <w:spacing w:after="44"/>
        <w:ind w:left="317" w:hanging="173"/>
      </w:pPr>
      <w:r>
        <w:t>cost lost, duplicated or counted in both capitalised and non-capitalised ledgers;</w:t>
      </w:r>
    </w:p>
    <w:p>
      <w:pPr>
        <w:pStyle w:val="ListBullet"/>
        <w:spacing w:after="44"/>
        <w:ind w:left="317" w:hanging="173"/>
      </w:pPr>
      <w:r>
        <w:t>terminal cost that cannot be reconciled upstream;</w:t>
      </w:r>
    </w:p>
    <w:p>
      <w:pPr>
        <w:pStyle w:val="ListBullet"/>
        <w:spacing w:after="44"/>
        <w:ind w:left="317" w:hanging="173"/>
      </w:pPr>
      <w:r>
        <w:t>weighted-average dilution through surplus inventory;</w:t>
      </w:r>
    </w:p>
    <w:p>
      <w:pPr>
        <w:pStyle w:val="ListBullet"/>
        <w:spacing w:after="44"/>
        <w:ind w:left="317" w:hanging="173"/>
      </w:pPr>
      <w:r>
        <w:t>baseline and recursive models using different physical controls without disclosure;</w:t>
      </w:r>
    </w:p>
    <w:p>
      <w:pPr>
        <w:pStyle w:val="ListBullet"/>
        <w:spacing w:after="44"/>
        <w:ind w:left="317" w:hanging="173"/>
      </w:pPr>
      <w:r>
        <w:t>unsupported optimality or infeasibility claim;</w:t>
      </w:r>
    </w:p>
    <w:p>
      <w:pPr>
        <w:pStyle w:val="ListBullet"/>
        <w:spacing w:after="44"/>
        <w:ind w:left="317" w:hanging="173"/>
      </w:pPr>
      <w:r>
        <w:t>resilience conclusion based on unreconciled physical or financial output.</w:t>
      </w:r>
    </w:p>
    <w:p>
      <w:pPr>
        <w:pStyle w:val="Heading2"/>
      </w:pPr>
      <w:r>
        <w:t>15.8 Human-review triggers</w:t>
      </w:r>
    </w:p>
    <w:p>
      <w:pPr>
        <w:pStyle w:val="ListBullet"/>
        <w:spacing w:after="44"/>
        <w:ind w:left="317" w:hanging="173"/>
      </w:pPr>
      <w:r>
        <w:t>score within three points of pass, distinction or A-star boundary;</w:t>
      </w:r>
    </w:p>
    <w:p>
      <w:pPr>
        <w:pStyle w:val="ListBullet"/>
        <w:spacing w:after="44"/>
        <w:ind w:left="317" w:hanging="173"/>
      </w:pPr>
      <w:r>
        <w:t>deterministic checks conflict with qualitative evidence;</w:t>
      </w:r>
    </w:p>
    <w:p>
      <w:pPr>
        <w:pStyle w:val="ListBullet"/>
        <w:spacing w:after="44"/>
        <w:ind w:left="317" w:hanging="173"/>
      </w:pPr>
      <w:r>
        <w:t>recursive solve fails, has material residuals or uses an unapproved approximation;</w:t>
      </w:r>
    </w:p>
    <w:p>
      <w:pPr>
        <w:pStyle w:val="ListBullet"/>
        <w:spacing w:after="44"/>
        <w:ind w:left="317" w:hanging="173"/>
      </w:pPr>
      <w:r>
        <w:t>large unexplained objective difference from the calibrated range;</w:t>
      </w:r>
    </w:p>
    <w:p>
      <w:pPr>
        <w:pStyle w:val="ListBullet"/>
        <w:spacing w:after="44"/>
        <w:ind w:left="317" w:hanging="173"/>
      </w:pPr>
      <w:r>
        <w:t>strong recommendation based on weak solver confidence;</w:t>
      </w:r>
    </w:p>
    <w:p>
      <w:pPr>
        <w:pStyle w:val="ListBullet"/>
        <w:spacing w:after="44"/>
        <w:ind w:left="317" w:hanging="173"/>
      </w:pPr>
      <w:r>
        <w:t>low AI-evaluator confidence or missing code evidence;</w:t>
      </w:r>
    </w:p>
    <w:p>
      <w:pPr>
        <w:pStyle w:val="ListBullet"/>
        <w:spacing w:after="44"/>
        <w:ind w:left="317" w:hanging="173"/>
      </w:pPr>
      <w:r>
        <w:t>technical defence exposes lack of ownership.</w:t>
      </w:r>
    </w:p>
    <w:p>
      <w:pPr>
        <w:pStyle w:val="Heading1"/>
      </w:pPr>
      <w:r>
        <w:t>16. Codex implementation work packages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4"/>
              </w:rPr>
              <w:t>WP</w:t>
            </w:r>
          </w:p>
        </w:tc>
        <w:tc>
          <w:tcPr>
            <w:tcW w:type="dxa" w:w="3888"/>
            <w:shd w:fill="17365D" w:val="clear"/>
            <w:tcMar>
              <w:top w:w="60" w:type="dxa"/>
              <w:start w:w="80" w:type="dxa"/>
              <w:bottom w:w="60" w:type="dxa"/>
              <w:end w:w="80" w:type="dxa"/>
            </w:tcMar>
            <w:vAlign w:val="center"/>
          </w:tcPr>
          <w:p>
            <w:pPr>
              <w:spacing w:after="0"/>
            </w:pPr>
            <w:r>
              <w:rPr>
                <w:rFonts w:ascii="Carlito" w:hAnsi="Carlito" w:eastAsia="Carlito"/>
                <w:b/>
                <w:color w:val="FFFFFF"/>
                <w:sz w:val="14"/>
              </w:rPr>
              <w:t>Primary outputs</w:t>
            </w:r>
          </w:p>
        </w:tc>
        <w:tc>
          <w:tcPr>
            <w:tcW w:type="dxa" w:w="3816"/>
            <w:shd w:fill="17365D" w:val="clear"/>
            <w:tcMar>
              <w:top w:w="60" w:type="dxa"/>
              <w:start w:w="80" w:type="dxa"/>
              <w:bottom w:w="60" w:type="dxa"/>
              <w:end w:w="80" w:type="dxa"/>
            </w:tcMar>
            <w:vAlign w:val="center"/>
          </w:tcPr>
          <w:p>
            <w:pPr>
              <w:spacing w:after="0"/>
            </w:pPr>
            <w:r>
              <w:rPr>
                <w:rFonts w:ascii="Carlito" w:hAnsi="Carlito" w:eastAsia="Carlito"/>
                <w:b/>
                <w:color w:val="FFFFFF"/>
                <w:sz w:val="14"/>
              </w:rPr>
              <w:t>Acceptance condition</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WP1 - Decision configuration and schemas</w:t>
            </w:r>
          </w:p>
        </w:tc>
        <w:tc>
          <w:tcPr>
            <w:tcW w:type="dxa" w:w="3888"/>
            <w:tcMar>
              <w:top w:w="60" w:type="dxa"/>
              <w:start w:w="80" w:type="dxa"/>
              <w:bottom w:w="60" w:type="dxa"/>
              <w:end w:w="80" w:type="dxa"/>
            </w:tcMar>
            <w:vAlign w:val="top"/>
          </w:tcPr>
          <w:p>
            <w:pPr>
              <w:spacing w:after="0"/>
            </w:pPr>
            <w:r>
              <w:rPr>
                <w:rFonts w:ascii="Carlito" w:hAnsi="Carlito" w:eastAsia="Carlito"/>
                <w:color w:val="1F2933"/>
                <w:sz w:val="14"/>
              </w:rPr>
              <w:t>Repository skeleton, shared configuration model, schema and dictionary generators.</w:t>
            </w:r>
          </w:p>
        </w:tc>
        <w:tc>
          <w:tcPr>
            <w:tcW w:type="dxa" w:w="3816"/>
            <w:tcMar>
              <w:top w:w="60" w:type="dxa"/>
              <w:start w:w="80" w:type="dxa"/>
              <w:bottom w:w="60" w:type="dxa"/>
              <w:end w:w="80" w:type="dxa"/>
            </w:tcMar>
            <w:vAlign w:val="top"/>
          </w:tcPr>
          <w:p>
            <w:pPr>
              <w:spacing w:after="0"/>
            </w:pPr>
            <w:r>
              <w:rPr>
                <w:rFonts w:ascii="Carlito" w:hAnsi="Carlito" w:eastAsia="Carlito"/>
                <w:color w:val="1F2933"/>
                <w:sz w:val="14"/>
              </w:rPr>
              <w:t>Configuration emits empty valid raw and output contracts and records all frozen policies.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WP2 - Miniature fixture</w:t>
            </w:r>
          </w:p>
        </w:tc>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4"/>
              </w:rPr>
              <w:t>Five-period four-tier fixture, hand calculation, expected outputs and negative variants.</w:t>
            </w:r>
          </w:p>
        </w:tc>
        <w:tc>
          <w:tcPr>
            <w:tcW w:type="dxa" w:w="3816"/>
            <w:shd w:fill="F7F8F9" w:val="clear"/>
            <w:tcMar>
              <w:top w:w="60" w:type="dxa"/>
              <w:start w:w="80" w:type="dxa"/>
              <w:bottom w:w="60" w:type="dxa"/>
              <w:end w:w="80" w:type="dxa"/>
            </w:tcMar>
            <w:vAlign w:val="top"/>
          </w:tcPr>
          <w:p>
            <w:pPr>
              <w:spacing w:after="0"/>
            </w:pPr>
            <w:r>
              <w:rPr>
                <w:rFonts w:ascii="Carlito" w:hAnsi="Carlito" w:eastAsia="Carlito"/>
                <w:color w:val="1F2933"/>
                <w:sz w:val="14"/>
              </w:rPr>
              <w:t>Quantity, value, objective and anti-gaming checks reproduce expected results.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WP3 - Solver proof of concept</w:t>
            </w:r>
          </w:p>
        </w:tc>
        <w:tc>
          <w:tcPr>
            <w:tcW w:type="dxa" w:w="3888"/>
            <w:tcMar>
              <w:top w:w="60" w:type="dxa"/>
              <w:start w:w="80" w:type="dxa"/>
              <w:bottom w:w="60" w:type="dxa"/>
              <w:end w:w="80" w:type="dxa"/>
            </w:tcMar>
            <w:vAlign w:val="top"/>
          </w:tcPr>
          <w:p>
            <w:pPr>
              <w:spacing w:after="0"/>
            </w:pPr>
            <w:r>
              <w:rPr>
                <w:rFonts w:ascii="Carlito" w:hAnsi="Carlito" w:eastAsia="Carlito"/>
                <w:color w:val="1F2933"/>
                <w:sz w:val="14"/>
              </w:rPr>
              <w:t>MILP baseline and at least one bounded recursive-model adapter.</w:t>
            </w:r>
          </w:p>
        </w:tc>
        <w:tc>
          <w:tcPr>
            <w:tcW w:type="dxa" w:w="3816"/>
            <w:tcMar>
              <w:top w:w="60" w:type="dxa"/>
              <w:start w:w="80" w:type="dxa"/>
              <w:bottom w:w="60" w:type="dxa"/>
              <w:end w:w="80" w:type="dxa"/>
            </w:tcMar>
            <w:vAlign w:val="top"/>
          </w:tcPr>
          <w:p>
            <w:pPr>
              <w:spacing w:after="0"/>
            </w:pPr>
            <w:r>
              <w:rPr>
                <w:rFonts w:ascii="Carlito" w:hAnsi="Carlito" w:eastAsia="Carlito"/>
                <w:color w:val="1F2933"/>
                <w:sz w:val="14"/>
              </w:rPr>
              <w:t>Fixture solves and reconciles; status, bound/gap and logs are captured.</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WP4 - Tier-N graph generation</w:t>
            </w:r>
          </w:p>
        </w:tc>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4"/>
              </w:rPr>
              <w:t>Organisations, nodes, materials, recipes, inputs, approvals and graph validators.</w:t>
            </w:r>
          </w:p>
        </w:tc>
        <w:tc>
          <w:tcPr>
            <w:tcW w:type="dxa" w:w="3816"/>
            <w:shd w:fill="F7F8F9" w:val="clear"/>
            <w:tcMar>
              <w:top w:w="60" w:type="dxa"/>
              <w:start w:w="80" w:type="dxa"/>
              <w:bottom w:w="60" w:type="dxa"/>
              <w:end w:w="80" w:type="dxa"/>
            </w:tcMar>
            <w:vAlign w:val="top"/>
          </w:tcPr>
          <w:p>
            <w:pPr>
              <w:spacing w:after="0"/>
            </w:pPr>
            <w:r>
              <w:rPr>
                <w:rFonts w:ascii="Carlito" w:hAnsi="Carlito" w:eastAsia="Carlito"/>
                <w:color w:val="1F2933"/>
                <w:sz w:val="14"/>
              </w:rPr>
              <w:t>DAG is connected, acyclic and contains controlled multi-sourcing and hidden dependencies.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WP5 - Commercial and cost generation</w:t>
            </w:r>
          </w:p>
        </w:tc>
        <w:tc>
          <w:tcPr>
            <w:tcW w:type="dxa" w:w="3888"/>
            <w:tcMar>
              <w:top w:w="60" w:type="dxa"/>
              <w:start w:w="80" w:type="dxa"/>
              <w:bottom w:w="60" w:type="dxa"/>
              <w:end w:w="80" w:type="dxa"/>
            </w:tcMar>
            <w:vAlign w:val="top"/>
          </w:tcPr>
          <w:p>
            <w:pPr>
              <w:spacing w:after="0"/>
            </w:pPr>
            <w:r>
              <w:rPr>
                <w:rFonts w:ascii="Carlito" w:hAnsi="Carlito" w:eastAsia="Carlito"/>
                <w:color w:val="1F2933"/>
                <w:sz w:val="14"/>
              </w:rPr>
              <w:t>Contracts, lanes, external prices, conversion costs, cost rules, FX, duty and bounds.</w:t>
            </w:r>
          </w:p>
        </w:tc>
        <w:tc>
          <w:tcPr>
            <w:tcW w:type="dxa" w:w="3816"/>
            <w:tcMar>
              <w:top w:w="60" w:type="dxa"/>
              <w:start w:w="80" w:type="dxa"/>
              <w:bottom w:w="60" w:type="dxa"/>
              <w:end w:w="80" w:type="dxa"/>
            </w:tcMar>
            <w:vAlign w:val="top"/>
          </w:tcPr>
          <w:p>
            <w:pPr>
              <w:spacing w:after="0"/>
            </w:pPr>
            <w:r>
              <w:rPr>
                <w:rFonts w:ascii="Carlito" w:hAnsi="Carlito" w:eastAsia="Carlito"/>
                <w:color w:val="1F2933"/>
                <w:sz w:val="14"/>
              </w:rPr>
              <w:t>Every cost is classified once and theoretical envelopes are finite.</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WP6 - Planning facts and scenarios</w:t>
            </w:r>
          </w:p>
        </w:tc>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4"/>
              </w:rPr>
              <w:t>Capacity, inventory policy/book value, demand, history, incidents and scenario impacts.</w:t>
            </w:r>
          </w:p>
        </w:tc>
        <w:tc>
          <w:tcPr>
            <w:tcW w:type="dxa" w:w="3816"/>
            <w:shd w:fill="F7F8F9" w:val="clear"/>
            <w:tcMar>
              <w:top w:w="60" w:type="dxa"/>
              <w:start w:w="80" w:type="dxa"/>
              <w:bottom w:w="60" w:type="dxa"/>
              <w:end w:w="80" w:type="dxa"/>
            </w:tcMar>
            <w:vAlign w:val="top"/>
          </w:tcPr>
          <w:p>
            <w:pPr>
              <w:spacing w:after="0"/>
            </w:pPr>
            <w:r>
              <w:rPr>
                <w:rFonts w:ascii="Carlito" w:hAnsi="Carlito" w:eastAsia="Carlito"/>
                <w:color w:val="1F2933"/>
                <w:sz w:val="14"/>
              </w:rPr>
              <w:t>BASE physical feasibility and scenario transformation tests pass.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WP7 - Reference models</w:t>
            </w:r>
          </w:p>
        </w:tc>
        <w:tc>
          <w:tcPr>
            <w:tcW w:type="dxa" w:w="3888"/>
            <w:tcMar>
              <w:top w:w="60" w:type="dxa"/>
              <w:start w:w="80" w:type="dxa"/>
              <w:bottom w:w="60" w:type="dxa"/>
              <w:end w:w="80" w:type="dxa"/>
            </w:tcMar>
            <w:vAlign w:val="top"/>
          </w:tcPr>
          <w:p>
            <w:pPr>
              <w:spacing w:after="0"/>
            </w:pPr>
            <w:r>
              <w:rPr>
                <w:rFonts w:ascii="Carlito" w:hAnsi="Carlito" w:eastAsia="Carlito"/>
                <w:color w:val="1F2933"/>
                <w:sz w:val="14"/>
              </w:rPr>
              <w:t>Fixed-price MILP, recursive-cost model, standard outputs and reconciliation.</w:t>
            </w:r>
          </w:p>
        </w:tc>
        <w:tc>
          <w:tcPr>
            <w:tcW w:type="dxa" w:w="3816"/>
            <w:tcMar>
              <w:top w:w="60" w:type="dxa"/>
              <w:start w:w="80" w:type="dxa"/>
              <w:bottom w:w="60" w:type="dxa"/>
              <w:end w:w="80" w:type="dxa"/>
            </w:tcMar>
            <w:vAlign w:val="top"/>
          </w:tcPr>
          <w:p>
            <w:pPr>
              <w:spacing w:after="0"/>
            </w:pPr>
            <w:r>
              <w:rPr>
                <w:rFonts w:ascii="Carlito" w:hAnsi="Carlito" w:eastAsia="Carlito"/>
                <w:color w:val="1F2933"/>
                <w:sz w:val="14"/>
              </w:rPr>
              <w:t>BASE reaches zero shortage; both models produce explainably different decisions.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WP8 - Calibration and adversarial tests</w:t>
            </w:r>
          </w:p>
        </w:tc>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4"/>
              </w:rPr>
              <w:t>Bounds, starts, runtime, plausibility bands, dilution, double-count and leak tests.</w:t>
            </w:r>
          </w:p>
        </w:tc>
        <w:tc>
          <w:tcPr>
            <w:tcW w:type="dxa" w:w="3816"/>
            <w:shd w:fill="F7F8F9" w:val="clear"/>
            <w:tcMar>
              <w:top w:w="60" w:type="dxa"/>
              <w:start w:w="80" w:type="dxa"/>
              <w:bottom w:w="60" w:type="dxa"/>
              <w:end w:w="80" w:type="dxa"/>
            </w:tcMar>
            <w:vAlign w:val="top"/>
          </w:tcPr>
          <w:p>
            <w:pPr>
              <w:spacing w:after="0"/>
            </w:pPr>
            <w:r>
              <w:rPr>
                <w:rFonts w:ascii="Carlito" w:hAnsi="Carlito" w:eastAsia="Carlito"/>
                <w:color w:val="1F2933"/>
                <w:sz w:val="14"/>
              </w:rPr>
              <w:t>Reference results are stable enough for release and negative tests fail correctly.</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4"/>
              </w:rPr>
              <w:t>WP9 - Student release and application contract</w:t>
            </w:r>
          </w:p>
        </w:tc>
        <w:tc>
          <w:tcPr>
            <w:tcW w:type="dxa" w:w="3888"/>
            <w:tcMar>
              <w:top w:w="60" w:type="dxa"/>
              <w:start w:w="80" w:type="dxa"/>
              <w:bottom w:w="60" w:type="dxa"/>
              <w:end w:w="80" w:type="dxa"/>
            </w:tcMar>
            <w:vAlign w:val="top"/>
          </w:tcPr>
          <w:p>
            <w:pPr>
              <w:spacing w:after="0"/>
            </w:pPr>
            <w:r>
              <w:rPr>
                <w:rFonts w:ascii="Carlito" w:hAnsi="Carlito" w:eastAsia="Carlito"/>
                <w:color w:val="1F2933"/>
                <w:sz w:val="14"/>
              </w:rPr>
              <w:t>Brief, dictionaries, cost policy, fixture, checksums, templates and output schemas.</w:t>
            </w:r>
          </w:p>
        </w:tc>
        <w:tc>
          <w:tcPr>
            <w:tcW w:type="dxa" w:w="3816"/>
            <w:tcMar>
              <w:top w:w="60" w:type="dxa"/>
              <w:start w:w="80" w:type="dxa"/>
              <w:bottom w:w="60" w:type="dxa"/>
              <w:end w:w="80" w:type="dxa"/>
            </w:tcMar>
            <w:vAlign w:val="top"/>
          </w:tcPr>
          <w:p>
            <w:pPr>
              <w:spacing w:after="0"/>
            </w:pPr>
            <w:r>
              <w:rPr>
                <w:rFonts w:ascii="Carlito" w:hAnsi="Carlito" w:eastAsia="Carlito"/>
                <w:color w:val="1F2933"/>
                <w:sz w:val="14"/>
              </w:rPr>
              <w:t>No private seed or main-case reference result leaks.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4"/>
              </w:rPr>
              <w:t>WP10 - Evaluation harness</w:t>
            </w:r>
          </w:p>
        </w:tc>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4"/>
              </w:rPr>
              <w:t>Submission runner, deterministic checks, evidence collector, AI prompt and defence guide.</w:t>
            </w:r>
          </w:p>
        </w:tc>
        <w:tc>
          <w:tcPr>
            <w:tcW w:type="dxa" w:w="3816"/>
            <w:shd w:fill="F7F8F9" w:val="clear"/>
            <w:tcMar>
              <w:top w:w="60" w:type="dxa"/>
              <w:start w:w="80" w:type="dxa"/>
              <w:bottom w:w="60" w:type="dxa"/>
              <w:end w:w="80" w:type="dxa"/>
            </w:tcMar>
            <w:vAlign w:val="top"/>
          </w:tcPr>
          <w:p>
            <w:pPr>
              <w:spacing w:after="0"/>
            </w:pPr>
            <w:r>
              <w:rPr>
                <w:rFonts w:ascii="Carlito" w:hAnsi="Carlito" w:eastAsia="Carlito"/>
                <w:color w:val="1F2933"/>
                <w:sz w:val="14"/>
              </w:rPr>
              <w:t>Strong, weak and deliberately defective sample submissions score reproducibly.</w:t>
            </w:r>
          </w:p>
        </w:tc>
      </w:tr>
    </w:tbl>
    <w:p>
      <w:pPr>
        <w:spacing w:after="0"/>
      </w:pPr>
    </w:p>
    <w:p>
      <w:pPr>
        <w:pStyle w:val="Heading2"/>
      </w:pPr>
      <w:r>
        <w:t>16.1 Suggested source-of-truth configuration</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capstone_id: CAP-001</w:t>
              <w:br/>
              <w:t>version: 0.3.0</w:t>
              <w:br/>
              <w:t>organisation: asterion_industrial_controls</w:t>
              <w:br/>
              <w:t>base_currency: EUR</w:t>
              <w:br/>
              <w:t>planning_periods:</w:t>
              <w:br/>
              <w:t xml:space="preserve">  start: 2027-01-04</w:t>
              <w:br/>
              <w:t xml:space="preserve">  weeks: 12</w:t>
              <w:br/>
              <w:t>network:</w:t>
              <w:br/>
              <w:t xml:space="preserve">  schema: TIER_N_DAG</w:t>
              <w:br/>
              <w:t xml:space="preserve">  release_instance_tiers: 4</w:t>
              <w:br/>
              <w:t xml:space="preserve">  pooling_policy: WEIGHTED_AVERAGE</w:t>
              <w:br/>
              <w:t xml:space="preserve">  include_open_orders: false</w:t>
              <w:br/>
              <w:t xml:space="preserve">  include_in_transit: false</w:t>
              <w:br/>
              <w:t>model:</w:t>
              <w:br/>
              <w:t xml:space="preserve">  assessed_class: NONCONVEX_MINLP</w:t>
              <w:br/>
              <w:t xml:space="preserve">  baseline_class: MILP</w:t>
              <w:br/>
              <w:t xml:space="preserve">  service_objective: LEXICOGRAPHIC</w:t>
              <w:br/>
              <w:t xml:space="preserve">  require_exact_recursive_policy: true</w:t>
              <w:br/>
              <w:t xml:space="preserve">  allow_declared_approximation: true</w:t>
              <w:br/>
              <w:t xml:space="preserve">  include_moq: true</w:t>
              <w:br/>
              <w:t xml:space="preserve">  include_order_multiples: true</w:t>
              <w:br/>
              <w:t xml:space="preserve">  include_fixed_order_costs: true</w:t>
              <w:br/>
              <w:t xml:space="preserve">  include_activation_decisions: true</w:t>
              <w:br/>
              <w:t>cost_policy:</w:t>
              <w:br/>
              <w:t xml:space="preserve">  opening_book_value_in_pool: true</w:t>
              <w:br/>
              <w:t xml:space="preserve">  report_incremental_spend: true</w:t>
              <w:br/>
              <w:t xml:space="preserve">  terminal_inventory_value_in_stage_2: true</w:t>
              <w:br/>
              <w:t xml:space="preserve">  prohibit_post_horizon_arrivals: true</w:t>
              <w:br/>
              <w:t>scenarios: [BASE, SCN-01, SCN-02, SCN-03, SCN-04, SCN-05]</w:t>
            </w:r>
          </w:p>
        </w:tc>
      </w:tr>
    </w:tbl>
    <w:p>
      <w:pPr>
        <w:spacing w:after="0"/>
      </w:pPr>
    </w:p>
    <w:p>
      <w:pPr>
        <w:pStyle w:val="Heading1"/>
      </w:pPr>
      <w:r>
        <w:t>17. Architecture and modelling decision log</w:t>
      </w:r>
    </w:p>
    <w:p>
      <w:pPr>
        <w:pStyle w:val="Heading2"/>
      </w:pPr>
      <w:r>
        <w:t>17.1 Required ADR sequence</w:t>
      </w:r>
    </w:p>
    <w:p>
      <w:pPr>
        <w:spacing w:after="50"/>
        <w:ind w:left="317" w:hanging="317"/>
      </w:pPr>
      <w:r>
        <w:rPr>
          <w:b/>
        </w:rPr>
        <w:t xml:space="preserve">1. </w:t>
      </w:r>
      <w:r>
        <w:t>ADR-001 - Business narrative and Tier-N/four-tier release scope.</w:t>
      </w:r>
    </w:p>
    <w:p>
      <w:pPr>
        <w:spacing w:after="50"/>
        <w:ind w:left="317" w:hanging="317"/>
      </w:pPr>
      <w:r>
        <w:rPr>
          <w:b/>
        </w:rPr>
        <w:t xml:space="preserve">2. </w:t>
      </w:r>
      <w:r>
        <w:t>ADR-002 - Tier-neutral network, transformation graph and time semantics.</w:t>
      </w:r>
    </w:p>
    <w:p>
      <w:pPr>
        <w:spacing w:after="50"/>
        <w:ind w:left="317" w:hanging="317"/>
      </w:pPr>
      <w:r>
        <w:rPr>
          <w:b/>
        </w:rPr>
        <w:t xml:space="preserve">3. </w:t>
      </w:r>
      <w:r>
        <w:t>ADR-003 - Weighted-average pooling and opening inventory cost basis.</w:t>
      </w:r>
    </w:p>
    <w:p>
      <w:pPr>
        <w:spacing w:after="50"/>
        <w:ind w:left="317" w:hanging="317"/>
      </w:pPr>
      <w:r>
        <w:rPr>
          <w:b/>
        </w:rPr>
        <w:t xml:space="preserve">4. </w:t>
      </w:r>
      <w:r>
        <w:t>ADR-004 - Recursive production, shipment and receipt value equations.</w:t>
      </w:r>
    </w:p>
    <w:p>
      <w:pPr>
        <w:spacing w:after="50"/>
        <w:ind w:left="317" w:hanging="317"/>
      </w:pPr>
      <w:r>
        <w:rPr>
          <w:b/>
        </w:rPr>
        <w:t xml:space="preserve">5. </w:t>
      </w:r>
      <w:r>
        <w:t>ADR-005 - Capitalised versus non-capitalised cost and no-double-count policy.</w:t>
      </w:r>
    </w:p>
    <w:p>
      <w:pPr>
        <w:spacing w:after="50"/>
        <w:ind w:left="317" w:hanging="317"/>
      </w:pPr>
      <w:r>
        <w:rPr>
          <w:b/>
        </w:rPr>
        <w:t xml:space="preserve">6. </w:t>
      </w:r>
      <w:r>
        <w:t>ADR-006 - Objective hierarchy, terminal inventory and anti-dilution treatment.</w:t>
      </w:r>
    </w:p>
    <w:p>
      <w:pPr>
        <w:spacing w:after="50"/>
        <w:ind w:left="317" w:hanging="317"/>
      </w:pPr>
      <w:r>
        <w:rPr>
          <w:b/>
        </w:rPr>
        <w:t xml:space="preserve">7. </w:t>
      </w:r>
      <w:r>
        <w:t>ADR-007 - MOQ, lots, activation, setup, fixed cost and capacity formulation.</w:t>
      </w:r>
    </w:p>
    <w:p>
      <w:pPr>
        <w:spacing w:after="50"/>
        <w:ind w:left="317" w:hanging="317"/>
      </w:pPr>
      <w:r>
        <w:rPr>
          <w:b/>
        </w:rPr>
        <w:t xml:space="preserve">8. </w:t>
      </w:r>
      <w:r>
        <w:t>ADR-008 - Scenario transformation, targeting, overlap and recovery semantics.</w:t>
      </w:r>
    </w:p>
    <w:p>
      <w:pPr>
        <w:spacing w:after="50"/>
        <w:ind w:left="317" w:hanging="317"/>
      </w:pPr>
      <w:r>
        <w:rPr>
          <w:b/>
        </w:rPr>
        <w:t xml:space="preserve">9. </w:t>
      </w:r>
      <w:r>
        <w:t>ADR-009 - Synthetic graph, cost distributions, trade-offs and bound construction.</w:t>
      </w:r>
    </w:p>
    <w:p>
      <w:pPr>
        <w:spacing w:after="50"/>
        <w:ind w:left="317" w:hanging="317"/>
      </w:pPr>
      <w:r>
        <w:rPr>
          <w:b/>
        </w:rPr>
        <w:t xml:space="preserve">10. </w:t>
      </w:r>
      <w:r>
        <w:t>ADR-010 - Reference solver, starts, tolerances, runtime, access and fallback.</w:t>
      </w:r>
    </w:p>
    <w:p>
      <w:pPr>
        <w:spacing w:after="50"/>
        <w:ind w:left="317" w:hanging="317"/>
      </w:pPr>
      <w:r>
        <w:rPr>
          <w:b/>
        </w:rPr>
        <w:t xml:space="preserve">11. </w:t>
      </w:r>
      <w:r>
        <w:t>ADR-011 - Output schemas, reconciliation tolerances, precision and rounding.</w:t>
      </w:r>
    </w:p>
    <w:p>
      <w:pPr>
        <w:spacing w:after="50"/>
        <w:ind w:left="317" w:hanging="317"/>
      </w:pPr>
      <w:r>
        <w:rPr>
          <w:b/>
        </w:rPr>
        <w:t xml:space="preserve">12. </w:t>
      </w:r>
      <w:r>
        <w:t>ADR-012 - Student approximation, solver-access and technical-defence policy.</w:t>
      </w:r>
    </w:p>
    <w:p>
      <w:pPr>
        <w:pStyle w:val="Heading2"/>
      </w:pPr>
      <w:r>
        <w:t>17.2 Remaining calibration decisions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880"/>
            <w:shd w:fill="17365D" w:val="clear"/>
            <w:tcMar>
              <w:top w:w="60" w:type="dxa"/>
              <w:start w:w="80" w:type="dxa"/>
              <w:bottom w:w="60" w:type="dxa"/>
              <w:end w:w="80" w:type="dxa"/>
            </w:tcMar>
            <w:vAlign w:val="center"/>
          </w:tcPr>
          <w:p>
            <w:pPr>
              <w:spacing w:after="0"/>
            </w:pPr>
            <w:r>
              <w:rPr>
                <w:rFonts w:ascii="Carlito" w:hAnsi="Carlito" w:eastAsia="Carlito"/>
                <w:b/>
                <w:color w:val="FFFFFF"/>
                <w:sz w:val="16"/>
              </w:rPr>
              <w:t>Decision</w:t>
            </w:r>
          </w:p>
        </w:tc>
        <w:tc>
          <w:tcPr>
            <w:tcW w:type="dxa" w:w="7056"/>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Required resolution before release</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6"/>
              </w:rPr>
              <w:t>Exact entity counts</w:t>
            </w:r>
          </w:p>
        </w:tc>
        <w:tc>
          <w:tcPr>
            <w:tcW w:type="dxa" w:w="7056"/>
            <w:tcMar>
              <w:top w:w="60" w:type="dxa"/>
              <w:start w:w="80" w:type="dxa"/>
              <w:bottom w:w="60" w:type="dxa"/>
              <w:end w:w="80" w:type="dxa"/>
            </w:tcMar>
            <w:vAlign w:val="top"/>
          </w:tcPr>
          <w:p>
            <w:pPr>
              <w:spacing w:after="0"/>
            </w:pPr>
            <w:r>
              <w:rPr>
                <w:rFonts w:ascii="Carlito" w:hAnsi="Carlito" w:eastAsia="Carlito"/>
                <w:color w:val="1F2933"/>
                <w:sz w:val="16"/>
              </w:rPr>
              <w:t>Counts within approved ranges after runtime profiling.</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6"/>
              </w:rPr>
              <w:t>Material and recipe catalogue</w:t>
            </w:r>
          </w:p>
        </w:tc>
        <w:tc>
          <w:tcPr>
            <w:tcW w:type="dxa" w:w="7056"/>
            <w:shd w:fill="F7F8F9" w:val="clear"/>
            <w:tcMar>
              <w:top w:w="60" w:type="dxa"/>
              <w:start w:w="80" w:type="dxa"/>
              <w:bottom w:w="60" w:type="dxa"/>
              <w:end w:w="80" w:type="dxa"/>
            </w:tcMar>
            <w:vAlign w:val="top"/>
          </w:tcPr>
          <w:p>
            <w:pPr>
              <w:spacing w:after="0"/>
            </w:pPr>
            <w:r>
              <w:rPr>
                <w:rFonts w:ascii="Carlito" w:hAnsi="Carlito" w:eastAsia="Carlito"/>
                <w:color w:val="1F2933"/>
                <w:sz w:val="16"/>
              </w:rPr>
              <w:t>Final names, stages, UOMs, coefficients, yields and lineage coverage.</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6"/>
              </w:rPr>
              <w:t>Direct fixed-cost allocation</w:t>
            </w:r>
          </w:p>
        </w:tc>
        <w:tc>
          <w:tcPr>
            <w:tcW w:type="dxa" w:w="7056"/>
            <w:tcMar>
              <w:top w:w="60" w:type="dxa"/>
              <w:start w:w="80" w:type="dxa"/>
              <w:bottom w:w="60" w:type="dxa"/>
              <w:end w:w="80" w:type="dxa"/>
            </w:tcMar>
            <w:vAlign w:val="top"/>
          </w:tcPr>
          <w:p>
            <w:pPr>
              <w:spacing w:after="0"/>
            </w:pPr>
            <w:r>
              <w:rPr>
                <w:rFonts w:ascii="Carlito" w:hAnsi="Carlito" w:eastAsia="Carlito"/>
                <w:color w:val="1F2933"/>
                <w:sz w:val="16"/>
              </w:rPr>
              <w:t>Exact rules for order versus shipment cost and receiving-pool allocation.</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6"/>
              </w:rPr>
              <w:t>Holding and terminal policy</w:t>
            </w:r>
          </w:p>
        </w:tc>
        <w:tc>
          <w:tcPr>
            <w:tcW w:type="dxa" w:w="7056"/>
            <w:shd w:fill="F7F8F9" w:val="clear"/>
            <w:tcMar>
              <w:top w:w="60" w:type="dxa"/>
              <w:start w:w="80" w:type="dxa"/>
              <w:bottom w:w="60" w:type="dxa"/>
              <w:end w:w="80" w:type="dxa"/>
            </w:tcMar>
            <w:vAlign w:val="top"/>
          </w:tcPr>
          <w:p>
            <w:pPr>
              <w:spacing w:after="0"/>
            </w:pPr>
            <w:r>
              <w:rPr>
                <w:rFonts w:ascii="Carlito" w:hAnsi="Carlito" w:eastAsia="Carlito"/>
                <w:color w:val="1F2933"/>
                <w:sz w:val="16"/>
              </w:rPr>
              <w:t>Exact holding coefficients, safety-stock treatment and any P12 targets.</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6"/>
              </w:rPr>
              <w:t>Recipe alternatives</w:t>
            </w:r>
          </w:p>
        </w:tc>
        <w:tc>
          <w:tcPr>
            <w:tcW w:type="dxa" w:w="7056"/>
            <w:tcMar>
              <w:top w:w="60" w:type="dxa"/>
              <w:start w:w="80" w:type="dxa"/>
              <w:bottom w:w="60" w:type="dxa"/>
              <w:end w:w="80" w:type="dxa"/>
            </w:tcMar>
            <w:vAlign w:val="top"/>
          </w:tcPr>
          <w:p>
            <w:pPr>
              <w:spacing w:after="0"/>
            </w:pPr>
            <w:r>
              <w:rPr>
                <w:rFonts w:ascii="Carlito" w:hAnsi="Carlito" w:eastAsia="Carlito"/>
                <w:color w:val="1F2933"/>
                <w:sz w:val="16"/>
              </w:rPr>
              <w:t>Which groups blend and which require exclusivity.</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6"/>
              </w:rPr>
              <w:t>Bounds</w:t>
            </w:r>
          </w:p>
        </w:tc>
        <w:tc>
          <w:tcPr>
            <w:tcW w:type="dxa" w:w="7056"/>
            <w:shd w:fill="F7F8F9" w:val="clear"/>
            <w:tcMar>
              <w:top w:w="60" w:type="dxa"/>
              <w:start w:w="80" w:type="dxa"/>
              <w:bottom w:w="60" w:type="dxa"/>
              <w:end w:w="80" w:type="dxa"/>
            </w:tcMar>
            <w:vAlign w:val="top"/>
          </w:tcPr>
          <w:p>
            <w:pPr>
              <w:spacing w:after="0"/>
            </w:pPr>
            <w:r>
              <w:rPr>
                <w:rFonts w:ascii="Carlito" w:hAnsi="Carlito" w:eastAsia="Carlito"/>
                <w:color w:val="1F2933"/>
                <w:sz w:val="16"/>
              </w:rPr>
              <w:t>Final propagation safety margins, epsilon and validation thresholds.</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6"/>
              </w:rPr>
              <w:t>Reference solver</w:t>
            </w:r>
          </w:p>
        </w:tc>
        <w:tc>
          <w:tcPr>
            <w:tcW w:type="dxa" w:w="7056"/>
            <w:tcMar>
              <w:top w:w="60" w:type="dxa"/>
              <w:start w:w="80" w:type="dxa"/>
              <w:bottom w:w="60" w:type="dxa"/>
              <w:end w:w="80" w:type="dxa"/>
            </w:tcMar>
            <w:vAlign w:val="top"/>
          </w:tcPr>
          <w:p>
            <w:pPr>
              <w:spacing w:after="0"/>
            </w:pPr>
            <w:r>
              <w:rPr>
                <w:rFonts w:ascii="Carlito" w:hAnsi="Carlito" w:eastAsia="Carlito"/>
                <w:color w:val="1F2933"/>
                <w:sz w:val="16"/>
              </w:rPr>
              <w:t>Approved adapter, licence/access route, deterministic settings and log requirements.</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6"/>
              </w:rPr>
              <w:t>Gap and runtime policy</w:t>
            </w:r>
          </w:p>
        </w:tc>
        <w:tc>
          <w:tcPr>
            <w:tcW w:type="dxa" w:w="7056"/>
            <w:shd w:fill="F7F8F9" w:val="clear"/>
            <w:tcMar>
              <w:top w:w="60" w:type="dxa"/>
              <w:start w:w="80" w:type="dxa"/>
              <w:bottom w:w="60" w:type="dxa"/>
              <w:end w:w="80" w:type="dxa"/>
            </w:tcMar>
            <w:vAlign w:val="top"/>
          </w:tcPr>
          <w:p>
            <w:pPr>
              <w:spacing w:after="0"/>
            </w:pPr>
            <w:r>
              <w:rPr>
                <w:rFonts w:ascii="Carlito" w:hAnsi="Carlito" w:eastAsia="Carlito"/>
                <w:color w:val="1F2933"/>
                <w:sz w:val="16"/>
              </w:rPr>
              <w:t>Accepted main-case quality threshold and scenario fallback behaviour.</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6"/>
              </w:rPr>
              <w:t>Scenario coefficients</w:t>
            </w:r>
          </w:p>
        </w:tc>
        <w:tc>
          <w:tcPr>
            <w:tcW w:type="dxa" w:w="7056"/>
            <w:tcMar>
              <w:top w:w="60" w:type="dxa"/>
              <w:start w:w="80" w:type="dxa"/>
              <w:bottom w:w="60" w:type="dxa"/>
              <w:end w:w="80" w:type="dxa"/>
            </w:tcMar>
            <w:vAlign w:val="top"/>
          </w:tcPr>
          <w:p>
            <w:pPr>
              <w:spacing w:after="0"/>
            </w:pPr>
            <w:r>
              <w:rPr>
                <w:rFonts w:ascii="Carlito" w:hAnsi="Carlito" w:eastAsia="Carlito"/>
                <w:color w:val="1F2933"/>
                <w:sz w:val="16"/>
              </w:rPr>
              <w:t>Exact targets, periods, multipliers, replacement rules and recovery rows.</w:t>
            </w:r>
          </w:p>
        </w:tc>
      </w:tr>
      <w:tr>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6"/>
              </w:rPr>
              <w:t>Output precision</w:t>
            </w:r>
          </w:p>
        </w:tc>
        <w:tc>
          <w:tcPr>
            <w:tcW w:type="dxa" w:w="7056"/>
            <w:shd w:fill="F7F8F9" w:val="clear"/>
            <w:tcMar>
              <w:top w:w="60" w:type="dxa"/>
              <w:start w:w="80" w:type="dxa"/>
              <w:bottom w:w="60" w:type="dxa"/>
              <w:end w:w="80" w:type="dxa"/>
            </w:tcMar>
            <w:vAlign w:val="top"/>
          </w:tcPr>
          <w:p>
            <w:pPr>
              <w:spacing w:after="0"/>
            </w:pPr>
            <w:r>
              <w:rPr>
                <w:rFonts w:ascii="Carlito" w:hAnsi="Carlito" w:eastAsia="Carlito"/>
                <w:color w:val="1F2933"/>
                <w:sz w:val="16"/>
              </w:rPr>
              <w:t>Machine precision, customer rounding and empty-case behaviour.</w:t>
            </w:r>
          </w:p>
        </w:tc>
      </w:tr>
      <w:tr>
        <w:tc>
          <w:tcPr>
            <w:tcW w:type="dxa" w:w="2880"/>
            <w:tcMar>
              <w:top w:w="60" w:type="dxa"/>
              <w:start w:w="80" w:type="dxa"/>
              <w:bottom w:w="60" w:type="dxa"/>
              <w:end w:w="80" w:type="dxa"/>
            </w:tcMar>
            <w:vAlign w:val="top"/>
          </w:tcPr>
          <w:p>
            <w:pPr>
              <w:spacing w:after="0"/>
            </w:pPr>
            <w:r>
              <w:rPr>
                <w:rFonts w:ascii="Carlito" w:hAnsi="Carlito" w:eastAsia="Carlito"/>
                <w:color w:val="1F2933"/>
                <w:sz w:val="16"/>
              </w:rPr>
              <w:t>Assessment policy</w:t>
            </w:r>
          </w:p>
        </w:tc>
        <w:tc>
          <w:tcPr>
            <w:tcW w:type="dxa" w:w="7056"/>
            <w:tcMar>
              <w:top w:w="60" w:type="dxa"/>
              <w:start w:w="80" w:type="dxa"/>
              <w:bottom w:w="60" w:type="dxa"/>
              <w:end w:w="80" w:type="dxa"/>
            </w:tcMar>
            <w:vAlign w:val="top"/>
          </w:tcPr>
          <w:p>
            <w:pPr>
              <w:spacing w:after="0"/>
            </w:pPr>
            <w:r>
              <w:rPr>
                <w:rFonts w:ascii="Carlito" w:hAnsi="Carlito" w:eastAsia="Carlito"/>
                <w:color w:val="1F2933"/>
                <w:sz w:val="16"/>
              </w:rPr>
              <w:t>Quality-gate consequences, partial credit, boundary review and resubmission.</w:t>
            </w:r>
          </w:p>
        </w:tc>
      </w:tr>
    </w:tbl>
    <w:p>
      <w:pPr>
        <w:spacing w:after="0"/>
      </w:pPr>
    </w:p>
    <w:p>
      <w:pPr>
        <w:pStyle w:val="Heading2"/>
      </w:pPr>
      <w:r>
        <w:t>17.3 Configuration authority</w:t>
      </w:r>
    </w:p>
    <w:tbl>
      <w:tblPr>
        <w:tblW w:type="auto" w:w="0"/>
        <w:jc w:val="center"/>
        <w:tblLayout w:type="fixed"/>
        <w:tblLook w:firstColumn="1" w:firstRow="1" w:lastColumn="0" w:lastRow="0" w:noHBand="0" w:noVBand="1" w:val="04A0"/>
      </w:tblPr>
      <w:tblGrid>
        <w:gridCol w:w="9936"/>
      </w:tblGrid>
      <w:tr>
        <w:tc>
          <w:tcPr>
            <w:tcW w:type="dxa" w:w="10119"/>
            <w:shd w:fill="FFF4D6" w:val="clear"/>
            <w:tcMar>
              <w:top w:w="100" w:type="dxa"/>
              <w:start w:w="130" w:type="dxa"/>
              <w:bottom w:w="100" w:type="dxa"/>
              <w:end w:w="130" w:type="dxa"/>
            </w:tcMar>
            <w:tcBorders>
              <w:top w:val="nil"/>
              <w:start w:val="single" w:sz="18" w:color="C58A00"/>
              <w:bottom w:val="nil"/>
              <w:end w:val="nil"/>
            </w:tcBorders>
          </w:tcPr>
          <w:p>
            <w:pPr>
              <w:spacing w:after="40"/>
            </w:pPr>
            <w:r>
              <w:rPr>
                <w:rFonts w:ascii="Carlito" w:hAnsi="Carlito" w:eastAsia="Carlito"/>
                <w:b/>
                <w:color w:val="C58A00"/>
                <w:sz w:val="18"/>
              </w:rPr>
              <w:t>Single-source requirement</w:t>
            </w:r>
          </w:p>
          <w:p>
            <w:pPr>
              <w:spacing w:after="0"/>
            </w:pPr>
            <w:r>
              <w:rPr>
                <w:rFonts w:ascii="Carlito" w:hAnsi="Carlito" w:eastAsia="Carlito"/>
                <w:color w:val="1F2933"/>
                <w:sz w:val="18"/>
              </w:rPr>
              <w:t>The approved ADRs must flow into one machine-readable decision configuration. The data dictionary, generator, reference models, student brief, validators and evaluator should consume or verify against that source. Undocumented model semantics must not live only in code.</w:t>
            </w:r>
          </w:p>
        </w:tc>
      </w:tr>
    </w:tbl>
    <w:p>
      <w:pPr>
        <w:spacing w:after="0"/>
      </w:pPr>
    </w:p>
    <w:p>
      <w:pPr>
        <w:pStyle w:val="Heading1"/>
      </w:pPr>
      <w:r>
        <w:t>18. Change control and precedence</w:t>
      </w:r>
    </w:p>
    <w:p>
      <w:pPr>
        <w:spacing w:after="90"/>
      </w:pPr>
      <w:r>
        <w:t>Version 0.3 supersedes the v0.2 two-tier, exogenous-intermediate-price MILP design for CAP-001 implementation. The former design may be retained in archive for traceability and as background to the fixed-price comparator. It is not the assessed end-to-end cost model.</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3024"/>
            <w:shd w:fill="17365D" w:val="clear"/>
            <w:tcMar>
              <w:top w:w="60" w:type="dxa"/>
              <w:start w:w="80" w:type="dxa"/>
              <w:bottom w:w="60" w:type="dxa"/>
              <w:end w:w="80" w:type="dxa"/>
            </w:tcMar>
            <w:vAlign w:val="center"/>
          </w:tcPr>
          <w:p>
            <w:pPr>
              <w:spacing w:after="0"/>
            </w:pPr>
            <w:r>
              <w:rPr>
                <w:rFonts w:ascii="Carlito" w:hAnsi="Carlito" w:eastAsia="Carlito"/>
                <w:b/>
                <w:color w:val="FFFFFF"/>
                <w:sz w:val="16"/>
              </w:rPr>
              <w:t>Artefact</w:t>
            </w:r>
          </w:p>
        </w:tc>
        <w:tc>
          <w:tcPr>
            <w:tcW w:type="dxa" w:w="6912"/>
            <w:shd w:fill="17365D" w:val="clear"/>
            <w:tcMar>
              <w:top w:w="60" w:type="dxa"/>
              <w:start w:w="80" w:type="dxa"/>
              <w:bottom w:w="60" w:type="dxa"/>
              <w:end w:w="80" w:type="dxa"/>
            </w:tcMar>
            <w:vAlign w:val="center"/>
          </w:tcPr>
          <w:p>
            <w:pPr>
              <w:spacing w:after="0"/>
            </w:pPr>
            <w:r>
              <w:rPr>
                <w:rFonts w:ascii="Carlito" w:hAnsi="Carlito" w:eastAsia="Carlito"/>
                <w:b/>
                <w:color w:val="FFFFFF"/>
                <w:sz w:val="16"/>
              </w:rPr>
              <w:t>Precedence</w:t>
            </w:r>
          </w:p>
        </w:tc>
      </w:tr>
      <w:tr>
        <w:tc>
          <w:tcPr>
            <w:tcW w:type="dxa" w:w="3024"/>
            <w:tcMar>
              <w:top w:w="60" w:type="dxa"/>
              <w:start w:w="80" w:type="dxa"/>
              <w:bottom w:w="60" w:type="dxa"/>
              <w:end w:w="80" w:type="dxa"/>
            </w:tcMar>
            <w:vAlign w:val="top"/>
          </w:tcPr>
          <w:p>
            <w:pPr>
              <w:spacing w:after="0"/>
            </w:pPr>
            <w:r>
              <w:rPr>
                <w:rFonts w:ascii="Carlito" w:hAnsi="Carlito" w:eastAsia="Carlito"/>
                <w:color w:val="1F2933"/>
                <w:sz w:val="16"/>
              </w:rPr>
              <w:t>Approved CAP-001 v0.3 specification</w:t>
            </w:r>
          </w:p>
        </w:tc>
        <w:tc>
          <w:tcPr>
            <w:tcW w:type="dxa" w:w="6912"/>
            <w:tcMar>
              <w:top w:w="60" w:type="dxa"/>
              <w:start w:w="80" w:type="dxa"/>
              <w:bottom w:w="60" w:type="dxa"/>
              <w:end w:w="80" w:type="dxa"/>
            </w:tcMar>
            <w:vAlign w:val="top"/>
          </w:tcPr>
          <w:p>
            <w:pPr>
              <w:spacing w:after="0"/>
            </w:pPr>
            <w:r>
              <w:rPr>
                <w:rFonts w:ascii="Carlito" w:hAnsi="Carlito" w:eastAsia="Carlito"/>
                <w:color w:val="1F2933"/>
                <w:sz w:val="16"/>
              </w:rPr>
              <w:t>Governs business, network, model, data, output and assessment semantics.</w:t>
            </w:r>
          </w:p>
        </w:tc>
      </w:tr>
      <w:tr>
        <w:tc>
          <w:tcPr>
            <w:tcW w:type="dxa" w:w="3024"/>
            <w:shd w:fill="F7F8F9" w:val="clear"/>
            <w:tcMar>
              <w:top w:w="60" w:type="dxa"/>
              <w:start w:w="80" w:type="dxa"/>
              <w:bottom w:w="60" w:type="dxa"/>
              <w:end w:w="80" w:type="dxa"/>
            </w:tcMar>
            <w:vAlign w:val="top"/>
          </w:tcPr>
          <w:p>
            <w:pPr>
              <w:spacing w:after="0"/>
            </w:pPr>
            <w:r>
              <w:rPr>
                <w:rFonts w:ascii="Carlito" w:hAnsi="Carlito" w:eastAsia="Carlito"/>
                <w:color w:val="1F2933"/>
                <w:sz w:val="16"/>
              </w:rPr>
              <w:t>Approved ADRs and shared decision configuration</w:t>
            </w:r>
          </w:p>
        </w:tc>
        <w:tc>
          <w:tcPr>
            <w:tcW w:type="dxa" w:w="6912"/>
            <w:shd w:fill="F7F8F9" w:val="clear"/>
            <w:tcMar>
              <w:top w:w="60" w:type="dxa"/>
              <w:start w:w="80" w:type="dxa"/>
              <w:bottom w:w="60" w:type="dxa"/>
              <w:end w:w="80" w:type="dxa"/>
            </w:tcMar>
            <w:vAlign w:val="top"/>
          </w:tcPr>
          <w:p>
            <w:pPr>
              <w:spacing w:after="0"/>
            </w:pPr>
            <w:r>
              <w:rPr>
                <w:rFonts w:ascii="Carlito" w:hAnsi="Carlito" w:eastAsia="Carlito"/>
                <w:color w:val="1F2933"/>
                <w:sz w:val="16"/>
              </w:rPr>
              <w:t>Govern implementation details within the v0.3 direction.</w:t>
            </w:r>
          </w:p>
        </w:tc>
      </w:tr>
      <w:tr>
        <w:tc>
          <w:tcPr>
            <w:tcW w:type="dxa" w:w="3024"/>
            <w:tcMar>
              <w:top w:w="60" w:type="dxa"/>
              <w:start w:w="80" w:type="dxa"/>
              <w:bottom w:w="60" w:type="dxa"/>
              <w:end w:w="80" w:type="dxa"/>
            </w:tcMar>
            <w:vAlign w:val="top"/>
          </w:tcPr>
          <w:p>
            <w:pPr>
              <w:spacing w:after="0"/>
            </w:pPr>
            <w:r>
              <w:rPr>
                <w:rFonts w:ascii="Carlito" w:hAnsi="Carlito" w:eastAsia="Carlito"/>
                <w:color w:val="1F2933"/>
                <w:sz w:val="16"/>
              </w:rPr>
              <w:t>Common capstone control standard v0.2</w:t>
            </w:r>
          </w:p>
        </w:tc>
        <w:tc>
          <w:tcPr>
            <w:tcW w:type="dxa" w:w="6912"/>
            <w:tcMar>
              <w:top w:w="60" w:type="dxa"/>
              <w:start w:w="80" w:type="dxa"/>
              <w:bottom w:w="60" w:type="dxa"/>
              <w:end w:w="80" w:type="dxa"/>
            </w:tcMar>
            <w:vAlign w:val="top"/>
          </w:tcPr>
          <w:p>
            <w:pPr>
              <w:spacing w:after="0"/>
            </w:pPr>
            <w:r>
              <w:rPr>
                <w:rFonts w:ascii="Carlito" w:hAnsi="Carlito" w:eastAsia="Carlito"/>
                <w:color w:val="1F2933"/>
                <w:sz w:val="16"/>
              </w:rPr>
              <w:t>Governs repository, submission, common rubric and AI-native assessment controls.</w:t>
            </w:r>
          </w:p>
        </w:tc>
      </w:tr>
      <w:tr>
        <w:tc>
          <w:tcPr>
            <w:tcW w:type="dxa" w:w="3024"/>
            <w:shd w:fill="F7F8F9" w:val="clear"/>
            <w:tcMar>
              <w:top w:w="60" w:type="dxa"/>
              <w:start w:w="80" w:type="dxa"/>
              <w:bottom w:w="60" w:type="dxa"/>
              <w:end w:w="80" w:type="dxa"/>
            </w:tcMar>
            <w:vAlign w:val="top"/>
          </w:tcPr>
          <w:p>
            <w:pPr>
              <w:spacing w:after="0"/>
            </w:pPr>
            <w:r>
              <w:rPr>
                <w:rFonts w:ascii="Carlito" w:hAnsi="Carlito" w:eastAsia="Carlito"/>
                <w:color w:val="1F2933"/>
                <w:sz w:val="16"/>
              </w:rPr>
              <w:t>Student brief and generated data dictionary</w:t>
            </w:r>
          </w:p>
        </w:tc>
        <w:tc>
          <w:tcPr>
            <w:tcW w:type="dxa" w:w="6912"/>
            <w:shd w:fill="F7F8F9" w:val="clear"/>
            <w:tcMar>
              <w:top w:w="60" w:type="dxa"/>
              <w:start w:w="80" w:type="dxa"/>
              <w:bottom w:w="60" w:type="dxa"/>
              <w:end w:w="80" w:type="dxa"/>
            </w:tcMar>
            <w:vAlign w:val="top"/>
          </w:tcPr>
          <w:p>
            <w:pPr>
              <w:spacing w:after="0"/>
            </w:pPr>
            <w:r>
              <w:rPr>
                <w:rFonts w:ascii="Carlito" w:hAnsi="Carlito" w:eastAsia="Carlito"/>
                <w:color w:val="1F2933"/>
                <w:sz w:val="16"/>
              </w:rPr>
              <w:t>Must be derived from the approved specification and configuration.</w:t>
            </w:r>
          </w:p>
        </w:tc>
      </w:tr>
      <w:tr>
        <w:tc>
          <w:tcPr>
            <w:tcW w:type="dxa" w:w="3024"/>
            <w:tcMar>
              <w:top w:w="60" w:type="dxa"/>
              <w:start w:w="80" w:type="dxa"/>
              <w:bottom w:w="60" w:type="dxa"/>
              <w:end w:w="80" w:type="dxa"/>
            </w:tcMar>
            <w:vAlign w:val="top"/>
          </w:tcPr>
          <w:p>
            <w:pPr>
              <w:spacing w:after="0"/>
            </w:pPr>
            <w:r>
              <w:rPr>
                <w:rFonts w:ascii="Carlito" w:hAnsi="Carlito" w:eastAsia="Carlito"/>
                <w:color w:val="1F2933"/>
                <w:sz w:val="16"/>
              </w:rPr>
              <w:t>Reference-model code</w:t>
            </w:r>
          </w:p>
        </w:tc>
        <w:tc>
          <w:tcPr>
            <w:tcW w:type="dxa" w:w="6912"/>
            <w:tcMar>
              <w:top w:w="60" w:type="dxa"/>
              <w:start w:w="80" w:type="dxa"/>
              <w:bottom w:w="60" w:type="dxa"/>
              <w:end w:w="80" w:type="dxa"/>
            </w:tcMar>
            <w:vAlign w:val="top"/>
          </w:tcPr>
          <w:p>
            <w:pPr>
              <w:spacing w:after="0"/>
            </w:pPr>
            <w:r>
              <w:rPr>
                <w:rFonts w:ascii="Carlito" w:hAnsi="Carlito" w:eastAsia="Carlito"/>
                <w:color w:val="1F2933"/>
                <w:sz w:val="16"/>
              </w:rPr>
              <w:t>Implements the specification; code does not silently override it.</w:t>
            </w:r>
          </w:p>
        </w:tc>
      </w:tr>
    </w:tbl>
    <w:p>
      <w:pPr>
        <w:spacing w:after="0"/>
      </w:pPr>
    </w:p>
    <w:p>
      <w:pPr>
        <w:pStyle w:val="Heading1"/>
      </w:pPr>
      <w:r>
        <w:t>Appendix A - Release-1 acceptance checklist</w:t>
      </w:r>
    </w:p>
    <w:p>
      <w:pPr>
        <w:pStyle w:val="ListBullet"/>
        <w:spacing w:after="44"/>
        <w:ind w:left="317" w:hanging="173"/>
      </w:pPr>
      <w:r>
        <w:t>Business narrative, commercial authority and all fictional entities are internally consistent.</w:t>
      </w:r>
    </w:p>
    <w:p>
      <w:pPr>
        <w:pStyle w:val="ListBullet"/>
        <w:spacing w:after="44"/>
        <w:ind w:left="317" w:hanging="173"/>
      </w:pPr>
      <w:r>
        <w:t>Tier-N schemas instantiate four supplier tiers plus four Asterion plants.</w:t>
      </w:r>
    </w:p>
    <w:p>
      <w:pPr>
        <w:pStyle w:val="ListBullet"/>
        <w:spacing w:after="44"/>
        <w:ind w:left="317" w:hanging="173"/>
      </w:pPr>
      <w:r>
        <w:t>The transformation/material graph is acyclic and every terminal material has a feasible upstream lineage.</w:t>
      </w:r>
    </w:p>
    <w:p>
      <w:pPr>
        <w:pStyle w:val="ListBullet"/>
        <w:spacing w:after="44"/>
        <w:ind w:left="317" w:hanging="173"/>
      </w:pPr>
      <w:r>
        <w:t>Twelve planning periods and all effective-date, dispatch, arrival and same-period conversion semantics are fixed.</w:t>
      </w:r>
    </w:p>
    <w:p>
      <w:pPr>
        <w:pStyle w:val="ListBullet"/>
        <w:spacing w:after="44"/>
        <w:ind w:left="317" w:hanging="173"/>
      </w:pPr>
      <w:r>
        <w:t>Raw schemas, dictionaries and validators are generated from shared configuration.</w:t>
      </w:r>
    </w:p>
    <w:p>
      <w:pPr>
        <w:pStyle w:val="ListBullet"/>
        <w:spacing w:after="44"/>
        <w:ind w:left="317" w:hanging="173"/>
      </w:pPr>
      <w:r>
        <w:t>No open-order, in-transit or WIP files are included.</w:t>
      </w:r>
    </w:p>
    <w:p>
      <w:pPr>
        <w:pStyle w:val="ListBullet"/>
        <w:spacing w:after="44"/>
        <w:ind w:left="317" w:hanging="173"/>
      </w:pPr>
      <w:r>
        <w:t>The miniature fixture passes hand, model and independent reconciliation checks.</w:t>
      </w:r>
    </w:p>
    <w:p>
      <w:pPr>
        <w:pStyle w:val="ListBullet"/>
        <w:spacing w:after="44"/>
        <w:ind w:left="317" w:hanging="173"/>
      </w:pPr>
      <w:r>
        <w:t>The BASE fixed-price MILP achieves zero shortage and respects every physical control.</w:t>
      </w:r>
    </w:p>
    <w:p>
      <w:pPr>
        <w:pStyle w:val="ListBullet"/>
        <w:spacing w:after="44"/>
        <w:ind w:left="317" w:hanging="173"/>
      </w:pPr>
      <w:r>
        <w:t>The BASE recursive-cost route returns at least one defensible reconciled incumbent.</w:t>
      </w:r>
    </w:p>
    <w:p>
      <w:pPr>
        <w:pStyle w:val="ListBullet"/>
        <w:spacing w:after="44"/>
        <w:ind w:left="317" w:hanging="173"/>
      </w:pPr>
      <w:r>
        <w:t>All positive flows are approved, contracted and transportable.</w:t>
      </w:r>
    </w:p>
    <w:p>
      <w:pPr>
        <w:pStyle w:val="ListBullet"/>
        <w:spacing w:after="44"/>
        <w:ind w:left="317" w:hanging="173"/>
      </w:pPr>
      <w:r>
        <w:t>MOQ, order multiples, fixed ordering costs, setup and activation decisions affect at least one calibrated result.</w:t>
      </w:r>
    </w:p>
    <w:p>
      <w:pPr>
        <w:pStyle w:val="ListBullet"/>
        <w:spacing w:after="44"/>
        <w:ind w:left="317" w:hanging="173"/>
      </w:pPr>
      <w:r>
        <w:t>Pool quantities, pool values, unit costs, transformations, receipts, terminal service and closing inventory reconcile.</w:t>
      </w:r>
    </w:p>
    <w:p>
      <w:pPr>
        <w:pStyle w:val="ListBullet"/>
        <w:spacing w:after="44"/>
        <w:ind w:left="317" w:hanging="173"/>
      </w:pPr>
      <w:r>
        <w:t>Every cost is classified and appears once.</w:t>
      </w:r>
    </w:p>
    <w:p>
      <w:pPr>
        <w:pStyle w:val="ListBullet"/>
        <w:spacing w:after="44"/>
        <w:ind w:left="317" w:hanging="173"/>
      </w:pPr>
      <w:r>
        <w:t>Baseline-only intermediate costs cannot enter the recursive model.</w:t>
      </w:r>
    </w:p>
    <w:p>
      <w:pPr>
        <w:pStyle w:val="ListBullet"/>
        <w:spacing w:after="44"/>
        <w:ind w:left="317" w:hanging="173"/>
      </w:pPr>
      <w:r>
        <w:t>The fixed-price and recursive solutions differ meaningfully in a controlled case.</w:t>
      </w:r>
    </w:p>
    <w:p>
      <w:pPr>
        <w:pStyle w:val="ListBullet"/>
        <w:spacing w:after="44"/>
        <w:ind w:left="317" w:hanging="173"/>
      </w:pPr>
      <w:r>
        <w:t>All five disruptions produce intended and distinct effects.</w:t>
      </w:r>
    </w:p>
    <w:p>
      <w:pPr>
        <w:pStyle w:val="ListBullet"/>
        <w:spacing w:after="44"/>
        <w:ind w:left="317" w:hanging="173"/>
      </w:pPr>
      <w:r>
        <w:t>The BASE plan contains discoverable resilience weaknesses and at least one feasible intervention.</w:t>
      </w:r>
    </w:p>
    <w:p>
      <w:pPr>
        <w:pStyle w:val="ListBullet"/>
        <w:spacing w:after="44"/>
        <w:ind w:left="317" w:hanging="173"/>
      </w:pPr>
      <w:r>
        <w:t>Unit-cost and quantity bounds are finite, defensible and validated against scenarios.</w:t>
      </w:r>
    </w:p>
    <w:p>
      <w:pPr>
        <w:pStyle w:val="ListBullet"/>
        <w:spacing w:after="44"/>
        <w:ind w:left="317" w:hanging="173"/>
      </w:pPr>
      <w:r>
        <w:t>Dilution, selective valuation, double-count and cost-loss negative tests fail correctly.</w:t>
      </w:r>
    </w:p>
    <w:p>
      <w:pPr>
        <w:pStyle w:val="ListBullet"/>
        <w:spacing w:after="44"/>
        <w:ind w:left="317" w:hanging="173"/>
      </w:pPr>
      <w:r>
        <w:t>Student release contains no private seed, main-case reference allocation, bound or objective range.</w:t>
      </w:r>
    </w:p>
    <w:p>
      <w:pPr>
        <w:pStyle w:val="ListBullet"/>
        <w:spacing w:after="44"/>
        <w:ind w:left="317" w:hanging="173"/>
      </w:pPr>
      <w:r>
        <w:t>Manifest, checksums, schemas, data dictionary and output contracts agree.</w:t>
      </w:r>
    </w:p>
    <w:p>
      <w:pPr>
        <w:pStyle w:val="ListBullet"/>
        <w:spacing w:after="44"/>
        <w:ind w:left="317" w:hanging="173"/>
      </w:pPr>
      <w:r>
        <w:t>Clean-environment build, test, solve and application-read test passes.</w:t>
      </w:r>
    </w:p>
    <w:p>
      <w:pPr>
        <w:pStyle w:val="ListBullet"/>
        <w:spacing w:after="44"/>
        <w:ind w:left="317" w:hanging="173"/>
      </w:pPr>
      <w:r>
        <w:t>AI evaluator and technical-defence guide are calibrated against sample submissions.</w:t>
      </w:r>
    </w:p>
    <w:p>
      <w:pPr>
        <w:pStyle w:val="Heading1"/>
      </w:pPr>
      <w:r>
        <w:t>Appendix B - Suggested student brief wording</w:t>
      </w:r>
    </w:p>
    <w:tbl>
      <w:tblPr>
        <w:tblW w:type="auto" w:w="0"/>
        <w:jc w:val="center"/>
        <w:tblLayout w:type="fixed"/>
        <w:tblLook w:firstColumn="1" w:firstRow="1" w:lastColumn="0" w:lastRow="0" w:noHBand="0" w:noVBand="1" w:val="04A0"/>
      </w:tblPr>
      <w:tblGrid>
        <w:gridCol w:w="9936"/>
      </w:tblGrid>
      <w:tr>
        <w:tc>
          <w:tcPr>
            <w:tcW w:type="dxa" w:w="10119"/>
            <w:shd w:fill="EAF1F7" w:val="clear"/>
            <w:tcMar>
              <w:top w:w="100" w:type="dxa"/>
              <w:start w:w="130" w:type="dxa"/>
              <w:bottom w:w="100" w:type="dxa"/>
              <w:end w:w="130" w:type="dxa"/>
            </w:tcMar>
            <w:tcBorders>
              <w:top w:val="nil"/>
              <w:start w:val="single" w:sz="18" w:color="2F7D8C"/>
              <w:bottom w:val="nil"/>
              <w:end w:val="nil"/>
            </w:tcBorders>
          </w:tcPr>
          <w:p>
            <w:pPr>
              <w:spacing w:after="40"/>
            </w:pPr>
            <w:r>
              <w:rPr>
                <w:rFonts w:ascii="Carlito" w:hAnsi="Carlito" w:eastAsia="Carlito"/>
                <w:b/>
                <w:color w:val="2F7D8C"/>
                <w:sz w:val="18"/>
              </w:rPr>
              <w:t>Controlled brief text</w:t>
            </w:r>
          </w:p>
          <w:p>
            <w:pPr>
              <w:spacing w:after="0"/>
            </w:pPr>
            <w:r>
              <w:rPr>
                <w:rFonts w:ascii="Carlito" w:hAnsi="Carlito" w:eastAsia="Carlito"/>
                <w:color w:val="1F2933"/>
                <w:sz w:val="18"/>
              </w:rPr>
              <w:t>Establish the fixed-price minimum-shortage and minimum-cost plan for Asterion under BASE. Build an end-to-end Tier-N model in which intermediate material value is calculated from the selected upstream source mix, weighted-average inventory pools and configured value additions. Compare the two formulations, validate the physical and financial results, and explain the confidence that can be placed in the recursive solution. Evaluate the supplied disruption scenarios. Supply-chain resilience and concentration form part of the customer decision: define and justify suitable quantitative measures, incorporate at least one intervention, and communicate the cost, service, inventory and resilience trade-offs through an interactive application. AI assistance is expected; you remain accountable for the model and every result claim.</w:t>
            </w:r>
          </w:p>
        </w:tc>
      </w:tr>
    </w:tbl>
    <w:p>
      <w:pPr>
        <w:spacing w:after="0"/>
      </w:pPr>
    </w:p>
    <w:p>
      <w:pPr>
        <w:spacing w:after="90"/>
      </w:pPr>
      <w:r>
        <w:t>The student brief should state that a globally certified optimum is not mandatory for the main case. It should require a bounded formulation, a defensible feasible result or transparent failure report, reconciliation, solver evidence and honest exact/relaxed/approximate classification.</w:t>
      </w:r>
    </w:p>
    <w:p>
      <w:pPr>
        <w:pStyle w:val="Heading1"/>
      </w:pPr>
      <w:r>
        <w:t>Appendix C - ADR template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592"/>
            <w:shd w:fill="17365D" w:val="clear"/>
            <w:tcMar>
              <w:top w:w="60" w:type="dxa"/>
              <w:start w:w="80" w:type="dxa"/>
              <w:bottom w:w="60" w:type="dxa"/>
              <w:end w:w="80" w:type="dxa"/>
            </w:tcMar>
            <w:vAlign w:val="center"/>
          </w:tcPr>
          <w:p>
            <w:pPr>
              <w:spacing w:after="0"/>
            </w:pPr>
            <w:r>
              <w:rPr>
                <w:rFonts w:ascii="Carlito" w:hAnsi="Carlito" w:eastAsia="Carlito"/>
                <w:b/>
                <w:color w:val="FFFFFF"/>
                <w:sz w:val="16"/>
              </w:rPr>
              <w:t>Field</w:t>
            </w:r>
          </w:p>
        </w:tc>
        <w:tc>
          <w:tcPr>
            <w:tcW w:type="dxa" w:w="7344"/>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Required content</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Decision ID</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ADR-###.</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Title</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Concise decision name.</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Status</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Proposed, approved, superseded or rejected.</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Context</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Problem, constraints and affected stakeholders.</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Decision</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Approved implementation position.</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Alternatives considered</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Credible alternatives and reasons for selection.</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Mathematical/accounting consequences</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Effects on equations, bounds, objective and reconciliation.</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Data consequences</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Effects on schemas, generation and validation.</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Assessment consequences</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Effects on brief, outputs, quality gates and scoring.</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Affected artefacts</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Files or packages that must be regenerated.</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Owner and date</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Decision owner, reviewers and approval date.</w:t>
            </w:r>
          </w:p>
        </w:tc>
      </w:tr>
    </w:tbl>
    <w:p>
      <w:pPr>
        <w:spacing w:after="0"/>
      </w:pPr>
    </w:p>
    <w:p>
      <w:pPr>
        <w:pStyle w:val="Heading1"/>
      </w:pPr>
      <w:r>
        <w:t>Appendix D - Minimum run_metadata.json fields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520"/>
            <w:shd w:fill="17365D" w:val="clear"/>
            <w:tcMar>
              <w:top w:w="60" w:type="dxa"/>
              <w:start w:w="80" w:type="dxa"/>
              <w:bottom w:w="60" w:type="dxa"/>
              <w:end w:w="80" w:type="dxa"/>
            </w:tcMar>
            <w:vAlign w:val="center"/>
          </w:tcPr>
          <w:p>
            <w:pPr>
              <w:spacing w:after="0"/>
            </w:pPr>
            <w:r>
              <w:rPr>
                <w:rFonts w:ascii="Carlito" w:hAnsi="Carlito" w:eastAsia="Carlito"/>
                <w:b/>
                <w:color w:val="FFFFFF"/>
                <w:sz w:val="16"/>
              </w:rPr>
              <w:t>Field group</w:t>
            </w:r>
          </w:p>
        </w:tc>
        <w:tc>
          <w:tcPr>
            <w:tcW w:type="dxa" w:w="7416"/>
            <w:shd w:fill="17365D" w:val="clear"/>
            <w:tcMar>
              <w:top w:w="60" w:type="dxa"/>
              <w:start w:w="80" w:type="dxa"/>
              <w:bottom w:w="60" w:type="dxa"/>
              <w:end w:w="80" w:type="dxa"/>
            </w:tcMar>
            <w:vAlign w:val="center"/>
          </w:tcPr>
          <w:p>
            <w:pPr>
              <w:spacing w:after="0"/>
            </w:pPr>
            <w:r>
              <w:rPr>
                <w:rFonts w:ascii="Carlito" w:hAnsi="Carlito" w:eastAsia="Carlito"/>
                <w:b/>
                <w:color w:val="FFFFFF"/>
                <w:sz w:val="16"/>
              </w:rPr>
              <w:t>Minimum fields</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Identity</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capstone_id, capstone_version, data_version, model_version, scenario_id, run_id, git_commit.</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Run mode</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BASELINE_MILP, RECURSIVE_MINLP, STRESS_ONLY or REOPTIMISE.</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Formulation</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EXACT, RELAXED, APPROXIMATE, HEURISTIC; method description and approximation identifier.</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Solver</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name, version where available, options hash and licence/access route.</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Termination</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standard status, raw termination condition, message and success flag.</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Objective</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Stage-1 shortage, Stage-2 value/cost, Stage-3 tie-break, incumbent/primal objective.</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Bounds and gaps</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global or relaxation bound where available, absolute gap and relative gap.</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Search</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random seed, starts, selected start, warm-start source and iteration/node counts where available.</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Performance</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start/end timestamp, runtime, hardware profile and peak memory where available.</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6"/>
              </w:rPr>
              <w:t>Validation</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6"/>
              </w:rPr>
              <w:t>hard-violation count, maximum quantity/value/unit-cost residual, reconciliation pass flag.</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6"/>
              </w:rPr>
              <w:t>Lineage</w:t>
            </w:r>
          </w:p>
        </w:tc>
        <w:tc>
          <w:tcPr>
            <w:tcW w:type="dxa" w:w="7416"/>
            <w:tcMar>
              <w:top w:w="60" w:type="dxa"/>
              <w:start w:w="80" w:type="dxa"/>
              <w:bottom w:w="60" w:type="dxa"/>
              <w:end w:w="80" w:type="dxa"/>
            </w:tcMar>
            <w:vAlign w:val="top"/>
          </w:tcPr>
          <w:p>
            <w:pPr>
              <w:spacing w:after="0"/>
            </w:pPr>
            <w:r>
              <w:rPr>
                <w:rFonts w:ascii="Carlito" w:hAnsi="Carlito" w:eastAsia="Carlito"/>
                <w:color w:val="1F2933"/>
                <w:sz w:val="16"/>
              </w:rPr>
              <w:t>input checksum set, configuration hash and output checksum set.</w:t>
            </w:r>
          </w:p>
        </w:tc>
      </w:tr>
    </w:tbl>
    <w:p>
      <w:pPr>
        <w:spacing w:after="0"/>
      </w:pPr>
    </w:p>
    <w:p>
      <w:pPr>
        <w:pStyle w:val="Heading1"/>
      </w:pPr>
      <w:r>
        <w:t>Appendix E - Miniature fixture control totals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41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Control total</w:t>
            </w:r>
          </w:p>
        </w:tc>
        <w:tc>
          <w:tcPr>
            <w:tcW w:type="dxa" w:w="57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Expected value</w:t>
            </w:r>
          </w:p>
        </w:tc>
      </w:tr>
      <w:tr>
        <w:tc>
          <w:tcPr>
            <w:tcW w:type="dxa" w:w="4176"/>
            <w:tcMar>
              <w:top w:w="60" w:type="dxa"/>
              <w:start w:w="80" w:type="dxa"/>
              <w:bottom w:w="60" w:type="dxa"/>
              <w:end w:w="80" w:type="dxa"/>
            </w:tcMar>
            <w:vAlign w:val="top"/>
          </w:tcPr>
          <w:p>
            <w:pPr>
              <w:spacing w:after="0"/>
            </w:pPr>
            <w:r>
              <w:rPr>
                <w:rFonts w:ascii="Carlito" w:hAnsi="Carlito" w:eastAsia="Carlito"/>
                <w:color w:val="1F2933"/>
                <w:sz w:val="16"/>
              </w:rPr>
              <w:t>Tier 3 pool quantity</w:t>
            </w:r>
          </w:p>
        </w:tc>
        <w:tc>
          <w:tcPr>
            <w:tcW w:type="dxa" w:w="5760"/>
            <w:tcMar>
              <w:top w:w="60" w:type="dxa"/>
              <w:start w:w="80" w:type="dxa"/>
              <w:bottom w:w="60" w:type="dxa"/>
              <w:end w:w="80" w:type="dxa"/>
            </w:tcMar>
            <w:vAlign w:val="top"/>
          </w:tcPr>
          <w:p>
            <w:pPr>
              <w:spacing w:after="0"/>
            </w:pPr>
            <w:r>
              <w:rPr>
                <w:rFonts w:ascii="Carlito" w:hAnsi="Carlito" w:eastAsia="Carlito"/>
                <w:color w:val="1F2933"/>
                <w:sz w:val="16"/>
              </w:rPr>
              <w:t>120.0000000 units</w:t>
            </w:r>
          </w:p>
        </w:tc>
      </w:tr>
      <w:tr>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6"/>
              </w:rPr>
              <w:t>Tier 3 pool value</w:t>
            </w:r>
          </w:p>
        </w:tc>
        <w:tc>
          <w:tcPr>
            <w:tcW w:type="dxa" w:w="5760"/>
            <w:shd w:fill="F7F8F9" w:val="clear"/>
            <w:tcMar>
              <w:top w:w="60" w:type="dxa"/>
              <w:start w:w="80" w:type="dxa"/>
              <w:bottom w:w="60" w:type="dxa"/>
              <w:end w:w="80" w:type="dxa"/>
            </w:tcMar>
            <w:vAlign w:val="top"/>
          </w:tcPr>
          <w:p>
            <w:pPr>
              <w:spacing w:after="0"/>
            </w:pPr>
            <w:r>
              <w:rPr>
                <w:rFonts w:ascii="Carlito" w:hAnsi="Carlito" w:eastAsia="Carlito"/>
                <w:color w:val="1F2933"/>
                <w:sz w:val="16"/>
              </w:rPr>
              <w:t>EUR 410.0000000</w:t>
            </w:r>
          </w:p>
        </w:tc>
      </w:tr>
      <w:tr>
        <w:tc>
          <w:tcPr>
            <w:tcW w:type="dxa" w:w="4176"/>
            <w:tcMar>
              <w:top w:w="60" w:type="dxa"/>
              <w:start w:w="80" w:type="dxa"/>
              <w:bottom w:w="60" w:type="dxa"/>
              <w:end w:w="80" w:type="dxa"/>
            </w:tcMar>
            <w:vAlign w:val="top"/>
          </w:tcPr>
          <w:p>
            <w:pPr>
              <w:spacing w:after="0"/>
            </w:pPr>
            <w:r>
              <w:rPr>
                <w:rFonts w:ascii="Carlito" w:hAnsi="Carlito" w:eastAsia="Carlito"/>
                <w:color w:val="1F2933"/>
                <w:sz w:val="16"/>
              </w:rPr>
              <w:t>Tier 3 weighted-average unit cost</w:t>
            </w:r>
          </w:p>
        </w:tc>
        <w:tc>
          <w:tcPr>
            <w:tcW w:type="dxa" w:w="5760"/>
            <w:tcMar>
              <w:top w:w="60" w:type="dxa"/>
              <w:start w:w="80" w:type="dxa"/>
              <w:bottom w:w="60" w:type="dxa"/>
              <w:end w:w="80" w:type="dxa"/>
            </w:tcMar>
            <w:vAlign w:val="top"/>
          </w:tcPr>
          <w:p>
            <w:pPr>
              <w:spacing w:after="0"/>
            </w:pPr>
            <w:r>
              <w:rPr>
                <w:rFonts w:ascii="Carlito" w:hAnsi="Carlito" w:eastAsia="Carlito"/>
                <w:color w:val="1F2933"/>
                <w:sz w:val="16"/>
              </w:rPr>
              <w:t>EUR 3.4166667/unit</w:t>
            </w:r>
          </w:p>
        </w:tc>
      </w:tr>
      <w:tr>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6"/>
              </w:rPr>
              <w:t>Tier 3 closing inventory value</w:t>
            </w:r>
          </w:p>
        </w:tc>
        <w:tc>
          <w:tcPr>
            <w:tcW w:type="dxa" w:w="5760"/>
            <w:shd w:fill="F7F8F9" w:val="clear"/>
            <w:tcMar>
              <w:top w:w="60" w:type="dxa"/>
              <w:start w:w="80" w:type="dxa"/>
              <w:bottom w:w="60" w:type="dxa"/>
              <w:end w:w="80" w:type="dxa"/>
            </w:tcMar>
            <w:vAlign w:val="top"/>
          </w:tcPr>
          <w:p>
            <w:pPr>
              <w:spacing w:after="0"/>
            </w:pPr>
            <w:r>
              <w:rPr>
                <w:rFonts w:ascii="Carlito" w:hAnsi="Carlito" w:eastAsia="Carlito"/>
                <w:color w:val="1F2933"/>
                <w:sz w:val="16"/>
              </w:rPr>
              <w:t>EUR 68.3333333</w:t>
            </w:r>
          </w:p>
        </w:tc>
      </w:tr>
      <w:tr>
        <w:tc>
          <w:tcPr>
            <w:tcW w:type="dxa" w:w="4176"/>
            <w:tcMar>
              <w:top w:w="60" w:type="dxa"/>
              <w:start w:w="80" w:type="dxa"/>
              <w:bottom w:w="60" w:type="dxa"/>
              <w:end w:w="80" w:type="dxa"/>
            </w:tcMar>
            <w:vAlign w:val="top"/>
          </w:tcPr>
          <w:p>
            <w:pPr>
              <w:spacing w:after="0"/>
            </w:pPr>
            <w:r>
              <w:rPr>
                <w:rFonts w:ascii="Carlito" w:hAnsi="Carlito" w:eastAsia="Carlito"/>
                <w:color w:val="1F2933"/>
                <w:sz w:val="16"/>
              </w:rPr>
              <w:t>Tier 3 transformation output value</w:t>
            </w:r>
          </w:p>
        </w:tc>
        <w:tc>
          <w:tcPr>
            <w:tcW w:type="dxa" w:w="5760"/>
            <w:tcMar>
              <w:top w:w="60" w:type="dxa"/>
              <w:start w:w="80" w:type="dxa"/>
              <w:bottom w:w="60" w:type="dxa"/>
              <w:end w:w="80" w:type="dxa"/>
            </w:tcMar>
            <w:vAlign w:val="top"/>
          </w:tcPr>
          <w:p>
            <w:pPr>
              <w:spacing w:after="0"/>
            </w:pPr>
            <w:r>
              <w:rPr>
                <w:rFonts w:ascii="Carlito" w:hAnsi="Carlito" w:eastAsia="Carlito"/>
                <w:color w:val="1F2933"/>
                <w:sz w:val="16"/>
              </w:rPr>
              <w:t>EUR 441.8333333</w:t>
            </w:r>
          </w:p>
        </w:tc>
      </w:tr>
      <w:tr>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6"/>
              </w:rPr>
              <w:t>Tier 2 receipt value</w:t>
            </w:r>
          </w:p>
        </w:tc>
        <w:tc>
          <w:tcPr>
            <w:tcW w:type="dxa" w:w="5760"/>
            <w:shd w:fill="F7F8F9" w:val="clear"/>
            <w:tcMar>
              <w:top w:w="60" w:type="dxa"/>
              <w:start w:w="80" w:type="dxa"/>
              <w:bottom w:w="60" w:type="dxa"/>
              <w:end w:w="80" w:type="dxa"/>
            </w:tcMar>
            <w:vAlign w:val="top"/>
          </w:tcPr>
          <w:p>
            <w:pPr>
              <w:spacing w:after="0"/>
            </w:pPr>
            <w:r>
              <w:rPr>
                <w:rFonts w:ascii="Carlito" w:hAnsi="Carlito" w:eastAsia="Carlito"/>
                <w:color w:val="1F2933"/>
                <w:sz w:val="16"/>
              </w:rPr>
              <w:t>EUR 466.8333333</w:t>
            </w:r>
          </w:p>
        </w:tc>
      </w:tr>
      <w:tr>
        <w:tc>
          <w:tcPr>
            <w:tcW w:type="dxa" w:w="4176"/>
            <w:tcMar>
              <w:top w:w="60" w:type="dxa"/>
              <w:start w:w="80" w:type="dxa"/>
              <w:bottom w:w="60" w:type="dxa"/>
              <w:end w:w="80" w:type="dxa"/>
            </w:tcMar>
            <w:vAlign w:val="top"/>
          </w:tcPr>
          <w:p>
            <w:pPr>
              <w:spacing w:after="0"/>
            </w:pPr>
            <w:r>
              <w:rPr>
                <w:rFonts w:ascii="Carlito" w:hAnsi="Carlito" w:eastAsia="Carlito"/>
                <w:color w:val="1F2933"/>
                <w:sz w:val="16"/>
              </w:rPr>
              <w:t>Tier 2 transformation output value</w:t>
            </w:r>
          </w:p>
        </w:tc>
        <w:tc>
          <w:tcPr>
            <w:tcW w:type="dxa" w:w="5760"/>
            <w:tcMar>
              <w:top w:w="60" w:type="dxa"/>
              <w:start w:w="80" w:type="dxa"/>
              <w:bottom w:w="60" w:type="dxa"/>
              <w:end w:w="80" w:type="dxa"/>
            </w:tcMar>
            <w:vAlign w:val="top"/>
          </w:tcPr>
          <w:p>
            <w:pPr>
              <w:spacing w:after="0"/>
            </w:pPr>
            <w:r>
              <w:rPr>
                <w:rFonts w:ascii="Carlito" w:hAnsi="Carlito" w:eastAsia="Carlito"/>
                <w:color w:val="1F2933"/>
                <w:sz w:val="16"/>
              </w:rPr>
              <w:t>EUR 595.1750000</w:t>
            </w:r>
          </w:p>
        </w:tc>
      </w:tr>
      <w:tr>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6"/>
              </w:rPr>
              <w:t>Tier 1 receipt value</w:t>
            </w:r>
          </w:p>
        </w:tc>
        <w:tc>
          <w:tcPr>
            <w:tcW w:type="dxa" w:w="5760"/>
            <w:shd w:fill="F7F8F9" w:val="clear"/>
            <w:tcMar>
              <w:top w:w="60" w:type="dxa"/>
              <w:start w:w="80" w:type="dxa"/>
              <w:bottom w:w="60" w:type="dxa"/>
              <w:end w:w="80" w:type="dxa"/>
            </w:tcMar>
            <w:vAlign w:val="top"/>
          </w:tcPr>
          <w:p>
            <w:pPr>
              <w:spacing w:after="0"/>
            </w:pPr>
            <w:r>
              <w:rPr>
                <w:rFonts w:ascii="Carlito" w:hAnsi="Carlito" w:eastAsia="Carlito"/>
                <w:color w:val="1F2933"/>
                <w:sz w:val="16"/>
              </w:rPr>
              <w:t>EUR 605.1750000</w:t>
            </w:r>
          </w:p>
        </w:tc>
      </w:tr>
      <w:tr>
        <w:tc>
          <w:tcPr>
            <w:tcW w:type="dxa" w:w="4176"/>
            <w:tcMar>
              <w:top w:w="60" w:type="dxa"/>
              <w:start w:w="80" w:type="dxa"/>
              <w:bottom w:w="60" w:type="dxa"/>
              <w:end w:w="80" w:type="dxa"/>
            </w:tcMar>
            <w:vAlign w:val="top"/>
          </w:tcPr>
          <w:p>
            <w:pPr>
              <w:spacing w:after="0"/>
            </w:pPr>
            <w:r>
              <w:rPr>
                <w:rFonts w:ascii="Carlito" w:hAnsi="Carlito" w:eastAsia="Carlito"/>
                <w:color w:val="1F2933"/>
                <w:sz w:val="16"/>
              </w:rPr>
              <w:t>Tier 1 transformation output value</w:t>
            </w:r>
          </w:p>
        </w:tc>
        <w:tc>
          <w:tcPr>
            <w:tcW w:type="dxa" w:w="5760"/>
            <w:tcMar>
              <w:top w:w="60" w:type="dxa"/>
              <w:start w:w="80" w:type="dxa"/>
              <w:bottom w:w="60" w:type="dxa"/>
              <w:end w:w="80" w:type="dxa"/>
            </w:tcMar>
            <w:vAlign w:val="top"/>
          </w:tcPr>
          <w:p>
            <w:pPr>
              <w:spacing w:after="0"/>
            </w:pPr>
            <w:r>
              <w:rPr>
                <w:rFonts w:ascii="Carlito" w:hAnsi="Carlito" w:eastAsia="Carlito"/>
                <w:color w:val="1F2933"/>
                <w:sz w:val="16"/>
              </w:rPr>
              <w:t>EUR 837.1890000</w:t>
            </w:r>
          </w:p>
        </w:tc>
      </w:tr>
      <w:tr>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6"/>
              </w:rPr>
              <w:t>Plant receipt/pool value</w:t>
            </w:r>
          </w:p>
        </w:tc>
        <w:tc>
          <w:tcPr>
            <w:tcW w:type="dxa" w:w="5760"/>
            <w:shd w:fill="F7F8F9" w:val="clear"/>
            <w:tcMar>
              <w:top w:w="60" w:type="dxa"/>
              <w:start w:w="80" w:type="dxa"/>
              <w:bottom w:w="60" w:type="dxa"/>
              <w:end w:w="80" w:type="dxa"/>
            </w:tcMar>
            <w:vAlign w:val="top"/>
          </w:tcPr>
          <w:p>
            <w:pPr>
              <w:spacing w:after="0"/>
            </w:pPr>
            <w:r>
              <w:rPr>
                <w:rFonts w:ascii="Carlito" w:hAnsi="Carlito" w:eastAsia="Carlito"/>
                <w:color w:val="1F2933"/>
                <w:sz w:val="16"/>
              </w:rPr>
              <w:t>EUR 852.1890000</w:t>
            </w:r>
          </w:p>
        </w:tc>
      </w:tr>
      <w:tr>
        <w:tc>
          <w:tcPr>
            <w:tcW w:type="dxa" w:w="4176"/>
            <w:tcMar>
              <w:top w:w="60" w:type="dxa"/>
              <w:start w:w="80" w:type="dxa"/>
              <w:bottom w:w="60" w:type="dxa"/>
              <w:end w:w="80" w:type="dxa"/>
            </w:tcMar>
            <w:vAlign w:val="top"/>
          </w:tcPr>
          <w:p>
            <w:pPr>
              <w:spacing w:after="0"/>
            </w:pPr>
            <w:r>
              <w:rPr>
                <w:rFonts w:ascii="Carlito" w:hAnsi="Carlito" w:eastAsia="Carlito"/>
                <w:color w:val="1F2933"/>
                <w:sz w:val="16"/>
              </w:rPr>
              <w:t>Plant pool unit cost</w:t>
            </w:r>
          </w:p>
        </w:tc>
        <w:tc>
          <w:tcPr>
            <w:tcW w:type="dxa" w:w="5760"/>
            <w:tcMar>
              <w:top w:w="60" w:type="dxa"/>
              <w:start w:w="80" w:type="dxa"/>
              <w:bottom w:w="60" w:type="dxa"/>
              <w:end w:w="80" w:type="dxa"/>
            </w:tcMar>
            <w:vAlign w:val="top"/>
          </w:tcPr>
          <w:p>
            <w:pPr>
              <w:spacing w:after="0"/>
            </w:pPr>
            <w:r>
              <w:rPr>
                <w:rFonts w:ascii="Carlito" w:hAnsi="Carlito" w:eastAsia="Carlito"/>
                <w:color w:val="1F2933"/>
                <w:sz w:val="16"/>
              </w:rPr>
              <w:t>EUR 17.0437800/unit</w:t>
            </w:r>
          </w:p>
        </w:tc>
      </w:tr>
      <w:tr>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6"/>
              </w:rPr>
              <w:t>Plant served value</w:t>
            </w:r>
          </w:p>
        </w:tc>
        <w:tc>
          <w:tcPr>
            <w:tcW w:type="dxa" w:w="5760"/>
            <w:shd w:fill="F7F8F9" w:val="clear"/>
            <w:tcMar>
              <w:top w:w="60" w:type="dxa"/>
              <w:start w:w="80" w:type="dxa"/>
              <w:bottom w:w="60" w:type="dxa"/>
              <w:end w:w="80" w:type="dxa"/>
            </w:tcMar>
            <w:vAlign w:val="top"/>
          </w:tcPr>
          <w:p>
            <w:pPr>
              <w:spacing w:after="0"/>
            </w:pPr>
            <w:r>
              <w:rPr>
                <w:rFonts w:ascii="Carlito" w:hAnsi="Carlito" w:eastAsia="Carlito"/>
                <w:color w:val="1F2933"/>
                <w:sz w:val="16"/>
              </w:rPr>
              <w:t>EUR 681.7512000</w:t>
            </w:r>
          </w:p>
        </w:tc>
      </w:tr>
      <w:tr>
        <w:tc>
          <w:tcPr>
            <w:tcW w:type="dxa" w:w="4176"/>
            <w:tcMar>
              <w:top w:w="60" w:type="dxa"/>
              <w:start w:w="80" w:type="dxa"/>
              <w:bottom w:w="60" w:type="dxa"/>
              <w:end w:w="80" w:type="dxa"/>
            </w:tcMar>
            <w:vAlign w:val="top"/>
          </w:tcPr>
          <w:p>
            <w:pPr>
              <w:spacing w:after="0"/>
            </w:pPr>
            <w:r>
              <w:rPr>
                <w:rFonts w:ascii="Carlito" w:hAnsi="Carlito" w:eastAsia="Carlito"/>
                <w:color w:val="1F2933"/>
                <w:sz w:val="16"/>
              </w:rPr>
              <w:t>Plant closing inventory value</w:t>
            </w:r>
          </w:p>
        </w:tc>
        <w:tc>
          <w:tcPr>
            <w:tcW w:type="dxa" w:w="5760"/>
            <w:tcMar>
              <w:top w:w="60" w:type="dxa"/>
              <w:start w:w="80" w:type="dxa"/>
              <w:bottom w:w="60" w:type="dxa"/>
              <w:end w:w="80" w:type="dxa"/>
            </w:tcMar>
            <w:vAlign w:val="top"/>
          </w:tcPr>
          <w:p>
            <w:pPr>
              <w:spacing w:after="0"/>
            </w:pPr>
            <w:r>
              <w:rPr>
                <w:rFonts w:ascii="Carlito" w:hAnsi="Carlito" w:eastAsia="Carlito"/>
                <w:color w:val="1F2933"/>
                <w:sz w:val="16"/>
              </w:rPr>
              <w:t>EUR 170.4378000</w:t>
            </w:r>
          </w:p>
        </w:tc>
      </w:tr>
      <w:tr>
        <w:tc>
          <w:tcPr>
            <w:tcW w:type="dxa" w:w="4176"/>
            <w:shd w:fill="F7F8F9" w:val="clear"/>
            <w:tcMar>
              <w:top w:w="60" w:type="dxa"/>
              <w:start w:w="80" w:type="dxa"/>
              <w:bottom w:w="60" w:type="dxa"/>
              <w:end w:w="80" w:type="dxa"/>
            </w:tcMar>
            <w:vAlign w:val="top"/>
          </w:tcPr>
          <w:p>
            <w:pPr>
              <w:spacing w:after="0"/>
            </w:pPr>
            <w:r>
              <w:rPr>
                <w:rFonts w:ascii="Carlito" w:hAnsi="Carlito" w:eastAsia="Carlito"/>
                <w:color w:val="1F2933"/>
                <w:sz w:val="16"/>
              </w:rPr>
              <w:t>Stage-2 recursive value before non-capitalised cost</w:t>
            </w:r>
          </w:p>
        </w:tc>
        <w:tc>
          <w:tcPr>
            <w:tcW w:type="dxa" w:w="5760"/>
            <w:shd w:fill="F7F8F9" w:val="clear"/>
            <w:tcMar>
              <w:top w:w="60" w:type="dxa"/>
              <w:start w:w="80" w:type="dxa"/>
              <w:bottom w:w="60" w:type="dxa"/>
              <w:end w:w="80" w:type="dxa"/>
            </w:tcMar>
            <w:vAlign w:val="top"/>
          </w:tcPr>
          <w:p>
            <w:pPr>
              <w:spacing w:after="0"/>
            </w:pPr>
            <w:r>
              <w:rPr>
                <w:rFonts w:ascii="Carlito" w:hAnsi="Carlito" w:eastAsia="Carlito"/>
                <w:color w:val="1F2933"/>
                <w:sz w:val="16"/>
              </w:rPr>
              <w:t>EUR 920.5223333</w:t>
            </w:r>
          </w:p>
        </w:tc>
      </w:tr>
    </w:tbl>
    <w:p>
      <w:pPr>
        <w:spacing w:after="0"/>
      </w:pPr>
    </w:p>
    <w:p>
      <w:pPr>
        <w:spacing w:after="90"/>
      </w:pPr>
      <w:r>
        <w:t>These values assume the exact fixture terms in Section 12.8 and no holding or horizon-activation expense. Expected output files should include full-precision calculations and tolerance-aware comparisons.</w:t>
      </w:r>
    </w:p>
    <w:p>
      <w:pPr>
        <w:pStyle w:val="Heading1"/>
      </w:pPr>
      <w:r>
        <w:t>Appendix F - Requirements traceability pattern</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3168"/>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Requirement source</w:t>
            </w:r>
          </w:p>
        </w:tc>
        <w:tc>
          <w:tcPr>
            <w:tcW w:type="dxa" w:w="6768"/>
            <w:shd w:fill="17365D" w:val="clear"/>
            <w:tcMar>
              <w:top w:w="60" w:type="dxa"/>
              <w:start w:w="80" w:type="dxa"/>
              <w:bottom w:w="60" w:type="dxa"/>
              <w:end w:w="80" w:type="dxa"/>
            </w:tcMar>
            <w:vAlign w:val="center"/>
          </w:tcPr>
          <w:p>
            <w:pPr>
              <w:spacing w:after="0"/>
            </w:pPr>
            <w:r>
              <w:rPr>
                <w:rFonts w:ascii="Carlito" w:hAnsi="Carlito" w:eastAsia="Carlito"/>
                <w:b/>
                <w:color w:val="FFFFFF"/>
                <w:sz w:val="16"/>
              </w:rPr>
              <w:t>Derived artefacts</w:t>
            </w:r>
          </w:p>
        </w:tc>
      </w:tr>
      <w:tr>
        <w:tc>
          <w:tcPr>
            <w:tcW w:type="dxa" w:w="3168"/>
            <w:tcMar>
              <w:top w:w="60" w:type="dxa"/>
              <w:start w:w="80" w:type="dxa"/>
              <w:bottom w:w="60" w:type="dxa"/>
              <w:end w:w="80" w:type="dxa"/>
            </w:tcMar>
            <w:vAlign w:val="top"/>
          </w:tcPr>
          <w:p>
            <w:pPr>
              <w:spacing w:after="0"/>
            </w:pPr>
            <w:r>
              <w:rPr>
                <w:rFonts w:ascii="Carlito" w:hAnsi="Carlito" w:eastAsia="Carlito"/>
                <w:color w:val="1F2933"/>
                <w:sz w:val="16"/>
              </w:rPr>
              <w:t>Approved ADR and decision configuration</w:t>
            </w:r>
          </w:p>
        </w:tc>
        <w:tc>
          <w:tcPr>
            <w:tcW w:type="dxa" w:w="6768"/>
            <w:tcMar>
              <w:top w:w="60" w:type="dxa"/>
              <w:start w:w="80" w:type="dxa"/>
              <w:bottom w:w="60" w:type="dxa"/>
              <w:end w:w="80" w:type="dxa"/>
            </w:tcMar>
            <w:vAlign w:val="top"/>
          </w:tcPr>
          <w:p>
            <w:pPr>
              <w:spacing w:after="0"/>
            </w:pPr>
            <w:r>
              <w:rPr>
                <w:rFonts w:ascii="Carlito" w:hAnsi="Carlito" w:eastAsia="Carlito"/>
                <w:color w:val="1F2933"/>
                <w:sz w:val="16"/>
              </w:rPr>
              <w:t>Schema constraints, generator parameters, model equations, output fields and evaluator rules.</w:t>
            </w:r>
          </w:p>
        </w:tc>
      </w:tr>
      <w:tr>
        <w:tc>
          <w:tcPr>
            <w:tcW w:type="dxa" w:w="3168"/>
            <w:shd w:fill="F7F8F9" w:val="clear"/>
            <w:tcMar>
              <w:top w:w="60" w:type="dxa"/>
              <w:start w:w="80" w:type="dxa"/>
              <w:bottom w:w="60" w:type="dxa"/>
              <w:end w:w="80" w:type="dxa"/>
            </w:tcMar>
            <w:vAlign w:val="top"/>
          </w:tcPr>
          <w:p>
            <w:pPr>
              <w:spacing w:after="0"/>
            </w:pPr>
            <w:r>
              <w:rPr>
                <w:rFonts w:ascii="Carlito" w:hAnsi="Carlito" w:eastAsia="Carlito"/>
                <w:color w:val="1F2933"/>
                <w:sz w:val="16"/>
              </w:rPr>
              <w:t>Raw-data field</w:t>
            </w:r>
          </w:p>
        </w:tc>
        <w:tc>
          <w:tcPr>
            <w:tcW w:type="dxa" w:w="6768"/>
            <w:shd w:fill="F7F8F9" w:val="clear"/>
            <w:tcMar>
              <w:top w:w="60" w:type="dxa"/>
              <w:start w:w="80" w:type="dxa"/>
              <w:bottom w:w="60" w:type="dxa"/>
              <w:end w:w="80" w:type="dxa"/>
            </w:tcMar>
            <w:vAlign w:val="top"/>
          </w:tcPr>
          <w:p>
            <w:pPr>
              <w:spacing w:after="0"/>
            </w:pPr>
            <w:r>
              <w:rPr>
                <w:rFonts w:ascii="Carlito" w:hAnsi="Carlito" w:eastAsia="Carlito"/>
                <w:color w:val="1F2933"/>
                <w:sz w:val="16"/>
              </w:rPr>
              <w:t>Data dictionary entry, machine schema, generation rule, structural validator and model ingestion test.</w:t>
            </w:r>
          </w:p>
        </w:tc>
      </w:tr>
      <w:tr>
        <w:tc>
          <w:tcPr>
            <w:tcW w:type="dxa" w:w="3168"/>
            <w:tcMar>
              <w:top w:w="60" w:type="dxa"/>
              <w:start w:w="80" w:type="dxa"/>
              <w:bottom w:w="60" w:type="dxa"/>
              <w:end w:w="80" w:type="dxa"/>
            </w:tcMar>
            <w:vAlign w:val="top"/>
          </w:tcPr>
          <w:p>
            <w:pPr>
              <w:spacing w:after="0"/>
            </w:pPr>
            <w:r>
              <w:rPr>
                <w:rFonts w:ascii="Carlito" w:hAnsi="Carlito" w:eastAsia="Carlito"/>
                <w:color w:val="1F2933"/>
                <w:sz w:val="16"/>
              </w:rPr>
              <w:t>Model equation</w:t>
            </w:r>
          </w:p>
        </w:tc>
        <w:tc>
          <w:tcPr>
            <w:tcW w:type="dxa" w:w="6768"/>
            <w:tcMar>
              <w:top w:w="60" w:type="dxa"/>
              <w:start w:w="80" w:type="dxa"/>
              <w:bottom w:w="60" w:type="dxa"/>
              <w:end w:w="80" w:type="dxa"/>
            </w:tcMar>
            <w:vAlign w:val="top"/>
          </w:tcPr>
          <w:p>
            <w:pPr>
              <w:spacing w:after="0"/>
            </w:pPr>
            <w:r>
              <w:rPr>
                <w:rFonts w:ascii="Carlito" w:hAnsi="Carlito" w:eastAsia="Carlito"/>
                <w:color w:val="1F2933"/>
                <w:sz w:val="16"/>
              </w:rPr>
              <w:t>Model component, miniature-fixture assertion, post-solve reconciliation and evaluator flag.</w:t>
            </w:r>
          </w:p>
        </w:tc>
      </w:tr>
      <w:tr>
        <w:tc>
          <w:tcPr>
            <w:tcW w:type="dxa" w:w="3168"/>
            <w:shd w:fill="F7F8F9" w:val="clear"/>
            <w:tcMar>
              <w:top w:w="60" w:type="dxa"/>
              <w:start w:w="80" w:type="dxa"/>
              <w:bottom w:w="60" w:type="dxa"/>
              <w:end w:w="80" w:type="dxa"/>
            </w:tcMar>
            <w:vAlign w:val="top"/>
          </w:tcPr>
          <w:p>
            <w:pPr>
              <w:spacing w:after="0"/>
            </w:pPr>
            <w:r>
              <w:rPr>
                <w:rFonts w:ascii="Carlito" w:hAnsi="Carlito" w:eastAsia="Carlito"/>
                <w:color w:val="1F2933"/>
                <w:sz w:val="16"/>
              </w:rPr>
              <w:t>Objective or cost policy</w:t>
            </w:r>
          </w:p>
        </w:tc>
        <w:tc>
          <w:tcPr>
            <w:tcW w:type="dxa" w:w="6768"/>
            <w:shd w:fill="F7F8F9" w:val="clear"/>
            <w:tcMar>
              <w:top w:w="60" w:type="dxa"/>
              <w:start w:w="80" w:type="dxa"/>
              <w:bottom w:w="60" w:type="dxa"/>
              <w:end w:w="80" w:type="dxa"/>
            </w:tcMar>
            <w:vAlign w:val="top"/>
          </w:tcPr>
          <w:p>
            <w:pPr>
              <w:spacing w:after="0"/>
            </w:pPr>
            <w:r>
              <w:rPr>
                <w:rFonts w:ascii="Carlito" w:hAnsi="Carlito" w:eastAsia="Carlito"/>
                <w:color w:val="1F2933"/>
                <w:sz w:val="16"/>
              </w:rPr>
              <w:t>Cost-allocation rule, ledger output, anti-gaming test, application metric and presentation evidence.</w:t>
            </w:r>
          </w:p>
        </w:tc>
      </w:tr>
      <w:tr>
        <w:tc>
          <w:tcPr>
            <w:tcW w:type="dxa" w:w="3168"/>
            <w:tcMar>
              <w:top w:w="60" w:type="dxa"/>
              <w:start w:w="80" w:type="dxa"/>
              <w:bottom w:w="60" w:type="dxa"/>
              <w:end w:w="80" w:type="dxa"/>
            </w:tcMar>
            <w:vAlign w:val="top"/>
          </w:tcPr>
          <w:p>
            <w:pPr>
              <w:spacing w:after="0"/>
            </w:pPr>
            <w:r>
              <w:rPr>
                <w:rFonts w:ascii="Carlito" w:hAnsi="Carlito" w:eastAsia="Carlito"/>
                <w:color w:val="1F2933"/>
                <w:sz w:val="16"/>
              </w:rPr>
              <w:t>Scenario rule</w:t>
            </w:r>
          </w:p>
        </w:tc>
        <w:tc>
          <w:tcPr>
            <w:tcW w:type="dxa" w:w="6768"/>
            <w:tcMar>
              <w:top w:w="60" w:type="dxa"/>
              <w:start w:w="80" w:type="dxa"/>
              <w:bottom w:w="60" w:type="dxa"/>
              <w:end w:w="80" w:type="dxa"/>
            </w:tcMar>
            <w:vAlign w:val="top"/>
          </w:tcPr>
          <w:p>
            <w:pPr>
              <w:spacing w:after="0"/>
            </w:pPr>
            <w:r>
              <w:rPr>
                <w:rFonts w:ascii="Carlito" w:hAnsi="Carlito" w:eastAsia="Carlito"/>
                <w:color w:val="1F2933"/>
                <w:sz w:val="16"/>
              </w:rPr>
              <w:t>Impact data, scenario transformation test, scenario output and application control.</w:t>
            </w:r>
          </w:p>
        </w:tc>
      </w:tr>
      <w:tr>
        <w:tc>
          <w:tcPr>
            <w:tcW w:type="dxa" w:w="3168"/>
            <w:shd w:fill="F7F8F9" w:val="clear"/>
            <w:tcMar>
              <w:top w:w="60" w:type="dxa"/>
              <w:start w:w="80" w:type="dxa"/>
              <w:bottom w:w="60" w:type="dxa"/>
              <w:end w:w="80" w:type="dxa"/>
            </w:tcMar>
            <w:vAlign w:val="top"/>
          </w:tcPr>
          <w:p>
            <w:pPr>
              <w:spacing w:after="0"/>
            </w:pPr>
            <w:r>
              <w:rPr>
                <w:rFonts w:ascii="Carlito" w:hAnsi="Carlito" w:eastAsia="Carlito"/>
                <w:color w:val="1F2933"/>
                <w:sz w:val="16"/>
              </w:rPr>
              <w:t>Quality gate</w:t>
            </w:r>
          </w:p>
        </w:tc>
        <w:tc>
          <w:tcPr>
            <w:tcW w:type="dxa" w:w="6768"/>
            <w:shd w:fill="F7F8F9" w:val="clear"/>
            <w:tcMar>
              <w:top w:w="60" w:type="dxa"/>
              <w:start w:w="80" w:type="dxa"/>
              <w:bottom w:w="60" w:type="dxa"/>
              <w:end w:w="80" w:type="dxa"/>
            </w:tcMar>
            <w:vAlign w:val="top"/>
          </w:tcPr>
          <w:p>
            <w:pPr>
              <w:spacing w:after="0"/>
            </w:pPr>
            <w:r>
              <w:rPr>
                <w:rFonts w:ascii="Carlito" w:hAnsi="Carlito" w:eastAsia="Carlito"/>
                <w:color w:val="1F2933"/>
                <w:sz w:val="16"/>
              </w:rPr>
              <w:t>Deterministic test, evaluator evidence item, grading consequence and human-review trigger.</w:t>
            </w:r>
          </w:p>
        </w:tc>
      </w:tr>
    </w:tbl>
    <w:p>
      <w:pPr>
        <w:spacing w:after="0"/>
      </w:pPr>
    </w:p>
    <w:p>
      <w:pPr>
        <w:pStyle w:val="Heading1"/>
      </w:pPr>
      <w:r>
        <w:t>Document status</w:t>
      </w:r>
    </w:p>
    <w:p>
      <w:pPr>
        <w:spacing w:after="90"/>
      </w:pPr>
      <w:r>
        <w:t>Version 0.3 establishes the controlled Tier-N end-to-end recursive-cost direction for CAP-001 and supersedes the v0.2 two-tier assessed model. Full dataset generation begins only after the miniature fixture, solver proof of concept and required ADRs are approved. Numerical calibration values may change through controlled configuration without reopening the business direction, provided the resulting artefacts are regenerated and versioned.</w:t>
      </w:r>
    </w:p>
    <w:sectPr w:rsidR="00FC693F" w:rsidRPr="0006063C" w:rsidSect="00034616">
      <w:headerReference w:type="default" r:id="rId9"/>
      <w:footerReference w:type="default" r:id="rId10"/>
      <w:pgSz w:w="11905" w:h="16838"/>
      <w:pgMar w:top="893" w:right="893" w:bottom="835" w:left="893"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8496"/>
      <w:gridCol w:w="1584"/>
    </w:tblGrid>
    <w:tr>
      <w:tc>
        <w:tcPr>
          <w:tcW w:type="dxa" w:w="8496"/>
          <w:tcMar>
            <w:top w:w="0" w:type="dxa"/>
            <w:start w:w="0" w:type="dxa"/>
            <w:bottom w:w="0" w:type="dxa"/>
            <w:end w:w="0" w:type="dxa"/>
          </w:tcMar>
          <w:tcBorders>
            <w:top w:val="nil"/>
            <w:start w:val="nil"/>
            <w:bottom w:val="nil"/>
            <w:end w:val="nil"/>
          </w:tcBorders>
        </w:tcPr>
        <w:p>
          <w:r>
            <w:rPr>
              <w:rFonts w:ascii="Arial" w:hAnsi="Arial" w:eastAsia="Arial"/>
              <w:color w:val="68747F"/>
              <w:sz w:val="15"/>
            </w:rPr>
            <w:t>Internal working document  |  Version 0.3</w:t>
          </w:r>
        </w:p>
      </w:tc>
      <w:tc>
        <w:tcPr>
          <w:tcW w:type="dxa" w:w="1584"/>
          <w:tcMar>
            <w:top w:w="0" w:type="dxa"/>
            <w:start w:w="0" w:type="dxa"/>
            <w:bottom w:w="0" w:type="dxa"/>
            <w:end w:w="0" w:type="dxa"/>
          </w:tcMar>
          <w:tcBorders>
            <w:top w:val="nil"/>
            <w:start w:val="nil"/>
            <w:bottom w:val="nil"/>
            <w:end w:val="nil"/>
          </w:tcBorders>
        </w:tcPr>
        <w:p>
          <w:pPr>
            <w:jc w:val="right"/>
          </w:pPr>
          <w:r>
            <w:rPr>
              <w:rFonts w:ascii="Arial" w:hAnsi="Arial" w:eastAsia="Arial"/>
              <w:color w:val="68747F"/>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3" w:color="D5DDE5"/>
      </w:pBdr>
    </w:pPr>
    <w:r>
      <w:rPr>
        <w:rFonts w:ascii="Arial" w:hAnsi="Arial" w:eastAsia="Arial"/>
        <w:b/>
        <w:color w:val="0B7A75"/>
        <w:sz w:val="15"/>
      </w:rPr>
      <w:t>CAP-001  |  TIER-N SUPPLIER ALLOCATION UNDER DISRUPTION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60"/>
      <w:outlineLvl w:val="0"/>
    </w:pPr>
    <w:rPr>
      <w:rFonts w:asciiTheme="majorHAnsi" w:eastAsiaTheme="majorEastAsia" w:hAnsiTheme="majorHAnsi" w:cstheme="majorBidi" w:ascii="Arial" w:hAnsi="Arial"/>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B7A7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b/>
      <w:bCs/>
      <w:i/>
      <w:iCs/>
      <w:color w:val="0B7A7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2F7D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CAP-001 Tier-N End-to-End Cost Model Design and Dataset Generation Specification</dc:title>
  <dc:subject>Supplier allocation under disruption risk with recursive weighted-average costing</dc:subject>
  <dc:creator>Optimisation, Search and Decision Intelligence capability</dc:creator>
  <cp:keywords>CAP-001, Tier-N, supplier allocation, MINLP, recursive cost, weighted average, disruption risk</cp:keywords>
  <dc:description>generated by python-docx</dc:description>
  <cp:lastModifiedBy/>
  <cp:revision>1</cp:revision>
  <dcterms:created xsi:type="dcterms:W3CDTF">2013-12-23T23:15:00Z</dcterms:created>
  <dcterms:modified xsi:type="dcterms:W3CDTF">2013-12-23T23:15:00Z</dcterms:modified>
  <cp:category/>
</cp:coreProperties>
</file>