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after="240"/>
      </w:pPr>
      <w:r>
        <w:rPr>
          <w:rFonts w:ascii="Carlito" w:hAnsi="Carlito" w:eastAsia="Carlito"/>
          <w:b/>
          <w:color w:val="17365D"/>
          <w:sz w:val="48"/>
        </w:rPr>
        <w:t>OPTIMISATION, SEARCH</w:t>
        <w:br/>
        <w:t>AND DECISION INTELLIGENCE</w:t>
      </w:r>
    </w:p>
    <w:p>
      <w:pPr>
        <w:spacing w:after="200"/>
      </w:pPr>
      <w:r>
        <w:rPr>
          <w:rFonts w:ascii="Carlito" w:hAnsi="Carlito" w:eastAsia="Carlito"/>
          <w:b/>
          <w:color w:val="0B7A75"/>
          <w:sz w:val="62"/>
        </w:rPr>
        <w:t>Capstone Control Standard</w:t>
      </w:r>
    </w:p>
    <w:p>
      <w:pPr>
        <w:spacing w:after="480"/>
      </w:pPr>
      <w:r>
        <w:rPr>
          <w:rFonts w:ascii="Carlito" w:hAnsi="Carlito" w:eastAsia="Carlito"/>
          <w:color w:val="42515E"/>
          <w:sz w:val="26"/>
        </w:rPr>
        <w:t>Repository controls, AI-native delivery contract, assessment framework and fixed input data specifications</w:t>
      </w:r>
    </w:p>
    <w:tbl>
      <w:tblPr>
        <w:tblW w:type="auto" w:w="0"/>
        <w:tblLayout w:type="fixed"/>
        <w:tblLook w:firstColumn="1" w:firstRow="1" w:lastColumn="0" w:lastRow="0" w:noHBand="0" w:noVBand="1" w:val="04A0"/>
      </w:tblPr>
      <w:tblGrid>
        <w:gridCol w:w="3024"/>
      </w:tblGrid>
      <w:tr>
        <w:tc>
          <w:tcPr>
            <w:tcW w:type="dxa" w:w="10119"/>
            <w:shd w:fill="0B7A75" w:val="clear"/>
            <w:tcMar>
              <w:top w:w="20" w:type="dxa"/>
              <w:start w:w="0" w:type="dxa"/>
              <w:bottom w:w="20" w:type="dxa"/>
              <w:end w:w="0" w:type="dxa"/>
            </w:tcMar>
            <w:tcBorders>
              <w:top w:val="nil"/>
              <w:start w:val="nil"/>
              <w:bottom w:val="nil"/>
              <w:end w:val="nil"/>
            </w:tcBorders>
          </w:tcPr>
          <w:p>
            <w:r/>
          </w:p>
        </w:tc>
      </w:tr>
    </w:tbl>
    <w:p>
      <w:pPr>
        <w:spacing w:before="560" w:after="140"/>
      </w:pPr>
      <w:r>
        <w:rPr>
          <w:rFonts w:ascii="Carlito" w:hAnsi="Carlito" w:eastAsia="Carlito"/>
          <w:b/>
          <w:color w:val="0B7A75"/>
          <w:sz w:val="18"/>
        </w:rPr>
        <w:t>INITIAL CAPSTONE PORTFOLIO</w:t>
      </w:r>
    </w:p>
    <w:p>
      <w:pPr>
        <w:spacing w:after="40"/>
      </w:pPr>
      <w:r>
        <w:rPr>
          <w:rFonts w:ascii="Carlito" w:hAnsi="Carlito" w:eastAsia="Carlito"/>
          <w:b/>
          <w:color w:val="17365D"/>
          <w:sz w:val="24"/>
        </w:rPr>
        <w:t>Supplier Allocation Under Disruption Risk</w:t>
      </w:r>
    </w:p>
    <w:p>
      <w:pPr>
        <w:spacing w:after="40"/>
      </w:pPr>
      <w:r>
        <w:rPr>
          <w:rFonts w:ascii="Carlito" w:hAnsi="Carlito" w:eastAsia="Carlito"/>
          <w:b/>
          <w:color w:val="17365D"/>
          <w:sz w:val="24"/>
        </w:rPr>
        <w:t>Field Service Routing and Scheduling</w:t>
      </w:r>
    </w:p>
    <w:p>
      <w:pPr>
        <w:spacing w:after="40"/>
      </w:pPr>
      <w:r>
        <w:rPr>
          <w:rFonts w:ascii="Carlito" w:hAnsi="Carlito" w:eastAsia="Carlito"/>
          <w:b/>
          <w:color w:val="17365D"/>
          <w:sz w:val="24"/>
        </w:rPr>
        <w:t>Portfolio Risk Allocation</w:t>
      </w:r>
    </w:p>
    <w:p>
      <w:pPr>
        <w:spacing w:before="440" w:after="40"/>
      </w:pPr>
      <w:r>
        <w:rPr>
          <w:rFonts w:ascii="Carlito" w:hAnsi="Carlito" w:eastAsia="Carlito"/>
          <w:color w:val="68747F"/>
          <w:sz w:val="20"/>
        </w:rPr>
        <w:t>Controlled Working Draft | Version 0.2 | 30 July 2026</w:t>
      </w:r>
    </w:p>
    <w:p>
      <w:r>
        <w:rPr>
          <w:rFonts w:ascii="Carlito" w:hAnsi="Carlito" w:eastAsia="Carlito"/>
          <w:color w:val="68747F"/>
          <w:sz w:val="18"/>
        </w:rPr>
        <w:t>Internal capability development</w:t>
      </w:r>
    </w:p>
    <w:p>
      <w:pPr>
        <w:pStyle w:val="Heading1"/>
      </w:pPr>
      <w:r>
        <w:t>Document control</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520"/>
            <w:shd w:fill="17365D" w:val="clear"/>
            <w:tcMar>
              <w:top w:w="60" w:type="dxa"/>
              <w:start w:w="80" w:type="dxa"/>
              <w:bottom w:w="60" w:type="dxa"/>
              <w:end w:w="80" w:type="dxa"/>
            </w:tcMar>
            <w:vAlign w:val="center"/>
          </w:tcPr>
          <w:p>
            <w:pPr>
              <w:spacing w:after="0"/>
            </w:pPr>
            <w:r>
              <w:rPr>
                <w:rFonts w:ascii="Carlito" w:hAnsi="Carlito" w:eastAsia="Carlito"/>
                <w:b/>
                <w:color w:val="FFFFFF"/>
                <w:sz w:val="17"/>
              </w:rPr>
              <w:t>Field</w:t>
            </w:r>
          </w:p>
        </w:tc>
        <w:tc>
          <w:tcPr>
            <w:tcW w:type="dxa" w:w="7416"/>
            <w:shd w:fill="17365D" w:val="clear"/>
            <w:tcMar>
              <w:top w:w="60" w:type="dxa"/>
              <w:start w:w="80" w:type="dxa"/>
              <w:bottom w:w="60" w:type="dxa"/>
              <w:end w:w="80" w:type="dxa"/>
            </w:tcMar>
            <w:vAlign w:val="center"/>
          </w:tcPr>
          <w:p>
            <w:pPr>
              <w:spacing w:after="0"/>
            </w:pPr>
            <w:r>
              <w:rPr>
                <w:rFonts w:ascii="Carlito" w:hAnsi="Carlito" w:eastAsia="Carlito"/>
                <w:b/>
                <w:color w:val="FFFFFF"/>
                <w:sz w:val="17"/>
              </w:rPr>
              <w:t>Value</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7"/>
              </w:rPr>
              <w:t>Document title</w:t>
            </w:r>
          </w:p>
        </w:tc>
        <w:tc>
          <w:tcPr>
            <w:tcW w:type="dxa" w:w="7416"/>
            <w:tcMar>
              <w:top w:w="60" w:type="dxa"/>
              <w:start w:w="80" w:type="dxa"/>
              <w:bottom w:w="60" w:type="dxa"/>
              <w:end w:w="80" w:type="dxa"/>
            </w:tcMar>
            <w:vAlign w:val="top"/>
          </w:tcPr>
          <w:p>
            <w:pPr>
              <w:spacing w:after="0"/>
            </w:pPr>
            <w:r>
              <w:rPr>
                <w:rFonts w:ascii="Carlito" w:hAnsi="Carlito" w:eastAsia="Carlito"/>
                <w:color w:val="1F2933"/>
                <w:sz w:val="17"/>
              </w:rPr>
              <w:t>Optimisation, Search and Decision Intelligence Capstone Control Standard</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7"/>
              </w:rPr>
              <w:t>Version</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7"/>
              </w:rPr>
              <w:t>0.2</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7"/>
              </w:rPr>
              <w:t>Status</w:t>
            </w:r>
          </w:p>
        </w:tc>
        <w:tc>
          <w:tcPr>
            <w:tcW w:type="dxa" w:w="7416"/>
            <w:tcMar>
              <w:top w:w="60" w:type="dxa"/>
              <w:start w:w="80" w:type="dxa"/>
              <w:bottom w:w="60" w:type="dxa"/>
              <w:end w:w="80" w:type="dxa"/>
            </w:tcMar>
            <w:vAlign w:val="top"/>
          </w:tcPr>
          <w:p>
            <w:pPr>
              <w:spacing w:after="0"/>
            </w:pPr>
            <w:r>
              <w:rPr>
                <w:rFonts w:ascii="Carlito" w:hAnsi="Carlito" w:eastAsia="Carlito"/>
                <w:color w:val="1F2933"/>
                <w:sz w:val="17"/>
              </w:rPr>
              <w:t>Controlled working draft</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7"/>
              </w:rPr>
              <w:t>Date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7"/>
              </w:rPr>
              <w:t>30 July 2026</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7"/>
              </w:rPr>
              <w:t>Owner</w:t>
            </w:r>
          </w:p>
        </w:tc>
        <w:tc>
          <w:tcPr>
            <w:tcW w:type="dxa" w:w="7416"/>
            <w:tcMar>
              <w:top w:w="60" w:type="dxa"/>
              <w:start w:w="80" w:type="dxa"/>
              <w:bottom w:w="60" w:type="dxa"/>
              <w:end w:w="80" w:type="dxa"/>
            </w:tcMar>
            <w:vAlign w:val="top"/>
          </w:tcPr>
          <w:p>
            <w:pPr>
              <w:spacing w:after="0"/>
            </w:pPr>
            <w:r>
              <w:rPr>
                <w:rFonts w:ascii="Carlito" w:hAnsi="Carlito" w:eastAsia="Carlito"/>
                <w:color w:val="1F2933"/>
                <w:sz w:val="17"/>
              </w:rPr>
              <w:t>Optimisation Sub-pillar Lead</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7"/>
              </w:rPr>
              <w:t>Audience</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7"/>
              </w:rPr>
              <w:t>Capability owners, capstone designers, evaluators, technical reviewers and reference-implementation teams</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7"/>
              </w:rPr>
              <w:t>Classification</w:t>
            </w:r>
          </w:p>
        </w:tc>
        <w:tc>
          <w:tcPr>
            <w:tcW w:type="dxa" w:w="7416"/>
            <w:tcMar>
              <w:top w:w="60" w:type="dxa"/>
              <w:start w:w="80" w:type="dxa"/>
              <w:bottom w:w="60" w:type="dxa"/>
              <w:end w:w="80" w:type="dxa"/>
            </w:tcMar>
            <w:vAlign w:val="top"/>
          </w:tcPr>
          <w:p>
            <w:pPr>
              <w:spacing w:after="0"/>
            </w:pPr>
            <w:r>
              <w:rPr>
                <w:rFonts w:ascii="Carlito" w:hAnsi="Carlito" w:eastAsia="Carlito"/>
                <w:color w:val="1F2933"/>
                <w:sz w:val="17"/>
              </w:rPr>
              <w:t>Internal capability development</w:t>
            </w:r>
          </w:p>
        </w:tc>
      </w:tr>
      <w:tr>
        <w:tc>
          <w:tcPr>
            <w:tcW w:type="dxa" w:w="2520"/>
            <w:shd w:fill="F7F8F9" w:val="clear"/>
            <w:tcMar>
              <w:top w:w="60" w:type="dxa"/>
              <w:start w:w="80" w:type="dxa"/>
              <w:bottom w:w="60" w:type="dxa"/>
              <w:end w:w="80" w:type="dxa"/>
            </w:tcMar>
            <w:vAlign w:val="top"/>
          </w:tcPr>
          <w:p>
            <w:pPr>
              <w:spacing w:after="0"/>
            </w:pPr>
            <w:r>
              <w:rPr>
                <w:rFonts w:ascii="Carlito" w:hAnsi="Carlito" w:eastAsia="Carlito"/>
                <w:color w:val="1F2933"/>
                <w:sz w:val="17"/>
              </w:rPr>
              <w:t>Supersedes</w:t>
            </w:r>
          </w:p>
        </w:tc>
        <w:tc>
          <w:tcPr>
            <w:tcW w:type="dxa" w:w="7416"/>
            <w:shd w:fill="F7F8F9" w:val="clear"/>
            <w:tcMar>
              <w:top w:w="60" w:type="dxa"/>
              <w:start w:w="80" w:type="dxa"/>
              <w:bottom w:w="60" w:type="dxa"/>
              <w:end w:w="80" w:type="dxa"/>
            </w:tcMar>
            <w:vAlign w:val="top"/>
          </w:tcPr>
          <w:p>
            <w:pPr>
              <w:spacing w:after="0"/>
            </w:pPr>
            <w:r>
              <w:rPr>
                <w:rFonts w:ascii="Carlito" w:hAnsi="Carlito" w:eastAsia="Carlito"/>
                <w:color w:val="1F2933"/>
                <w:sz w:val="17"/>
              </w:rPr>
              <w:t>Version 0.1 dated 22 July 2026</w:t>
            </w:r>
          </w:p>
        </w:tc>
      </w:tr>
      <w:tr>
        <w:tc>
          <w:tcPr>
            <w:tcW w:type="dxa" w:w="2520"/>
            <w:tcMar>
              <w:top w:w="60" w:type="dxa"/>
              <w:start w:w="80" w:type="dxa"/>
              <w:bottom w:w="60" w:type="dxa"/>
              <w:end w:w="80" w:type="dxa"/>
            </w:tcMar>
            <w:vAlign w:val="top"/>
          </w:tcPr>
          <w:p>
            <w:pPr>
              <w:spacing w:after="0"/>
            </w:pPr>
            <w:r>
              <w:rPr>
                <w:rFonts w:ascii="Carlito" w:hAnsi="Carlito" w:eastAsia="Carlito"/>
                <w:color w:val="1F2933"/>
                <w:sz w:val="17"/>
              </w:rPr>
              <w:t>Material change</w:t>
            </w:r>
          </w:p>
        </w:tc>
        <w:tc>
          <w:tcPr>
            <w:tcW w:type="dxa" w:w="7416"/>
            <w:tcMar>
              <w:top w:w="60" w:type="dxa"/>
              <w:start w:w="80" w:type="dxa"/>
              <w:bottom w:w="60" w:type="dxa"/>
              <w:end w:w="80" w:type="dxa"/>
            </w:tcMar>
            <w:vAlign w:val="top"/>
          </w:tcPr>
          <w:p>
            <w:pPr>
              <w:spacing w:after="0"/>
            </w:pPr>
            <w:r>
              <w:rPr>
                <w:rFonts w:ascii="Carlito" w:hAnsi="Carlito" w:eastAsia="Carlito"/>
                <w:color w:val="1F2933"/>
                <w:sz w:val="17"/>
              </w:rPr>
              <w:t>Introduces AI-native delivery controls and updates CAP-001 to a Tier-N recursive-cost MINLP with a fixed-price MILP baseline.</w:t>
            </w:r>
          </w:p>
        </w:tc>
      </w:tr>
    </w:tbl>
    <w:p>
      <w:pPr>
        <w:spacing w:after="0"/>
      </w:pPr>
    </w:p>
    <w:p>
      <w:pPr>
        <w:pStyle w:val="Heading2"/>
      </w:pPr>
      <w:r>
        <w:t>Purpose</w:t>
      </w:r>
    </w:p>
    <w:p>
      <w:pPr>
        <w:spacing w:after="90"/>
      </w:pPr>
      <w:r>
        <w:t>This document defines the control model for three optimisation capstones. It specifies the repositories, release artefacts, submission contract, assessment framework, production-readiness expectations and fixed input-data controls required for each capstone.</w:t>
      </w:r>
    </w:p>
    <w:p>
      <w:pPr>
        <w:spacing w:after="90"/>
      </w:pPr>
      <w:r>
        <w:t>The framework assumes that consultants will use AI coding and reasoning tools extensively. Assessment therefore concentrates on problem ownership, mathematical correctness, validation, engineering control, solver interpretation and customer-facing judgement.</w:t>
      </w:r>
    </w:p>
    <w:p>
      <w:pPr>
        <w:pStyle w:val="Heading2"/>
      </w:pPr>
      <w:r>
        <w:t>Selected capstones</w:t>
      </w:r>
    </w:p>
    <w:p>
      <w:pPr>
        <w:spacing w:after="50"/>
        <w:ind w:left="317" w:hanging="317"/>
      </w:pPr>
      <w:r>
        <w:rPr>
          <w:b/>
        </w:rPr>
        <w:t xml:space="preserve">1. </w:t>
      </w:r>
      <w:r>
        <w:t>Supplier Allocation Under Disruption Risk - Tier-N end-to-end cost and resilience optimisation.</w:t>
      </w:r>
    </w:p>
    <w:p>
      <w:pPr>
        <w:spacing w:after="50"/>
        <w:ind w:left="317" w:hanging="317"/>
      </w:pPr>
      <w:r>
        <w:rPr>
          <w:b/>
        </w:rPr>
        <w:t xml:space="preserve">2. </w:t>
      </w:r>
      <w:r>
        <w:t>Field Service Routing and Scheduling - assignment, routing, graph search and operational scheduling.</w:t>
      </w:r>
    </w:p>
    <w:p>
      <w:pPr>
        <w:spacing w:after="50"/>
        <w:ind w:left="317" w:hanging="317"/>
      </w:pPr>
      <w:r>
        <w:rPr>
          <w:b/>
        </w:rPr>
        <w:t xml:space="preserve">3. </w:t>
      </w:r>
      <w:r>
        <w:t>Portfolio Risk Allocation - convex risk allocation, tail-risk analysis and constrained rebalancing.</w:t>
      </w:r>
    </w:p>
    <w:p>
      <w:pPr>
        <w:pStyle w:val="Heading1"/>
      </w:pPr>
      <w:r>
        <w:t>Contents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4968"/>
            <w:shd w:fill="17365D" w:val="clear"/>
            <w:tcMar>
              <w:top w:w="60" w:type="dxa"/>
              <w:start w:w="80" w:type="dxa"/>
              <w:bottom w:w="60" w:type="dxa"/>
              <w:end w:w="80" w:type="dxa"/>
            </w:tcMar>
            <w:vAlign w:val="center"/>
          </w:tcPr>
          <w:p>
            <w:pPr>
              <w:spacing w:after="0"/>
            </w:pPr>
            <w:r>
              <w:rPr>
                <w:rFonts w:ascii="Carlito" w:hAnsi="Carlito" w:eastAsia="Carlito"/>
                <w:b/>
                <w:color w:val="FFFFFF"/>
                <w:sz w:val="17"/>
              </w:rPr>
              <w:t>Section</w:t>
            </w:r>
          </w:p>
        </w:tc>
        <w:tc>
          <w:tcPr>
            <w:tcW w:type="dxa" w:w="4968"/>
            <w:shd w:fill="17365D" w:val="clear"/>
            <w:tcMar>
              <w:top w:w="60" w:type="dxa"/>
              <w:start w:w="80" w:type="dxa"/>
              <w:bottom w:w="60" w:type="dxa"/>
              <w:end w:w="80" w:type="dxa"/>
            </w:tcMar>
            <w:vAlign w:val="center"/>
          </w:tcPr>
          <w:p>
            <w:pPr>
              <w:spacing w:after="0"/>
            </w:pPr>
            <w:r>
              <w:rPr>
                <w:rFonts w:ascii="Carlito" w:hAnsi="Carlito" w:eastAsia="Carlito"/>
                <w:b/>
                <w:color w:val="FFFFFF"/>
                <w:sz w:val="17"/>
              </w:rPr>
              <w:t>Section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Executive summary</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8. CAP-001 Supplier Allocation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1. Control principles</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9. CAP-002 Field Service Routing</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2. Private control repository</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10. CAP-003 Portfolio Risk Allocation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3. Student release pack</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11. Presentation contract</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4. Required submission structure</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12. Production-readiness extension</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5. Standardised evaluation artefacts</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13. AI-assisted evaluation model</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6. Common assessment rubric</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14. Recommended implementation sequence</w:t>
            </w:r>
          </w:p>
        </w:tc>
      </w:tr>
      <w:tr>
        <w:tc>
          <w:tcPr>
            <w:tcW w:type="dxa" w:w="4968"/>
            <w:tcMar>
              <w:top w:w="60" w:type="dxa"/>
              <w:start w:w="80" w:type="dxa"/>
              <w:bottom w:w="60" w:type="dxa"/>
              <w:end w:w="80" w:type="dxa"/>
            </w:tcMar>
            <w:vAlign w:val="top"/>
          </w:tcPr>
          <w:p>
            <w:pPr>
              <w:spacing w:after="0"/>
            </w:pPr>
            <w:r>
              <w:rPr>
                <w:rFonts w:ascii="Carlito" w:hAnsi="Carlito" w:eastAsia="Carlito"/>
                <w:color w:val="1F2933"/>
                <w:sz w:val="17"/>
              </w:rPr>
              <w:t>7. Common dataset standards</w:t>
            </w:r>
          </w:p>
        </w:tc>
        <w:tc>
          <w:tcPr>
            <w:tcW w:type="dxa" w:w="4968"/>
            <w:tcMar>
              <w:top w:w="60" w:type="dxa"/>
              <w:start w:w="80" w:type="dxa"/>
              <w:bottom w:w="60" w:type="dxa"/>
              <w:end w:w="80" w:type="dxa"/>
            </w:tcMar>
            <w:vAlign w:val="top"/>
          </w:tcPr>
          <w:p>
            <w:pPr>
              <w:spacing w:after="0"/>
            </w:pPr>
            <w:r>
              <w:rPr>
                <w:rFonts w:ascii="Carlito" w:hAnsi="Carlito" w:eastAsia="Carlito"/>
                <w:color w:val="1F2933"/>
                <w:sz w:val="17"/>
              </w:rPr>
              <w:t>Appendices A-E</w:t>
            </w:r>
          </w:p>
        </w:tc>
      </w:tr>
    </w:tbl>
    <w:p>
      <w:pPr>
        <w:spacing w:after="0"/>
      </w:pPr>
    </w:p>
    <w:p>
      <w:pPr>
        <w:pStyle w:val="Heading1"/>
      </w:pPr>
      <w:r>
        <w:t>Executive summary</w:t>
      </w:r>
    </w:p>
    <w:p>
      <w:pPr>
        <w:spacing w:after="90"/>
      </w:pPr>
      <w:r>
        <w:t>The capstones are controlled assessment products. Each uses a fixed business context, intended user, raw dataset, default case, scenario catalogue and required evidence. Consultants retain freedom in formulation details, optimisation method, solver strategy, application framework and implementation architecture within that controlled frame.</w:t>
      </w:r>
    </w:p>
    <w:tbl>
      <w:tblPr>
        <w:tblW w:type="auto" w:w="0"/>
        <w:jc w:val="center"/>
        <w:tblLayout w:type="fixed"/>
        <w:tblLook w:firstColumn="1" w:firstRow="1" w:lastColumn="0" w:lastRow="0" w:noHBand="0" w:noVBand="1" w:val="04A0"/>
      </w:tblPr>
      <w:tblGrid>
        <w:gridCol w:w="9936"/>
      </w:tblGrid>
      <w:tr>
        <w:tc>
          <w:tcPr>
            <w:tcW w:type="dxa" w:w="10119"/>
            <w:shd w:fill="E7F4F2" w:val="clear"/>
            <w:tcMar>
              <w:top w:w="100" w:type="dxa"/>
              <w:start w:w="130" w:type="dxa"/>
              <w:bottom w:w="100" w:type="dxa"/>
              <w:end w:w="130" w:type="dxa"/>
            </w:tcMar>
            <w:tcBorders>
              <w:top w:val="nil"/>
              <w:start w:val="single" w:sz="18" w:color="0B7A75"/>
              <w:bottom w:val="nil"/>
              <w:end w:val="nil"/>
            </w:tcBorders>
          </w:tcPr>
          <w:p>
            <w:pPr>
              <w:spacing w:after="40"/>
            </w:pPr>
            <w:r>
              <w:rPr>
                <w:rFonts w:ascii="Carlito" w:hAnsi="Carlito" w:eastAsia="Carlito"/>
                <w:b/>
                <w:color w:val="0B7A75"/>
                <w:sz w:val="18"/>
              </w:rPr>
              <w:t>Core standard</w:t>
            </w:r>
          </w:p>
          <w:p>
            <w:pPr>
              <w:spacing w:after="0"/>
            </w:pPr>
            <w:r>
              <w:rPr>
                <w:rFonts w:ascii="Carlito" w:hAnsi="Carlito" w:eastAsia="Carlito"/>
                <w:color w:val="1F2933"/>
                <w:sz w:val="18"/>
              </w:rPr>
              <w:t>Every consultant must build a usable decision-support application, submit a reproducible codebase, document the model, validate the result against a baseline, present a customer-facing recommendation and defend the technical choices made with AI assistance.</w:t>
            </w:r>
          </w:p>
        </w:tc>
      </w:tr>
    </w:tbl>
    <w:p>
      <w:pPr>
        <w:spacing w:after="0"/>
      </w:pPr>
    </w:p>
    <w:p>
      <w:pPr>
        <w:spacing w:after="90"/>
      </w:pPr>
      <w:r>
        <w:t>The control model separates three artefacts: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2304"/>
            <w:shd w:fill="17365D" w:val="clear"/>
            <w:tcMar>
              <w:top w:w="60" w:type="dxa"/>
              <w:start w:w="80" w:type="dxa"/>
              <w:bottom w:w="60" w:type="dxa"/>
              <w:end w:w="80" w:type="dxa"/>
            </w:tcMar>
            <w:vAlign w:val="center"/>
          </w:tcPr>
          <w:p>
            <w:pPr>
              <w:spacing w:after="0"/>
            </w:pPr>
            <w:r>
              <w:rPr>
                <w:rFonts w:ascii="Carlito" w:hAnsi="Carlito" w:eastAsia="Carlito"/>
                <w:b/>
                <w:color w:val="FFFFFF"/>
                <w:sz w:val="16"/>
              </w:rPr>
              <w:t>Artefact</w:t>
            </w:r>
          </w:p>
        </w:tc>
        <w:tc>
          <w:tcPr>
            <w:tcW w:type="dxa" w:w="2304"/>
            <w:shd w:fill="17365D" w:val="clear"/>
            <w:tcMar>
              <w:top w:w="60" w:type="dxa"/>
              <w:start w:w="80" w:type="dxa"/>
              <w:bottom w:w="60" w:type="dxa"/>
              <w:end w:w="80" w:type="dxa"/>
            </w:tcMar>
            <w:vAlign w:val="center"/>
          </w:tcPr>
          <w:p>
            <w:pPr>
              <w:spacing w:after="0"/>
            </w:pPr>
            <w:r>
              <w:rPr>
                <w:rFonts w:ascii="Carlito" w:hAnsi="Carlito" w:eastAsia="Carlito"/>
                <w:b/>
                <w:color w:val="FFFFFF"/>
                <w:sz w:val="16"/>
              </w:rPr>
              <w:t>Audience</w:t>
            </w:r>
          </w:p>
        </w:tc>
        <w:tc>
          <w:tcPr>
            <w:tcW w:type="dxa" w:w="5328"/>
            <w:shd w:fill="17365D" w:val="clear"/>
            <w:tcMar>
              <w:top w:w="60" w:type="dxa"/>
              <w:start w:w="80" w:type="dxa"/>
              <w:bottom w:w="60" w:type="dxa"/>
              <w:end w:w="80" w:type="dxa"/>
            </w:tcMar>
            <w:vAlign w:val="center"/>
          </w:tcPr>
          <w:p>
            <w:pPr>
              <w:spacing w:after="0"/>
            </w:pPr>
            <w:r>
              <w:rPr>
                <w:rFonts w:ascii="Carlito" w:hAnsi="Carlito" w:eastAsia="Carlito"/>
                <w:b/>
                <w:color w:val="FFFFFF"/>
                <w:sz w:val="16"/>
              </w:rPr>
              <w:t>Purpose</w:t>
            </w:r>
          </w:p>
        </w:tc>
      </w:tr>
      <w:tr>
        <w:tc>
          <w:tcPr>
            <w:tcW w:type="dxa" w:w="2304"/>
            <w:tcMar>
              <w:top w:w="60" w:type="dxa"/>
              <w:start w:w="80" w:type="dxa"/>
              <w:bottom w:w="60" w:type="dxa"/>
              <w:end w:w="80" w:type="dxa"/>
            </w:tcMar>
            <w:vAlign w:val="top"/>
          </w:tcPr>
          <w:p>
            <w:pPr>
              <w:spacing w:after="0"/>
            </w:pPr>
            <w:r>
              <w:rPr>
                <w:rFonts w:ascii="Carlito" w:hAnsi="Carlito" w:eastAsia="Carlito"/>
                <w:color w:val="1F2933"/>
                <w:sz w:val="16"/>
              </w:rPr>
              <w:t>Private control repository</w:t>
            </w:r>
          </w:p>
        </w:tc>
        <w:tc>
          <w:tcPr>
            <w:tcW w:type="dxa" w:w="2304"/>
            <w:tcMar>
              <w:top w:w="60" w:type="dxa"/>
              <w:start w:w="80" w:type="dxa"/>
              <w:bottom w:w="60" w:type="dxa"/>
              <w:end w:w="80" w:type="dxa"/>
            </w:tcMar>
            <w:vAlign w:val="top"/>
          </w:tcPr>
          <w:p>
            <w:pPr>
              <w:spacing w:after="0"/>
            </w:pPr>
            <w:r>
              <w:rPr>
                <w:rFonts w:ascii="Carlito" w:hAnsi="Carlito" w:eastAsia="Carlito"/>
                <w:color w:val="1F2933"/>
                <w:sz w:val="16"/>
              </w:rPr>
              <w:t>Capstone owners and evaluators</w:t>
            </w:r>
          </w:p>
        </w:tc>
        <w:tc>
          <w:tcPr>
            <w:tcW w:type="dxa" w:w="5328"/>
            <w:tcMar>
              <w:top w:w="60" w:type="dxa"/>
              <w:start w:w="80" w:type="dxa"/>
              <w:bottom w:w="60" w:type="dxa"/>
              <w:end w:w="80" w:type="dxa"/>
            </w:tcMar>
            <w:vAlign w:val="top"/>
          </w:tcPr>
          <w:p>
            <w:pPr>
              <w:spacing w:after="0"/>
            </w:pPr>
            <w:r>
              <w:rPr>
                <w:rFonts w:ascii="Carlito" w:hAnsi="Carlito" w:eastAsia="Carlito"/>
                <w:color w:val="1F2933"/>
                <w:sz w:val="16"/>
              </w:rPr>
              <w:t>Dataset generation, reference implementations, miniature fixtures, hidden checks, rubrics and evaluator prompts.</w:t>
            </w:r>
          </w:p>
        </w:tc>
      </w:tr>
      <w:tr>
        <w:tc>
          <w:tcPr>
            <w:tcW w:type="dxa" w:w="2304"/>
            <w:shd w:fill="F7F8F9" w:val="clear"/>
            <w:tcMar>
              <w:top w:w="60" w:type="dxa"/>
              <w:start w:w="80" w:type="dxa"/>
              <w:bottom w:w="60" w:type="dxa"/>
              <w:end w:w="80" w:type="dxa"/>
            </w:tcMar>
            <w:vAlign w:val="top"/>
          </w:tcPr>
          <w:p>
            <w:pPr>
              <w:spacing w:after="0"/>
            </w:pPr>
            <w:r>
              <w:rPr>
                <w:rFonts w:ascii="Carlito" w:hAnsi="Carlito" w:eastAsia="Carlito"/>
                <w:color w:val="1F2933"/>
                <w:sz w:val="16"/>
              </w:rPr>
              <w:t>Student release pack</w:t>
            </w:r>
          </w:p>
        </w:tc>
        <w:tc>
          <w:tcPr>
            <w:tcW w:type="dxa" w:w="2304"/>
            <w:shd w:fill="F7F8F9" w:val="clear"/>
            <w:tcMar>
              <w:top w:w="60" w:type="dxa"/>
              <w:start w:w="80" w:type="dxa"/>
              <w:bottom w:w="60" w:type="dxa"/>
              <w:end w:w="80" w:type="dxa"/>
            </w:tcMar>
            <w:vAlign w:val="top"/>
          </w:tcPr>
          <w:p>
            <w:pPr>
              <w:spacing w:after="0"/>
            </w:pPr>
            <w:r>
              <w:rPr>
                <w:rFonts w:ascii="Carlito" w:hAnsi="Carlito" w:eastAsia="Carlito"/>
                <w:color w:val="1F2933"/>
                <w:sz w:val="16"/>
              </w:rPr>
              <w:t>Consultant completing the capstone</w:t>
            </w:r>
          </w:p>
        </w:tc>
        <w:tc>
          <w:tcPr>
            <w:tcW w:type="dxa" w:w="5328"/>
            <w:shd w:fill="F7F8F9" w:val="clear"/>
            <w:tcMar>
              <w:top w:w="60" w:type="dxa"/>
              <w:start w:w="80" w:type="dxa"/>
              <w:bottom w:w="60" w:type="dxa"/>
              <w:end w:w="80" w:type="dxa"/>
            </w:tcMar>
            <w:vAlign w:val="top"/>
          </w:tcPr>
          <w:p>
            <w:pPr>
              <w:spacing w:after="0"/>
            </w:pPr>
            <w:r>
              <w:rPr>
                <w:rFonts w:ascii="Carlito" w:hAnsi="Carlito" w:eastAsia="Carlito"/>
                <w:color w:val="1F2933"/>
                <w:sz w:val="16"/>
              </w:rPr>
              <w:t>Fixed raw datasets, brief, data dictionary, scenario definitions, permitted fixtures and starter configuration.</w:t>
            </w:r>
          </w:p>
        </w:tc>
      </w:tr>
      <w:tr>
        <w:tc>
          <w:tcPr>
            <w:tcW w:type="dxa" w:w="2304"/>
            <w:tcMar>
              <w:top w:w="60" w:type="dxa"/>
              <w:start w:w="80" w:type="dxa"/>
              <w:bottom w:w="60" w:type="dxa"/>
              <w:end w:w="80" w:type="dxa"/>
            </w:tcMar>
            <w:vAlign w:val="top"/>
          </w:tcPr>
          <w:p>
            <w:pPr>
              <w:spacing w:after="0"/>
            </w:pPr>
            <w:r>
              <w:rPr>
                <w:rFonts w:ascii="Carlito" w:hAnsi="Carlito" w:eastAsia="Carlito"/>
                <w:color w:val="1F2933"/>
                <w:sz w:val="16"/>
              </w:rPr>
              <w:t>Submission repository</w:t>
            </w:r>
          </w:p>
        </w:tc>
        <w:tc>
          <w:tcPr>
            <w:tcW w:type="dxa" w:w="2304"/>
            <w:tcMar>
              <w:top w:w="60" w:type="dxa"/>
              <w:start w:w="80" w:type="dxa"/>
              <w:bottom w:w="60" w:type="dxa"/>
              <w:end w:w="80" w:type="dxa"/>
            </w:tcMar>
            <w:vAlign w:val="top"/>
          </w:tcPr>
          <w:p>
            <w:pPr>
              <w:spacing w:after="0"/>
            </w:pPr>
            <w:r>
              <w:rPr>
                <w:rFonts w:ascii="Carlito" w:hAnsi="Carlito" w:eastAsia="Carlito"/>
                <w:color w:val="1F2933"/>
                <w:sz w:val="16"/>
              </w:rPr>
              <w:t>Consultant and evaluator</w:t>
            </w:r>
          </w:p>
        </w:tc>
        <w:tc>
          <w:tcPr>
            <w:tcW w:type="dxa" w:w="5328"/>
            <w:tcMar>
              <w:top w:w="60" w:type="dxa"/>
              <w:start w:w="80" w:type="dxa"/>
              <w:bottom w:w="60" w:type="dxa"/>
              <w:end w:w="80" w:type="dxa"/>
            </w:tcMar>
            <w:vAlign w:val="top"/>
          </w:tcPr>
          <w:p>
            <w:pPr>
              <w:spacing w:after="0"/>
            </w:pPr>
            <w:r>
              <w:rPr>
                <w:rFonts w:ascii="Carlito" w:hAnsi="Carlito" w:eastAsia="Carlito"/>
                <w:color w:val="1F2933"/>
                <w:sz w:val="16"/>
              </w:rPr>
              <w:t>Application, source code, tests, reports, presentation and standardised output evidence.</w:t>
            </w:r>
          </w:p>
        </w:tc>
      </w:tr>
    </w:tbl>
    <w:p>
      <w:pPr>
        <w:spacing w:after="0"/>
      </w:pPr>
    </w:p>
    <w:p>
      <w:pPr>
        <w:spacing w:after="90"/>
      </w:pPr>
      <w:r>
        <w:t>The private repository remains separate from the student release. It contains generation logic, seeds, reference or best-known results, calibration evidence and hidden evaluation checks.</w:t>
      </w:r>
    </w:p>
    <w:p>
      <w:pPr>
        <w:pStyle w:val="Heading1"/>
      </w:pPr>
      <w:r>
        <w:t>1. Control principles</w:t>
      </w:r>
    </w:p>
    <w:p>
      <w:pPr>
        <w:spacing w:after="90"/>
      </w:pPr>
      <w:r>
        <w:t>The standard uses normative language:</w:t>
      </w:r>
    </w:p>
    <w:p>
      <w:pPr>
        <w:pStyle w:val="ListBullet"/>
        <w:spacing w:after="44"/>
        <w:ind w:left="317" w:hanging="173"/>
      </w:pPr>
      <w:r>
        <w:t>MUST means the requirement is mandatory.</w:t>
      </w:r>
    </w:p>
    <w:p>
      <w:pPr>
        <w:pStyle w:val="ListBullet"/>
        <w:spacing w:after="44"/>
        <w:ind w:left="317" w:hanging="173"/>
      </w:pPr>
      <w:r>
        <w:t>SHOULD means it is expected unless the consultant provides a sound justification.</w:t>
      </w:r>
    </w:p>
    <w:p>
      <w:pPr>
        <w:pStyle w:val="ListBullet"/>
        <w:spacing w:after="44"/>
        <w:ind w:left="317" w:hanging="173"/>
      </w:pPr>
      <w:r>
        <w:t>MAY means it is optional or an extension.</w:t>
      </w:r>
    </w:p>
    <w:p>
      <w:pPr>
        <w:pStyle w:val="Heading2"/>
      </w:pPr>
      <w:r>
        <w:t>1.1 Fixed decision problem</w:t>
      </w:r>
    </w:p>
    <w:p>
      <w:pPr>
        <w:spacing w:after="90"/>
      </w:pPr>
      <w:r>
        <w:t>Each consultant receives the same business context, intended user, raw datasets, default scenario, mandatory controls, baseline, stress scenarios, output contract and evaluation rubric. The consultant may not redefine the problem into a materially easier or different task.</w:t>
      </w:r>
    </w:p>
    <w:p>
      <w:pPr>
        <w:pStyle w:val="Heading2"/>
      </w:pPr>
      <w:r>
        <w:t>1.2 Fixed default case</w:t>
      </w:r>
    </w:p>
    <w:p>
      <w:pPr>
        <w:spacing w:after="90"/>
      </w:pPr>
      <w:r>
        <w:t>Every capstone MUST define a common default case containing objective or preference coefficients, hard constraints, soft-constraint penalties, planning horizon, scenario selection, random seeds where relevant, and a runtime or objective-evaluation budget. The application may expose alternative settings, but the submission MUST reproduce the fixed case.</w:t>
      </w:r>
    </w:p>
    <w:p>
      <w:pPr>
        <w:pStyle w:val="Heading2"/>
      </w:pPr>
      <w:r>
        <w:t>1.3 Interactive application</w:t>
      </w:r>
    </w:p>
    <w:p>
      <w:pPr>
        <w:spacing w:after="90"/>
      </w:pPr>
      <w:r>
        <w:t>Every submission MUST include an interactive decision-support application. Streamlit, React, Dash, Shiny or another supportable framework is acceptable. The application MUST allow a business user to:</w:t>
      </w:r>
    </w:p>
    <w:p>
      <w:pPr>
        <w:pStyle w:val="ListBullet"/>
        <w:spacing w:after="44"/>
        <w:ind w:left="317" w:hanging="173"/>
      </w:pPr>
      <w:r>
        <w:t>understand the decision and intended operating workflow;</w:t>
      </w:r>
    </w:p>
    <w:p>
      <w:pPr>
        <w:pStyle w:val="ListBullet"/>
        <w:spacing w:after="44"/>
        <w:ind w:left="317" w:hanging="173"/>
      </w:pPr>
      <w:r>
        <w:t>review relevant input data and assumptions;</w:t>
      </w:r>
    </w:p>
    <w:p>
      <w:pPr>
        <w:pStyle w:val="ListBullet"/>
        <w:spacing w:after="44"/>
        <w:ind w:left="317" w:hanging="173"/>
      </w:pPr>
      <w:r>
        <w:t>change meaningful business parameters;</w:t>
      </w:r>
    </w:p>
    <w:p>
      <w:pPr>
        <w:pStyle w:val="ListBullet"/>
        <w:spacing w:after="44"/>
        <w:ind w:left="317" w:hanging="173"/>
      </w:pPr>
      <w:r>
        <w:t>run, submit or retrieve an optimisation result;</w:t>
      </w:r>
    </w:p>
    <w:p>
      <w:pPr>
        <w:pStyle w:val="ListBullet"/>
        <w:spacing w:after="44"/>
        <w:ind w:left="317" w:hanging="173"/>
      </w:pPr>
      <w:r>
        <w:t>compare the recommendation with a baseline;</w:t>
      </w:r>
    </w:p>
    <w:p>
      <w:pPr>
        <w:pStyle w:val="ListBullet"/>
        <w:spacing w:after="44"/>
        <w:ind w:left="317" w:hanging="173"/>
      </w:pPr>
      <w:r>
        <w:t>inspect trade-offs, constraints, uncertainty and failure states;</w:t>
      </w:r>
    </w:p>
    <w:p>
      <w:pPr>
        <w:pStyle w:val="ListBullet"/>
        <w:spacing w:after="44"/>
        <w:ind w:left="317" w:hanging="173"/>
      </w:pPr>
      <w:r>
        <w:t>obtain a clear recommendation and exportable evidence.</w:t>
      </w:r>
    </w:p>
    <w:p>
      <w:pPr>
        <w:pStyle w:val="Heading2"/>
      </w:pPr>
      <w:r>
        <w:t>1.4 AI-native development and technical accountability</w:t>
      </w:r>
    </w:p>
    <w:p>
      <w:pPr>
        <w:spacing w:after="90"/>
      </w:pPr>
      <w:r>
        <w:t>Use of Claude, Codex, ChatGPT and comparable tools is expected. Consultants may use AI to interpret the brief, propose formulations, generate code, build tests, investigate solver errors, create application components and draft documentation.</w:t>
      </w:r>
    </w:p>
    <w:tbl>
      <w:tblPr>
        <w:tblW w:type="auto" w:w="0"/>
        <w:jc w:val="center"/>
        <w:tblLayout w:type="fixed"/>
        <w:tblLook w:firstColumn="1" w:firstRow="1" w:lastColumn="0" w:lastRow="0" w:noHBand="0" w:noVBand="1" w:val="04A0"/>
      </w:tblPr>
      <w:tblGrid>
        <w:gridCol w:w="9936"/>
      </w:tblGrid>
      <w:tr>
        <w:tc>
          <w:tcPr>
            <w:tcW w:type="dxa" w:w="10119"/>
            <w:shd w:fill="FFF4D6" w:val="clear"/>
            <w:tcMar>
              <w:top w:w="100" w:type="dxa"/>
              <w:start w:w="130" w:type="dxa"/>
              <w:bottom w:w="100" w:type="dxa"/>
              <w:end w:w="130" w:type="dxa"/>
            </w:tcMar>
            <w:tcBorders>
              <w:top w:val="nil"/>
              <w:start w:val="single" w:sz="18" w:color="C58A00"/>
              <w:bottom w:val="nil"/>
              <w:end w:val="nil"/>
            </w:tcBorders>
          </w:tcPr>
          <w:p>
            <w:pPr>
              <w:spacing w:after="40"/>
            </w:pPr>
            <w:r>
              <w:rPr>
                <w:rFonts w:ascii="Carlito" w:hAnsi="Carlito" w:eastAsia="Carlito"/>
                <w:b/>
                <w:color w:val="C58A00"/>
                <w:sz w:val="18"/>
              </w:rPr>
              <w:t>Accountability principle</w:t>
            </w:r>
          </w:p>
          <w:p>
            <w:pPr>
              <w:spacing w:after="0"/>
            </w:pPr>
            <w:r>
              <w:rPr>
                <w:rFonts w:ascii="Carlito" w:hAnsi="Carlito" w:eastAsia="Carlito"/>
                <w:color w:val="1F2933"/>
                <w:sz w:val="18"/>
              </w:rPr>
              <w:t>AI may accelerate the work. The consultant remains accountable for every equation, constraint, transformation, result claim and recommendation in the submitted solution.</w:t>
            </w:r>
          </w:p>
        </w:tc>
      </w:tr>
    </w:tbl>
    <w:p>
      <w:pPr>
        <w:spacing w:after="0"/>
      </w:pPr>
    </w:p>
    <w:p>
      <w:pPr>
        <w:spacing w:after="90"/>
      </w:pPr>
      <w:r>
        <w:t>The assessment does not award marks for prompt sophistication in isolation. AI use is assessed through the quality of the resulting formulation, the evidence of validation, the consultant's explanation of corrections or rejected proposals, and performance in the technical defence.</w:t>
      </w:r>
    </w:p>
    <w:p>
      <w:pPr>
        <w:pStyle w:val="Heading2"/>
      </w:pPr>
      <w:r>
        <w:t>1.5 Evidence standard</w:t>
      </w:r>
    </w:p>
    <w:p>
      <w:pPr>
        <w:spacing w:after="90"/>
      </w:pPr>
      <w:r>
        <w:t>Assessment rewards evidence, technical control and client usefulness. A sophisticated algorithm does not compensate for incorrect formulation, violated constraints, unreconciled financial or physical flows, missing baselines, non-reproducible results, unsupported optimality claims or an application that the intended user cannot understand.</w:t>
      </w:r>
    </w:p>
    <w:p>
      <w:pPr>
        <w:pStyle w:val="Heading2"/>
      </w:pPr>
      <w:r>
        <w:t>1.6 Solver fairness and computational access</w:t>
      </w:r>
    </w:p>
    <w:p>
      <w:pPr>
        <w:spacing w:after="90"/>
      </w:pPr>
      <w:r>
        <w:t>Capstones may include exact, heuristic, stochastic or non-convex methods. The release owner MUST define supported execution routes, reference hardware assumptions, runtime budgets and acceptable solution-status language. Access to a licensed commercial solver must not create an undeclared grading advantage.</w:t>
      </w:r>
    </w:p>
    <w:p>
      <w:pPr>
        <w:spacing w:after="90"/>
      </w:pPr>
      <w:r>
        <w:t>Where global optimality is not practical, the assessment should reward a correct bounded formulation, a defensible feasible result, reconciliation, honest gap or local-status reporting and a sound explanation of residual uncertainty.</w:t>
      </w:r>
    </w:p>
    <w:p>
      <w:pPr>
        <w:pStyle w:val="Heading1"/>
      </w:pPr>
      <w:r>
        <w:t>2. Private control repository</w:t>
      </w:r>
    </w:p>
    <w:p>
      <w:pPr>
        <w:spacing w:after="90"/>
      </w:pPr>
      <w:r>
        <w:t>The private control repository is the authoritative source for capstone design, dataset generation, reference implementation and evaluation.</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capstone-control/</w:t>
              <w:br/>
              <w:t xml:space="preserve">  README.md</w:t>
              <w:br/>
              <w:t xml:space="preserve">  CONTROL_STANDARD.md</w:t>
              <w:br/>
              <w:t xml:space="preserve">  CHANGELOG.md</w:t>
              <w:br/>
              <w:t xml:space="preserve">  schemas/</w:t>
              <w:br/>
              <w:t xml:space="preserve">    release_manifest.schema.json</w:t>
              <w:br/>
              <w:t xml:space="preserve">    submission_manifest.schema.json</w:t>
              <w:br/>
              <w:t xml:space="preserve">    data_dictionary.schema.json</w:t>
              <w:br/>
              <w:t xml:space="preserve">    solver_metadata.schema.json</w:t>
              <w:br/>
              <w:t xml:space="preserve">    metrics.schema.json</w:t>
              <w:br/>
              <w:t xml:space="preserve">    constraint_report.schema.json</w:t>
              <w:br/>
              <w:t xml:space="preserve">    reconciliation.schema.json</w:t>
              <w:br/>
              <w:t xml:space="preserve">    rubric.schema.json</w:t>
              <w:br/>
              <w:t xml:space="preserve">  rubrics/</w:t>
              <w:br/>
              <w:t xml:space="preserve">    common_rubric.yaml</w:t>
              <w:br/>
              <w:t xml:space="preserve">    supplier_allocation_addendum.yaml</w:t>
              <w:br/>
              <w:t xml:space="preserve">    field_service_addendum.yaml</w:t>
              <w:br/>
              <w:t xml:space="preserve">    portfolio_risk_addendum.yaml</w:t>
              <w:br/>
              <w:t xml:space="preserve">  templates/</w:t>
              <w:br/>
              <w:t xml:space="preserve">    student_submission/</w:t>
              <w:br/>
              <w:t xml:space="preserve">    evaluator_report/</w:t>
              <w:br/>
              <w:t xml:space="preserve">    presentation_outline/</w:t>
              <w:br/>
              <w:t xml:space="preserve">    production_readiness_template/</w:t>
              <w:br/>
              <w:t xml:space="preserve">    ai_usage_template/</w:t>
              <w:br/>
              <w:t xml:space="preserve">  capstones/</w:t>
              <w:br/>
              <w:t xml:space="preserve">    CAP-001-supplier-allocation/</w:t>
              <w:br/>
              <w:t xml:space="preserve">      brief/</w:t>
              <w:br/>
              <w:t xml:space="preserve">      data_definition/</w:t>
              <w:br/>
              <w:t xml:space="preserve">      generator/</w:t>
              <w:br/>
              <w:t xml:space="preserve">      miniature_fixture/</w:t>
              <w:br/>
              <w:t xml:space="preserve">      reference/</w:t>
              <w:br/>
              <w:t xml:space="preserve">        fixed_price_milp/</w:t>
              <w:br/>
              <w:t xml:space="preserve">        recursive_cost_minlp/</w:t>
              <w:br/>
              <w:t xml:space="preserve">      scenarios/</w:t>
              <w:br/>
              <w:t xml:space="preserve">      evaluation/</w:t>
              <w:br/>
              <w:t xml:space="preserve">    CAP-002-field-service/</w:t>
              <w:br/>
              <w:t xml:space="preserve">      ...</w:t>
              <w:br/>
              <w:t xml:space="preserve">    CAP-003-portfolio-risk/</w:t>
              <w:br/>
              <w:t xml:space="preserve">      ...</w:t>
              <w:br/>
              <w:t xml:space="preserve">  tooling/</w:t>
              <w:br/>
              <w:t xml:space="preserve">    build_release.py</w:t>
              <w:br/>
              <w:t xml:space="preserve">    validate_release.py</w:t>
              <w:br/>
              <w:t xml:space="preserve">    validate_submission.py</w:t>
              <w:br/>
              <w:t xml:space="preserve">    run_submission.py</w:t>
              <w:br/>
              <w:t xml:space="preserve">    collect_evidence.py</w:t>
              <w:br/>
              <w:t xml:space="preserve">    score_submission.py</w:t>
            </w:r>
          </w:p>
        </w:tc>
      </w:tr>
    </w:tbl>
    <w:p>
      <w:pPr>
        <w:spacing w:after="0"/>
      </w:pPr>
    </w:p>
    <w:p>
      <w:pPr>
        <w:pStyle w:val="Heading2"/>
      </w:pPr>
      <w:r>
        <w:t>2.1 Private artefacts</w:t>
      </w:r>
    </w:p>
    <w:p>
      <w:pPr>
        <w:pStyle w:val="ListBullet"/>
        <w:spacing w:after="44"/>
        <w:ind w:left="317" w:hanging="173"/>
      </w:pPr>
      <w:r>
        <w:t>dataset-generation code and private seeds;</w:t>
      </w:r>
    </w:p>
    <w:p>
      <w:pPr>
        <w:pStyle w:val="ListBullet"/>
        <w:spacing w:after="44"/>
        <w:ind w:left="317" w:hanging="173"/>
      </w:pPr>
      <w:r>
        <w:t>reference or best-known solutions, bounds and objective ranges;</w:t>
      </w:r>
    </w:p>
    <w:p>
      <w:pPr>
        <w:pStyle w:val="ListBullet"/>
        <w:spacing w:after="44"/>
        <w:ind w:left="317" w:hanging="173"/>
      </w:pPr>
      <w:r>
        <w:t>hidden acceptance checks and adversarial negative tests;</w:t>
      </w:r>
    </w:p>
    <w:p>
      <w:pPr>
        <w:pStyle w:val="ListBullet"/>
        <w:spacing w:after="44"/>
        <w:ind w:left="317" w:hanging="173"/>
      </w:pPr>
      <w:r>
        <w:t>scoring calibration examples and evaluator prompts;</w:t>
      </w:r>
    </w:p>
    <w:p>
      <w:pPr>
        <w:pStyle w:val="ListBullet"/>
        <w:spacing w:after="44"/>
        <w:ind w:left="317" w:hanging="173"/>
      </w:pPr>
      <w:r>
        <w:t>solver benchmark logs and reference-hardware profiles;</w:t>
      </w:r>
    </w:p>
    <w:p>
      <w:pPr>
        <w:pStyle w:val="ListBullet"/>
        <w:spacing w:after="44"/>
        <w:ind w:left="317" w:hanging="173"/>
      </w:pPr>
      <w:r>
        <w:t>known edge cases outside the student brief.</w:t>
      </w:r>
    </w:p>
    <w:p>
      <w:pPr>
        <w:pStyle w:val="Heading2"/>
      </w:pPr>
      <w:r>
        <w:t>2.2 Release manifest</w:t>
      </w:r>
    </w:p>
    <w:p>
      <w:pPr>
        <w:spacing w:after="90"/>
      </w:pPr>
      <w:r>
        <w:t>Every release MUST include a machine-readable manifest containing capstone, data and rubric versions, file hashes, row counts, default case, supported commands and required outputs.</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capstone_id: CAP-001</w:t>
              <w:br/>
              <w:t>capstone_version: 0.3.0</w:t>
              <w:br/>
              <w:t>data_version: 0.3.0</w:t>
              <w:br/>
              <w:t>rubric_version: 0.2.0</w:t>
              <w:br/>
              <w:t>default_scenario_id: BASE</w:t>
              <w:br/>
              <w:t>planning_horizon:</w:t>
              <w:br/>
              <w:t xml:space="preserve">  start: 2027-01-04</w:t>
              <w:br/>
              <w:t xml:space="preserve">  end: 2027-03-28</w:t>
              <w:br/>
              <w:t>model_contract:</w:t>
              <w:br/>
              <w:t xml:space="preserve">  baseline: fixed_price_milp</w:t>
              <w:br/>
              <w:t xml:space="preserve">  assessed_model: recursive_cost_minlp</w:t>
              <w:br/>
              <w:t>required_outputs:</w:t>
              <w:br/>
              <w:t xml:space="preserve">  - artifacts/evaluation/run_metadata.json</w:t>
              <w:br/>
              <w:t xml:space="preserve">  - artifacts/evaluation/metrics.json</w:t>
              <w:br/>
              <w:t xml:space="preserve">  - artifacts/evaluation/constraint_report.csv</w:t>
              <w:br/>
              <w:t xml:space="preserve">  - artifacts/evaluation/reconciliation_summary.json</w:t>
              <w:br/>
              <w:t xml:space="preserve">  - artifacts/evaluation/baseline_comparison.csv</w:t>
            </w:r>
          </w:p>
        </w:tc>
      </w:tr>
    </w:tbl>
    <w:p>
      <w:pPr>
        <w:spacing w:after="0"/>
      </w:pPr>
    </w:p>
    <w:p>
      <w:pPr>
        <w:pStyle w:val="Heading2"/>
      </w:pPr>
      <w:r>
        <w:t>2.3 Shared source configuration</w:t>
      </w:r>
    </w:p>
    <w:p>
      <w:pPr>
        <w:spacing w:after="90"/>
      </w:pPr>
      <w:r>
        <w:t>The business narrative, schema files, data dictionary, generator, reference model and evaluator MUST be derived from the same approved decision configuration where practical. Definitions must not be copied manually into multiple artefacts when generation can prevent drift.</w:t>
      </w:r>
    </w:p>
    <w:p>
      <w:pPr>
        <w:pStyle w:val="Heading1"/>
      </w:pPr>
      <w:r>
        <w:t>3. Student release pack</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CAP-001-supplier-allocation-release/</w:t>
              <w:br/>
              <w:t xml:space="preserve">  CAPSTONE_BRIEF.md</w:t>
              <w:br/>
              <w:t xml:space="preserve">  TASK_REQUIREMENTS.md</w:t>
              <w:br/>
              <w:t xml:space="preserve">  DATA_DICTIONARY.md</w:t>
              <w:br/>
              <w:t xml:space="preserve">  PRODUCTION_EXTENSION.md</w:t>
              <w:br/>
              <w:t xml:space="preserve">  AI_NATIVE_WORKING_GUIDE.md</w:t>
              <w:br/>
              <w:t xml:space="preserve">  release_manifest.json</w:t>
              <w:br/>
              <w:t xml:space="preserve">  checksums.sha256</w:t>
              <w:br/>
              <w:t xml:space="preserve">  data/</w:t>
              <w:br/>
              <w:t xml:space="preserve">    raw/</w:t>
              <w:br/>
              <w:t xml:space="preserve">    scenarios/</w:t>
              <w:br/>
              <w:t xml:space="preserve">    reference/</w:t>
              <w:br/>
              <w:t xml:space="preserve">      miniature_fixture/</w:t>
              <w:br/>
              <w:t xml:space="preserve">  config/</w:t>
              <w:br/>
              <w:t xml:space="preserve">    default_case.yaml</w:t>
              <w:br/>
              <w:t xml:space="preserve">  schemas/</w:t>
              <w:br/>
              <w:t xml:space="preserve">    raw_data/</w:t>
              <w:br/>
              <w:t xml:space="preserve">    required_outputs/</w:t>
              <w:br/>
              <w:t xml:space="preserve">  starter/</w:t>
              <w:br/>
              <w:t xml:space="preserve">    submission.yaml</w:t>
              <w:br/>
              <w:t xml:space="preserve">    README_TEMPLATE.md</w:t>
              <w:br/>
              <w:t xml:space="preserve">    model_specification_template.md</w:t>
              <w:br/>
              <w:t xml:space="preserve">    validation_report_template.md</w:t>
              <w:br/>
              <w:t xml:space="preserve">    solver_strategy_template.md</w:t>
              <w:br/>
              <w:t xml:space="preserve">    production_readiness_template.md</w:t>
              <w:br/>
              <w:t xml:space="preserve">    AI_USAGE_TEMPLATE.md</w:t>
            </w:r>
          </w:p>
        </w:tc>
      </w:tr>
    </w:tbl>
    <w:p>
      <w:pPr>
        <w:spacing w:after="0"/>
      </w:pPr>
    </w:p>
    <w:p>
      <w:pPr>
        <w:spacing w:after="90"/>
      </w:pPr>
      <w:r>
        <w:t>The reference directory may contain permitted supporting artefacts such as a hand-worked miniature fixture or a precomputed travel-time matrix. It must not contain the assessment reference solution, hidden objective ranges or private generation logic.</w:t>
      </w:r>
    </w:p>
    <w:p>
      <w:pPr>
        <w:pStyle w:val="Heading1"/>
      </w:pPr>
      <w:r>
        <w:t>4. Required submission structure</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submission/</w:t>
              <w:br/>
              <w:t xml:space="preserve">  submission.yaml</w:t>
              <w:br/>
              <w:t xml:space="preserve">  README.md</w:t>
              <w:br/>
              <w:t xml:space="preserve">  AI_USAGE.md</w:t>
              <w:br/>
              <w:t xml:space="preserve">  app/</w:t>
              <w:br/>
              <w:t xml:space="preserve">  src/</w:t>
              <w:br/>
              <w:t xml:space="preserve">    data/</w:t>
              <w:br/>
              <w:t xml:space="preserve">    model/</w:t>
              <w:br/>
              <w:t xml:space="preserve">    optimisation/</w:t>
              <w:br/>
              <w:t xml:space="preserve">    evaluation/</w:t>
              <w:br/>
              <w:t xml:space="preserve">    visualisation/</w:t>
              <w:br/>
              <w:t xml:space="preserve">  config/</w:t>
              <w:br/>
              <w:t xml:space="preserve">    default.yaml</w:t>
              <w:br/>
              <w:t xml:space="preserve">  tests/</w:t>
              <w:br/>
              <w:t xml:space="preserve">  reports/</w:t>
              <w:br/>
              <w:t xml:space="preserve">    model_specification.md</w:t>
              <w:br/>
              <w:t xml:space="preserve">    validation_report.md</w:t>
              <w:br/>
              <w:t xml:space="preserve">    solver_strategy.md</w:t>
              <w:br/>
              <w:t xml:space="preserve">    assumptions_and_limitations.md</w:t>
              <w:br/>
              <w:t xml:space="preserve">    production_readiness.md</w:t>
              <w:br/>
              <w:t xml:space="preserve">  artifacts/</w:t>
              <w:br/>
              <w:t xml:space="preserve">    evaluation/</w:t>
              <w:br/>
              <w:t xml:space="preserve">      run_metadata.json</w:t>
              <w:br/>
              <w:t xml:space="preserve">      metrics.json</w:t>
              <w:br/>
              <w:t xml:space="preserve">      constraint_report.csv</w:t>
              <w:br/>
              <w:t xml:space="preserve">      reconciliation_summary.json</w:t>
              <w:br/>
              <w:t xml:space="preserve">      baseline_comparison.csv</w:t>
              <w:br/>
              <w:t xml:space="preserve">      scenario_results.csv</w:t>
              <w:br/>
              <w:t xml:space="preserve">      solution/</w:t>
              <w:br/>
              <w:t xml:space="preserve">      solver_logs/</w:t>
              <w:br/>
              <w:t xml:space="preserve">    application_evidence/</w:t>
              <w:br/>
              <w:t xml:space="preserve">    figures/</w:t>
              <w:br/>
              <w:t xml:space="preserve">  presentation/</w:t>
              <w:br/>
              <w:t xml:space="preserve">    final_readout.pptx</w:t>
              <w:br/>
              <w:t xml:space="preserve">    final_readout.pdf</w:t>
              <w:br/>
              <w:t xml:space="preserve">  scripts/</w:t>
              <w:br/>
              <w:t xml:space="preserve">    setup.sh</w:t>
              <w:br/>
              <w:t xml:space="preserve">    run_baseline.sh</w:t>
              <w:br/>
              <w:t xml:space="preserve">    run_model.sh</w:t>
              <w:br/>
              <w:t xml:space="preserve">    run_app.sh</w:t>
              <w:br/>
              <w:t xml:space="preserve">    run_tests.sh</w:t>
              <w:br/>
              <w:t xml:space="preserve">  pyproject.toml, package-lock.json, or equivalent</w:t>
              <w:br/>
              <w:t xml:space="preserve">  lockfile</w:t>
            </w:r>
          </w:p>
        </w:tc>
      </w:tr>
    </w:tbl>
    <w:p>
      <w:pPr>
        <w:spacing w:after="0"/>
      </w:pPr>
    </w:p>
    <w:p>
      <w:pPr>
        <w:pStyle w:val="Heading2"/>
      </w:pPr>
      <w:r>
        <w:t>4.1 Submission manifest</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capstone_id: CAP-001</w:t>
              <w:br/>
              <w:t>capstone_version: 0.3.0</w:t>
              <w:br/>
              <w:t>data_version: 0.3.0</w:t>
              <w:br/>
              <w:t>student:</w:t>
              <w:br/>
              <w:t xml:space="preserve">  identifier: ABC123</w:t>
              <w:br/>
              <w:t>technology:</w:t>
              <w:br/>
              <w:t xml:space="preserve">  language: python</w:t>
              <w:br/>
              <w:t xml:space="preserve">  application_framework: streamlit</w:t>
              <w:br/>
              <w:t xml:space="preserve">  optimisation_libraries: [pyomo]</w:t>
              <w:br/>
              <w:t>commands:</w:t>
              <w:br/>
              <w:t xml:space="preserve">  setup: "uv sync"</w:t>
              <w:br/>
              <w:t xml:space="preserve">  test: "uv run pytest"</w:t>
              <w:br/>
              <w:t xml:space="preserve">  solve_baseline: "uv run python -m src.run --model baseline --config config/default.yaml"</w:t>
              <w:br/>
              <w:t xml:space="preserve">  solve_default: "uv run python -m src.run --model recursive --config config/default.yaml"</w:t>
              <w:br/>
              <w:t xml:space="preserve">  run_app: "uv run streamlit run app/app.py"</w:t>
              <w:br/>
              <w:t>reproducibility:</w:t>
              <w:br/>
              <w:t xml:space="preserve">  random_seeds: [42, 314, 2718]</w:t>
              <w:br/>
              <w:t>outputs:</w:t>
              <w:br/>
              <w:t xml:space="preserve">  evaluation_directory: artifacts/evaluation</w:t>
            </w:r>
          </w:p>
        </w:tc>
      </w:tr>
    </w:tbl>
    <w:p>
      <w:pPr>
        <w:spacing w:after="0"/>
      </w:pPr>
    </w:p>
    <w:p>
      <w:pPr>
        <w:pStyle w:val="Heading2"/>
      </w:pPr>
      <w:r>
        <w:t>4.2 One-command requirements</w:t>
      </w:r>
    </w:p>
    <w:p>
      <w:pPr>
        <w:spacing w:after="50"/>
        <w:ind w:left="317" w:hanging="317"/>
      </w:pPr>
      <w:r>
        <w:rPr>
          <w:b/>
        </w:rPr>
        <w:t xml:space="preserve">1. </w:t>
      </w:r>
      <w:r>
        <w:t>Install dependencies without source-code edits.</w:t>
      </w:r>
    </w:p>
    <w:p>
      <w:pPr>
        <w:spacing w:after="50"/>
        <w:ind w:left="317" w:hanging="317"/>
      </w:pPr>
      <w:r>
        <w:rPr>
          <w:b/>
        </w:rPr>
        <w:t xml:space="preserve">2. </w:t>
      </w:r>
      <w:r>
        <w:t>Run the automated test suite.</w:t>
      </w:r>
    </w:p>
    <w:p>
      <w:pPr>
        <w:spacing w:after="50"/>
        <w:ind w:left="317" w:hanging="317"/>
      </w:pPr>
      <w:r>
        <w:rPr>
          <w:b/>
        </w:rPr>
        <w:t xml:space="preserve">3. </w:t>
      </w:r>
      <w:r>
        <w:t>Produce the default baseline result.</w:t>
      </w:r>
    </w:p>
    <w:p>
      <w:pPr>
        <w:spacing w:after="50"/>
        <w:ind w:left="317" w:hanging="317"/>
      </w:pPr>
      <w:r>
        <w:rPr>
          <w:b/>
        </w:rPr>
        <w:t xml:space="preserve">4. </w:t>
      </w:r>
      <w:r>
        <w:t>Produce the assessed default-model result or a documented time-limited incumbent.</w:t>
      </w:r>
    </w:p>
    <w:p>
      <w:pPr>
        <w:spacing w:after="50"/>
        <w:ind w:left="317" w:hanging="317"/>
      </w:pPr>
      <w:r>
        <w:rPr>
          <w:b/>
        </w:rPr>
        <w:t xml:space="preserve">5. </w:t>
      </w:r>
      <w:r>
        <w:t>Launch the interactive application.</w:t>
      </w:r>
    </w:p>
    <w:p>
      <w:pPr>
        <w:spacing w:after="90"/>
      </w:pPr>
      <w:r>
        <w:t>The authoritative data directory SHOULD be supplied through configuration or an environment variable such as CAPSTONE_DATA_DIR so the evaluator can mount the fixed release as read-only.</w:t>
      </w:r>
    </w:p>
    <w:p>
      <w:pPr>
        <w:pStyle w:val="Heading2"/>
      </w:pPr>
      <w:r>
        <w:t>4.3 AI usage disclosure</w:t>
      </w:r>
    </w:p>
    <w:p>
      <w:pPr>
        <w:spacing w:after="90"/>
      </w:pPr>
      <w:r>
        <w:t>AI_USAGE.md documents how the consultant directed and checked AI assistance. It should record tools used, substantive workstreams delegated, modelling decisions proposed by AI, validation performed, approaches rejected, errors found and limitations that remain.</w:t>
      </w:r>
    </w:p>
    <w:p>
      <w:pPr>
        <w:pStyle w:val="Heading2"/>
      </w:pPr>
      <w:r>
        <w:t>4.4 Technical defence</w:t>
      </w:r>
    </w:p>
    <w:p>
      <w:pPr>
        <w:spacing w:after="90"/>
      </w:pPr>
      <w:r>
        <w:t>Every capstone SHOULD conclude with a 20-30 minute technical defence. The evaluator may ask the consultant to explain a formulation element, trace one result to source data, interpret solver status, identify a failure mode, and describe an AI-generated decision that was corrected or independently verified.</w:t>
      </w:r>
    </w:p>
    <w:p>
      <w:pPr>
        <w:pStyle w:val="Heading2"/>
      </w:pPr>
      <w:r>
        <w:t>4.5 Long-running models and application behaviour</w:t>
      </w:r>
    </w:p>
    <w:p>
      <w:pPr>
        <w:spacing w:after="90"/>
      </w:pPr>
      <w:r>
        <w:t>The application is not required to solve every large model synchronously. It may submit an asynchronous job, retrieve a previously completed result or use approved precomputed scenario outputs. The interface MUST identify result age, configuration, solve status and whether the result is exact, relaxed, approximate or best-found.</w:t>
      </w:r>
    </w:p>
    <w:p>
      <w:pPr>
        <w:pStyle w:val="Heading1"/>
      </w:pPr>
      <w:r>
        <w:t>5. Standardised evaluation artefacts</w:t>
      </w:r>
    </w:p>
    <w:p>
      <w:pPr>
        <w:spacing w:after="90"/>
      </w:pPr>
      <w:r>
        <w:t>Applications and presentations may vary substantially. Every submission MUST produce a common machine-readable evidence bundle.</w:t>
      </w:r>
    </w:p>
    <w:p>
      <w:pPr>
        <w:pStyle w:val="Heading2"/>
      </w:pPr>
      <w:r>
        <w:t>5.1 Run metadata</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w:t>
              <w:br/>
              <w:t xml:space="preserve">  "capstone_id": "CAP-001",</w:t>
              <w:br/>
              <w:t xml:space="preserve">  "scenario_id": "BASE",</w:t>
              <w:br/>
              <w:t xml:space="preserve">  "formulation_type": "nonconvex_minlp",</w:t>
              <w:br/>
              <w:t xml:space="preserve">  "solution_classification": "exact_formulation",</w:t>
              <w:br/>
              <w:t xml:space="preserve">  "solver_termination": "feasible_time_limited",</w:t>
              <w:br/>
              <w:t xml:space="preserve">  "primal_objective": 1284350.42,</w:t>
              <w:br/>
              <w:t xml:space="preserve">  "best_bound": 1249000.00,</w:t>
              <w:br/>
              <w:t xml:space="preserve">  "absolute_gap": 35350.42,</w:t>
              <w:br/>
              <w:t xml:space="preserve">  "relative_gap": 0.0283,</w:t>
              <w:br/>
              <w:t xml:space="preserve">  "number_of_starts": 3,</w:t>
              <w:br/>
              <w:t xml:space="preserve">  "runtime_seconds": 900.0,</w:t>
              <w:br/>
              <w:t xml:space="preserve">  "seed": 42,</w:t>
              <w:br/>
              <w:t xml:space="preserve">  "git_commit": "abc123",</w:t>
              <w:br/>
              <w:t xml:space="preserve">  "generated_at": "2027-04-01T10:15:00Z"</w:t>
              <w:br/>
              <w:t>}</w:t>
            </w:r>
          </w:p>
        </w:tc>
      </w:tr>
    </w:tbl>
    <w:p>
      <w:pPr>
        <w:spacing w:after="0"/>
      </w:pPr>
    </w:p>
    <w:p>
      <w:pPr>
        <w:spacing w:after="90"/>
      </w:pPr>
      <w:r>
        <w:t>Status terms such as globally_optimal, locally_optimal, feasible_time_limited, best_found, infeasible and solver_failed must be used consistently. The word optimal is reserved for a result supported by the corresponding certificate or accepted termination conditions.</w:t>
      </w:r>
    </w:p>
    <w:p>
      <w:pPr>
        <w:pStyle w:val="Heading2"/>
      </w:pPr>
      <w:r>
        <w:t>5.2 Metrics</w:t>
      </w:r>
    </w:p>
    <w:p>
      <w:pPr>
        <w:pStyle w:val="ListBullet"/>
        <w:spacing w:after="44"/>
        <w:ind w:left="317" w:hanging="173"/>
      </w:pPr>
      <w:r>
        <w:t>objective or objective-stage values;</w:t>
      </w:r>
    </w:p>
    <w:p>
      <w:pPr>
        <w:pStyle w:val="ListBullet"/>
        <w:spacing w:after="44"/>
        <w:ind w:left="317" w:hanging="173"/>
      </w:pPr>
      <w:r>
        <w:t>feasibility and hard-constraint violation count;</w:t>
      </w:r>
    </w:p>
    <w:p>
      <w:pPr>
        <w:pStyle w:val="ListBullet"/>
        <w:spacing w:after="44"/>
        <w:ind w:left="317" w:hanging="173"/>
      </w:pPr>
      <w:r>
        <w:t>runtime, bound and gap where available;</w:t>
      </w:r>
    </w:p>
    <w:p>
      <w:pPr>
        <w:pStyle w:val="ListBullet"/>
        <w:spacing w:after="44"/>
        <w:ind w:left="317" w:hanging="173"/>
      </w:pPr>
      <w:r>
        <w:t>baseline objective and business-metric comparison;</w:t>
      </w:r>
    </w:p>
    <w:p>
      <w:pPr>
        <w:pStyle w:val="ListBullet"/>
        <w:spacing w:after="44"/>
        <w:ind w:left="317" w:hanging="173"/>
      </w:pPr>
      <w:r>
        <w:t>capstone-specific service, risk, cost or operational measures.</w:t>
      </w:r>
    </w:p>
    <w:p>
      <w:pPr>
        <w:pStyle w:val="Heading2"/>
      </w:pPr>
      <w:r>
        <w:t>5.3 Constraint report</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constraint_family</w:t>
              <w:br/>
              <w:t>entity_type</w:t>
              <w:br/>
              <w:t>entity_id</w:t>
              <w:br/>
              <w:t>period</w:t>
              <w:br/>
              <w:t>lhs_value</w:t>
              <w:br/>
              <w:t>sense</w:t>
              <w:br/>
              <w:t>rhs_value</w:t>
              <w:br/>
              <w:t>slack</w:t>
              <w:br/>
              <w:t>bound_or_dual_value</w:t>
              <w:br/>
              <w:t>violation_amount</w:t>
              <w:br/>
              <w:t>hard_constraint_flag</w:t>
            </w:r>
          </w:p>
        </w:tc>
      </w:tr>
    </w:tbl>
    <w:p>
      <w:pPr>
        <w:spacing w:after="0"/>
      </w:pPr>
    </w:p>
    <w:p>
      <w:pPr>
        <w:spacing w:after="90"/>
      </w:pPr>
      <w:r>
        <w:t>Dual values may be blank for mixed-integer, heuristic or non-differentiable results. The submission must not imply that absent duals are zero.</w:t>
      </w:r>
    </w:p>
    <w:p>
      <w:pPr>
        <w:pStyle w:val="Heading2"/>
      </w:pPr>
      <w:r>
        <w:t>5.4 Reconciliation evidence</w:t>
      </w:r>
    </w:p>
    <w:p>
      <w:pPr>
        <w:spacing w:after="90"/>
      </w:pPr>
      <w:r>
        <w:t>Capstones with accounting, flow, inventory, routing or portfolio roll-forward semantics MUST emit deterministic reconciliation evidence. CAP-001 requires both physical quantity and financial value reconciliation through every material pool, transformation and shipment.</w:t>
      </w:r>
    </w:p>
    <w:p>
      <w:pPr>
        <w:pStyle w:val="Heading2"/>
      </w:pPr>
      <w:r>
        <w:t>5.5 Baseline comparison</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method</w:t>
              <w:br/>
              <w:t>scenario_id</w:t>
              <w:br/>
              <w:t>feasible</w:t>
              <w:br/>
              <w:t>formulation_type</w:t>
              <w:br/>
              <w:t>objective_value</w:t>
              <w:br/>
              <w:t>runtime_seconds</w:t>
              <w:br/>
              <w:t>primary_business_metric</w:t>
              <w:br/>
              <w:t>secondary_business_metric</w:t>
              <w:br/>
              <w:t>status</w:t>
              <w:br/>
              <w:t>notes</w:t>
            </w:r>
          </w:p>
        </w:tc>
      </w:tr>
    </w:tbl>
    <w:p>
      <w:pPr>
        <w:spacing w:after="0"/>
      </w:pPr>
    </w:p>
    <w:p>
      <w:pPr>
        <w:pStyle w:val="Heading2"/>
      </w:pPr>
      <w:r>
        <w:t>5.6 Application evidence</w:t>
      </w:r>
    </w:p>
    <w:p>
      <w:pPr>
        <w:pStyle w:val="ListBullet"/>
        <w:spacing w:after="44"/>
        <w:ind w:left="317" w:hanging="173"/>
      </w:pPr>
      <w:r>
        <w:t>screenshots or an exported walkthrough of the principal views;</w:t>
      </w:r>
    </w:p>
    <w:p>
      <w:pPr>
        <w:pStyle w:val="ListBullet"/>
        <w:spacing w:after="44"/>
        <w:ind w:left="317" w:hanging="173"/>
      </w:pPr>
      <w:r>
        <w:t>the default case result and at least two stress-scenario results;</w:t>
      </w:r>
    </w:p>
    <w:p>
      <w:pPr>
        <w:pStyle w:val="ListBullet"/>
        <w:spacing w:after="44"/>
        <w:ind w:left="317" w:hanging="173"/>
      </w:pPr>
      <w:r>
        <w:t>the result tables used by the application;</w:t>
      </w:r>
    </w:p>
    <w:p>
      <w:pPr>
        <w:pStyle w:val="ListBullet"/>
        <w:spacing w:after="44"/>
        <w:ind w:left="317" w:hanging="173"/>
      </w:pPr>
      <w:r>
        <w:t>evidence of invalid-input, infeasibility or solver-failure handling.</w:t>
      </w:r>
    </w:p>
    <w:p>
      <w:pPr>
        <w:pStyle w:val="Heading1"/>
      </w:pPr>
      <w:r>
        <w:t>6. Common assessment rubric</w:t>
      </w:r>
    </w:p>
    <w:p>
      <w:pPr>
        <w:spacing w:after="90"/>
      </w:pPr>
      <w:r>
        <w:t>The common 100-point rubric applies across all capstones. Capstone-specific addenda define the evidence expected in each category.</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3373"/>
        <w:gridCol w:w="3373"/>
        <w:gridCol w:w="3373"/>
      </w:tblGrid>
      <w:tr>
        <w:trPr>
          <w:tblHeader w:val="true"/>
        </w:trPr>
        <w:tc>
          <w:tcPr>
            <w:tcW w:type="dxa" w:w="3096"/>
            <w:shd w:fill="17365D" w:val="clear"/>
            <w:tcMar>
              <w:top w:w="60" w:type="dxa"/>
              <w:start w:w="80" w:type="dxa"/>
              <w:bottom w:w="60" w:type="dxa"/>
              <w:end w:w="80" w:type="dxa"/>
            </w:tcMar>
            <w:vAlign w:val="center"/>
          </w:tcPr>
          <w:p>
            <w:pPr>
              <w:spacing w:after="0"/>
            </w:pPr>
            <w:r>
              <w:rPr>
                <w:rFonts w:ascii="Carlito" w:hAnsi="Carlito" w:eastAsia="Carlito"/>
                <w:b/>
                <w:color w:val="FFFFFF"/>
                <w:sz w:val="16"/>
              </w:rPr>
              <w:t>Category</w:t>
            </w:r>
          </w:p>
        </w:tc>
        <w:tc>
          <w:tcPr>
            <w:tcW w:type="dxa" w:w="792"/>
            <w:shd w:fill="17365D" w:val="clear"/>
            <w:tcMar>
              <w:top w:w="60" w:type="dxa"/>
              <w:start w:w="80" w:type="dxa"/>
              <w:bottom w:w="60" w:type="dxa"/>
              <w:end w:w="80" w:type="dxa"/>
            </w:tcMar>
            <w:vAlign w:val="center"/>
          </w:tcPr>
          <w:p>
            <w:pPr>
              <w:spacing w:after="0"/>
            </w:pPr>
            <w:r>
              <w:rPr>
                <w:rFonts w:ascii="Carlito" w:hAnsi="Carlito" w:eastAsia="Carlito"/>
                <w:b/>
                <w:color w:val="FFFFFF"/>
                <w:sz w:val="16"/>
              </w:rPr>
              <w:t>Points</w:t>
            </w:r>
          </w:p>
        </w:tc>
        <w:tc>
          <w:tcPr>
            <w:tcW w:type="dxa" w:w="6048"/>
            <w:shd w:fill="17365D" w:val="clear"/>
            <w:tcMar>
              <w:top w:w="60" w:type="dxa"/>
              <w:start w:w="80" w:type="dxa"/>
              <w:bottom w:w="60" w:type="dxa"/>
              <w:end w:w="80" w:type="dxa"/>
            </w:tcMar>
            <w:vAlign w:val="center"/>
          </w:tcPr>
          <w:p>
            <w:pPr>
              <w:spacing w:after="0"/>
            </w:pPr>
            <w:r>
              <w:rPr>
                <w:rFonts w:ascii="Carlito" w:hAnsi="Carlito" w:eastAsia="Carlito"/>
                <w:b/>
                <w:color w:val="FFFFFF"/>
                <w:sz w:val="16"/>
              </w:rPr>
              <w:t>Common assessment</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Business framing and user value</w:t>
            </w:r>
          </w:p>
        </w:tc>
        <w:tc>
          <w:tcPr>
            <w:tcW w:type="dxa" w:w="792"/>
            <w:tcMar>
              <w:top w:w="60" w:type="dxa"/>
              <w:start w:w="80" w:type="dxa"/>
              <w:bottom w:w="60" w:type="dxa"/>
              <w:end w:w="80" w:type="dxa"/>
            </w:tcMar>
            <w:vAlign w:val="top"/>
          </w:tcPr>
          <w:p>
            <w:pPr>
              <w:spacing w:after="0"/>
            </w:pPr>
            <w:r>
              <w:rPr>
                <w:rFonts w:ascii="Carlito" w:hAnsi="Carlito" w:eastAsia="Carlito"/>
                <w:color w:val="1F2933"/>
                <w:sz w:val="16"/>
              </w:rPr>
              <w:t>8</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Clear decision, user, workflow, recommendation and operational context.</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Data understanding and preparation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6"/>
              </w:rPr>
              <w:t>8</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Correct joins, units, time handling, data-quality treatment and transformations.</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Mathematical or search formulation</w:t>
            </w:r>
          </w:p>
        </w:tc>
        <w:tc>
          <w:tcPr>
            <w:tcW w:type="dxa" w:w="792"/>
            <w:tcMar>
              <w:top w:w="60" w:type="dxa"/>
              <w:start w:w="80" w:type="dxa"/>
              <w:bottom w:w="60" w:type="dxa"/>
              <w:end w:w="80" w:type="dxa"/>
            </w:tcMar>
            <w:vAlign w:val="top"/>
          </w:tcPr>
          <w:p>
            <w:pPr>
              <w:spacing w:after="0"/>
            </w:pPr>
            <w:r>
              <w:rPr>
                <w:rFonts w:ascii="Carlito" w:hAnsi="Carlito" w:eastAsia="Carlito"/>
                <w:color w:val="1F2933"/>
                <w:sz w:val="16"/>
              </w:rPr>
              <w:t>16</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Explicit variables or encoding, objective, constraints, problem class and assumptions.</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Method selection and implementation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6"/>
              </w:rPr>
              <w:t>14</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Appropriate algorithm, solver or search strategy, correct implementation and justified choices.</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Validation, reconciliation and robustness</w:t>
            </w:r>
          </w:p>
        </w:tc>
        <w:tc>
          <w:tcPr>
            <w:tcW w:type="dxa" w:w="792"/>
            <w:tcMar>
              <w:top w:w="60" w:type="dxa"/>
              <w:start w:w="80" w:type="dxa"/>
              <w:bottom w:w="60" w:type="dxa"/>
              <w:end w:w="80" w:type="dxa"/>
            </w:tcMar>
            <w:vAlign w:val="top"/>
          </w:tcPr>
          <w:p>
            <w:pPr>
              <w:spacing w:after="0"/>
            </w:pPr>
            <w:r>
              <w:rPr>
                <w:rFonts w:ascii="Carlito" w:hAnsi="Carlito" w:eastAsia="Carlito"/>
                <w:color w:val="1F2933"/>
                <w:sz w:val="16"/>
              </w:rPr>
              <w:t>15</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Baselines, feasibility, deterministic reconciliation, sensitivity, scenarios and repeated trials where relevant.</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Interactive application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6"/>
              </w:rPr>
              <w:t>14</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Useful user journey, meaningful controls, explanation, status visibility, failure handling and visual quality.</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Software engineering and reproducibility</w:t>
            </w:r>
          </w:p>
        </w:tc>
        <w:tc>
          <w:tcPr>
            <w:tcW w:type="dxa" w:w="792"/>
            <w:tcMar>
              <w:top w:w="60" w:type="dxa"/>
              <w:start w:w="80" w:type="dxa"/>
              <w:bottom w:w="60" w:type="dxa"/>
              <w:end w:w="80" w:type="dxa"/>
            </w:tcMar>
            <w:vAlign w:val="top"/>
          </w:tcPr>
          <w:p>
            <w:pPr>
              <w:spacing w:after="0"/>
            </w:pPr>
            <w:r>
              <w:rPr>
                <w:rFonts w:ascii="Carlito" w:hAnsi="Carlito" w:eastAsia="Carlito"/>
                <w:color w:val="1F2933"/>
                <w:sz w:val="16"/>
              </w:rPr>
              <w:t>10</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Modular code, tests, dependency control, logging, configuration and one-command execution.</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Presentation and recommendation</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6"/>
              </w:rPr>
              <w:t>7</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Customer-facing narrative, evidence, caveats and clear recommendation.</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Production readiness and limitations</w:t>
            </w:r>
          </w:p>
        </w:tc>
        <w:tc>
          <w:tcPr>
            <w:tcW w:type="dxa" w:w="792"/>
            <w:tcMar>
              <w:top w:w="60" w:type="dxa"/>
              <w:start w:w="80" w:type="dxa"/>
              <w:bottom w:w="60" w:type="dxa"/>
              <w:end w:w="80" w:type="dxa"/>
            </w:tcMar>
            <w:vAlign w:val="top"/>
          </w:tcPr>
          <w:p>
            <w:pPr>
              <w:spacing w:after="0"/>
            </w:pPr>
            <w:r>
              <w:rPr>
                <w:rFonts w:ascii="Carlito" w:hAnsi="Carlito" w:eastAsia="Carlito"/>
                <w:color w:val="1F2933"/>
                <w:sz w:val="16"/>
              </w:rPr>
              <w:t>5</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Architecture, scaling, monitoring, governance, data lineage and failure modes.</w:t>
            </w:r>
          </w:p>
        </w:tc>
      </w:tr>
      <w:tr>
        <w:tc>
          <w:tcPr>
            <w:tcW w:type="dxa" w:w="3096"/>
            <w:shd w:fill="F7F8F9" w:val="clear"/>
            <w:tcMar>
              <w:top w:w="60" w:type="dxa"/>
              <w:start w:w="80" w:type="dxa"/>
              <w:bottom w:w="60" w:type="dxa"/>
              <w:end w:w="80" w:type="dxa"/>
            </w:tcMar>
            <w:vAlign w:val="top"/>
          </w:tcPr>
          <w:p>
            <w:pPr>
              <w:spacing w:after="0"/>
            </w:pPr>
            <w:r>
              <w:rPr>
                <w:rFonts w:ascii="Carlito" w:hAnsi="Carlito" w:eastAsia="Carlito"/>
                <w:color w:val="1F2933"/>
                <w:sz w:val="16"/>
              </w:rPr>
              <w:t>Technical defence and AI accountability</w:t>
            </w:r>
          </w:p>
        </w:tc>
        <w:tc>
          <w:tcPr>
            <w:tcW w:type="dxa" w:w="792"/>
            <w:shd w:fill="F7F8F9" w:val="clear"/>
            <w:tcMar>
              <w:top w:w="60" w:type="dxa"/>
              <w:start w:w="80" w:type="dxa"/>
              <w:bottom w:w="60" w:type="dxa"/>
              <w:end w:w="80" w:type="dxa"/>
            </w:tcMar>
            <w:vAlign w:val="top"/>
          </w:tcPr>
          <w:p>
            <w:pPr>
              <w:spacing w:after="0"/>
            </w:pPr>
            <w:r>
              <w:rPr>
                <w:rFonts w:ascii="Carlito" w:hAnsi="Carlito" w:eastAsia="Carlito"/>
                <w:color w:val="1F2933"/>
                <w:sz w:val="16"/>
              </w:rPr>
              <w:t>3</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Demonstrated understanding, ownership of AI-assisted work and ability to defend key decisions.</w:t>
            </w:r>
          </w:p>
        </w:tc>
      </w:tr>
      <w:tr>
        <w:tc>
          <w:tcPr>
            <w:tcW w:type="dxa" w:w="3096"/>
            <w:tcMar>
              <w:top w:w="60" w:type="dxa"/>
              <w:start w:w="80" w:type="dxa"/>
              <w:bottom w:w="60" w:type="dxa"/>
              <w:end w:w="80" w:type="dxa"/>
            </w:tcMar>
            <w:vAlign w:val="top"/>
          </w:tcPr>
          <w:p>
            <w:pPr>
              <w:spacing w:after="0"/>
            </w:pPr>
            <w:r>
              <w:rPr>
                <w:rFonts w:ascii="Carlito" w:hAnsi="Carlito" w:eastAsia="Carlito"/>
                <w:color w:val="1F2933"/>
                <w:sz w:val="16"/>
              </w:rPr>
              <w:t>Total</w:t>
            </w:r>
          </w:p>
        </w:tc>
        <w:tc>
          <w:tcPr>
            <w:tcW w:type="dxa" w:w="792"/>
            <w:tcMar>
              <w:top w:w="60" w:type="dxa"/>
              <w:start w:w="80" w:type="dxa"/>
              <w:bottom w:w="60" w:type="dxa"/>
              <w:end w:w="80" w:type="dxa"/>
            </w:tcMar>
            <w:vAlign w:val="top"/>
          </w:tcPr>
          <w:p>
            <w:pPr>
              <w:spacing w:after="0"/>
            </w:pPr>
            <w:r>
              <w:rPr>
                <w:rFonts w:ascii="Carlito" w:hAnsi="Carlito" w:eastAsia="Carlito"/>
                <w:color w:val="1F2933"/>
                <w:sz w:val="16"/>
              </w:rPr>
              <w:t>100</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r>
          </w:p>
        </w:tc>
      </w:tr>
    </w:tbl>
    <w:p>
      <w:pPr>
        <w:spacing w:after="0"/>
      </w:pPr>
    </w:p>
    <w:p>
      <w:pPr>
        <w:pStyle w:val="Heading2"/>
      </w:pPr>
      <w:r>
        <w:t>6.1 Quality gates</w:t>
      </w:r>
    </w:p>
    <w:p>
      <w:pPr>
        <w:pStyle w:val="ListBullet"/>
        <w:spacing w:after="44"/>
        <w:ind w:left="317" w:hanging="173"/>
      </w:pPr>
      <w:r>
        <w:t>the application launches and identifies the active data and model version;</w:t>
      </w:r>
    </w:p>
    <w:p>
      <w:pPr>
        <w:pStyle w:val="ListBullet"/>
        <w:spacing w:after="44"/>
        <w:ind w:left="317" w:hanging="173"/>
      </w:pPr>
      <w:r>
        <w:t>the default baseline completes;</w:t>
      </w:r>
    </w:p>
    <w:p>
      <w:pPr>
        <w:pStyle w:val="ListBullet"/>
        <w:spacing w:after="44"/>
        <w:ind w:left="317" w:hanging="173"/>
      </w:pPr>
      <w:r>
        <w:t>the assessed model completes or returns a documented defensible incumbent within the allowed budget;</w:t>
      </w:r>
    </w:p>
    <w:p>
      <w:pPr>
        <w:pStyle w:val="ListBullet"/>
        <w:spacing w:after="44"/>
        <w:ind w:left="317" w:hanging="173"/>
      </w:pPr>
      <w:r>
        <w:t>raw-data checksums match the release;</w:t>
      </w:r>
    </w:p>
    <w:p>
      <w:pPr>
        <w:pStyle w:val="ListBullet"/>
        <w:spacing w:after="44"/>
        <w:ind w:left="317" w:hanging="173"/>
      </w:pPr>
      <w:r>
        <w:t>hard constraints are satisfied or infeasibility is reported explicitly;</w:t>
      </w:r>
    </w:p>
    <w:p>
      <w:pPr>
        <w:pStyle w:val="ListBullet"/>
        <w:spacing w:after="44"/>
        <w:ind w:left="317" w:hanging="173"/>
      </w:pPr>
      <w:r>
        <w:t>required physical, financial or statistical reconciliations pass;</w:t>
      </w:r>
    </w:p>
    <w:p>
      <w:pPr>
        <w:pStyle w:val="ListBullet"/>
        <w:spacing w:after="44"/>
        <w:ind w:left="317" w:hanging="173"/>
      </w:pPr>
      <w:r>
        <w:t>outputs are reproducible within declared stochastic tolerance;</w:t>
      </w:r>
    </w:p>
    <w:p>
      <w:pPr>
        <w:pStyle w:val="ListBullet"/>
        <w:spacing w:after="44"/>
        <w:ind w:left="317" w:hanging="173"/>
      </w:pPr>
      <w:r>
        <w:t>presentation claims agree with code and output artefacts;</w:t>
      </w:r>
    </w:p>
    <w:p>
      <w:pPr>
        <w:pStyle w:val="ListBullet"/>
        <w:spacing w:after="44"/>
        <w:ind w:left="317" w:hanging="173"/>
      </w:pPr>
      <w:r>
        <w:t>global or local optimality claims are supported by solver evidence;</w:t>
      </w:r>
    </w:p>
    <w:p>
      <w:pPr>
        <w:pStyle w:val="ListBullet"/>
        <w:spacing w:after="44"/>
        <w:ind w:left="317" w:hanging="173"/>
      </w:pPr>
      <w:r>
        <w:t>the consultant can defend the formulation and result.</w:t>
      </w:r>
    </w:p>
    <w:p>
      <w:pPr>
        <w:pStyle w:val="Heading2"/>
      </w:pPr>
      <w:r>
        <w:t>6.2 Grading bands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160"/>
            <w:shd w:fill="17365D" w:val="clear"/>
            <w:tcMar>
              <w:top w:w="60" w:type="dxa"/>
              <w:start w:w="80" w:type="dxa"/>
              <w:bottom w:w="60" w:type="dxa"/>
              <w:end w:w="80" w:type="dxa"/>
            </w:tcMar>
            <w:vAlign w:val="center"/>
          </w:tcPr>
          <w:p>
            <w:pPr>
              <w:spacing w:after="0"/>
            </w:pPr>
            <w:r>
              <w:rPr>
                <w:rFonts w:ascii="Carlito" w:hAnsi="Carlito" w:eastAsia="Carlito"/>
                <w:b/>
                <w:color w:val="FFFFFF"/>
                <w:sz w:val="17"/>
              </w:rPr>
              <w:t>Score</w:t>
            </w:r>
          </w:p>
        </w:tc>
        <w:tc>
          <w:tcPr>
            <w:tcW w:type="dxa" w:w="7776"/>
            <w:shd w:fill="17365D" w:val="clear"/>
            <w:tcMar>
              <w:top w:w="60" w:type="dxa"/>
              <w:start w:w="80" w:type="dxa"/>
              <w:bottom w:w="60" w:type="dxa"/>
              <w:end w:w="80" w:type="dxa"/>
            </w:tcMar>
            <w:vAlign w:val="center"/>
          </w:tcPr>
          <w:p>
            <w:pPr>
              <w:spacing w:after="0"/>
            </w:pPr>
            <w:r>
              <w:rPr>
                <w:rFonts w:ascii="Carlito" w:hAnsi="Carlito" w:eastAsia="Carlito"/>
                <w:b/>
                <w:color w:val="FFFFFF"/>
                <w:sz w:val="17"/>
              </w:rPr>
              <w:t>Outcome</w:t>
            </w:r>
          </w:p>
        </w:tc>
      </w:tr>
      <w:tr>
        <w:tc>
          <w:tcPr>
            <w:tcW w:type="dxa" w:w="2160"/>
            <w:tcMar>
              <w:top w:w="60" w:type="dxa"/>
              <w:start w:w="80" w:type="dxa"/>
              <w:bottom w:w="60" w:type="dxa"/>
              <w:end w:w="80" w:type="dxa"/>
            </w:tcMar>
            <w:vAlign w:val="top"/>
          </w:tcPr>
          <w:p>
            <w:pPr>
              <w:spacing w:after="0"/>
            </w:pPr>
            <w:r>
              <w:rPr>
                <w:rFonts w:ascii="Carlito" w:hAnsi="Carlito" w:eastAsia="Carlito"/>
                <w:color w:val="1F2933"/>
                <w:sz w:val="17"/>
              </w:rPr>
              <w:t>0-49</w:t>
            </w:r>
          </w:p>
        </w:tc>
        <w:tc>
          <w:tcPr>
            <w:tcW w:type="dxa" w:w="7776"/>
            <w:tcMar>
              <w:top w:w="60" w:type="dxa"/>
              <w:start w:w="80" w:type="dxa"/>
              <w:bottom w:w="60" w:type="dxa"/>
              <w:end w:w="80" w:type="dxa"/>
            </w:tcMar>
            <w:vAlign w:val="top"/>
          </w:tcPr>
          <w:p>
            <w:pPr>
              <w:spacing w:after="0"/>
            </w:pPr>
            <w:r>
              <w:rPr>
                <w:rFonts w:ascii="Carlito" w:hAnsi="Carlito" w:eastAsia="Carlito"/>
                <w:color w:val="1F2933"/>
                <w:sz w:val="17"/>
              </w:rPr>
              <w:t>Does not meet the required standard</w:t>
            </w:r>
          </w:p>
        </w:tc>
      </w:tr>
      <w:tr>
        <w:tc>
          <w:tcPr>
            <w:tcW w:type="dxa" w:w="2160"/>
            <w:shd w:fill="F7F8F9" w:val="clear"/>
            <w:tcMar>
              <w:top w:w="60" w:type="dxa"/>
              <w:start w:w="80" w:type="dxa"/>
              <w:bottom w:w="60" w:type="dxa"/>
              <w:end w:w="80" w:type="dxa"/>
            </w:tcMar>
            <w:vAlign w:val="top"/>
          </w:tcPr>
          <w:p>
            <w:pPr>
              <w:spacing w:after="0"/>
            </w:pPr>
            <w:r>
              <w:rPr>
                <w:rFonts w:ascii="Carlito" w:hAnsi="Carlito" w:eastAsia="Carlito"/>
                <w:color w:val="1F2933"/>
                <w:sz w:val="17"/>
              </w:rPr>
              <w:t>50-64</w:t>
            </w:r>
          </w:p>
        </w:tc>
        <w:tc>
          <w:tcPr>
            <w:tcW w:type="dxa" w:w="7776"/>
            <w:shd w:fill="F7F8F9" w:val="clear"/>
            <w:tcMar>
              <w:top w:w="60" w:type="dxa"/>
              <w:start w:w="80" w:type="dxa"/>
              <w:bottom w:w="60" w:type="dxa"/>
              <w:end w:w="80" w:type="dxa"/>
            </w:tcMar>
            <w:vAlign w:val="top"/>
          </w:tcPr>
          <w:p>
            <w:pPr>
              <w:spacing w:after="0"/>
            </w:pPr>
            <w:r>
              <w:rPr>
                <w:rFonts w:ascii="Carlito" w:hAnsi="Carlito" w:eastAsia="Carlito"/>
                <w:color w:val="1F2933"/>
                <w:sz w:val="17"/>
              </w:rPr>
              <w:t>Pass</w:t>
            </w:r>
          </w:p>
        </w:tc>
      </w:tr>
      <w:tr>
        <w:tc>
          <w:tcPr>
            <w:tcW w:type="dxa" w:w="2160"/>
            <w:tcMar>
              <w:top w:w="60" w:type="dxa"/>
              <w:start w:w="80" w:type="dxa"/>
              <w:bottom w:w="60" w:type="dxa"/>
              <w:end w:w="80" w:type="dxa"/>
            </w:tcMar>
            <w:vAlign w:val="top"/>
          </w:tcPr>
          <w:p>
            <w:pPr>
              <w:spacing w:after="0"/>
            </w:pPr>
            <w:r>
              <w:rPr>
                <w:rFonts w:ascii="Carlito" w:hAnsi="Carlito" w:eastAsia="Carlito"/>
                <w:color w:val="1F2933"/>
                <w:sz w:val="17"/>
              </w:rPr>
              <w:t>65-74</w:t>
            </w:r>
          </w:p>
        </w:tc>
        <w:tc>
          <w:tcPr>
            <w:tcW w:type="dxa" w:w="7776"/>
            <w:tcMar>
              <w:top w:w="60" w:type="dxa"/>
              <w:start w:w="80" w:type="dxa"/>
              <w:bottom w:w="60" w:type="dxa"/>
              <w:end w:w="80" w:type="dxa"/>
            </w:tcMar>
            <w:vAlign w:val="top"/>
          </w:tcPr>
          <w:p>
            <w:pPr>
              <w:spacing w:after="0"/>
            </w:pPr>
            <w:r>
              <w:rPr>
                <w:rFonts w:ascii="Carlito" w:hAnsi="Carlito" w:eastAsia="Carlito"/>
                <w:color w:val="1F2933"/>
                <w:sz w:val="17"/>
              </w:rPr>
              <w:t>Merit</w:t>
            </w:r>
          </w:p>
        </w:tc>
      </w:tr>
      <w:tr>
        <w:tc>
          <w:tcPr>
            <w:tcW w:type="dxa" w:w="2160"/>
            <w:shd w:fill="F7F8F9" w:val="clear"/>
            <w:tcMar>
              <w:top w:w="60" w:type="dxa"/>
              <w:start w:w="80" w:type="dxa"/>
              <w:bottom w:w="60" w:type="dxa"/>
              <w:end w:w="80" w:type="dxa"/>
            </w:tcMar>
            <w:vAlign w:val="top"/>
          </w:tcPr>
          <w:p>
            <w:pPr>
              <w:spacing w:after="0"/>
            </w:pPr>
            <w:r>
              <w:rPr>
                <w:rFonts w:ascii="Carlito" w:hAnsi="Carlito" w:eastAsia="Carlito"/>
                <w:color w:val="1F2933"/>
                <w:sz w:val="17"/>
              </w:rPr>
              <w:t>75-84</w:t>
            </w:r>
          </w:p>
        </w:tc>
        <w:tc>
          <w:tcPr>
            <w:tcW w:type="dxa" w:w="7776"/>
            <w:shd w:fill="F7F8F9" w:val="clear"/>
            <w:tcMar>
              <w:top w:w="60" w:type="dxa"/>
              <w:start w:w="80" w:type="dxa"/>
              <w:bottom w:w="60" w:type="dxa"/>
              <w:end w:w="80" w:type="dxa"/>
            </w:tcMar>
            <w:vAlign w:val="top"/>
          </w:tcPr>
          <w:p>
            <w:pPr>
              <w:spacing w:after="0"/>
            </w:pPr>
            <w:r>
              <w:rPr>
                <w:rFonts w:ascii="Carlito" w:hAnsi="Carlito" w:eastAsia="Carlito"/>
                <w:color w:val="1F2933"/>
                <w:sz w:val="17"/>
              </w:rPr>
              <w:t>Distinction</w:t>
            </w:r>
          </w:p>
        </w:tc>
      </w:tr>
      <w:tr>
        <w:tc>
          <w:tcPr>
            <w:tcW w:type="dxa" w:w="2160"/>
            <w:tcMar>
              <w:top w:w="60" w:type="dxa"/>
              <w:start w:w="80" w:type="dxa"/>
              <w:bottom w:w="60" w:type="dxa"/>
              <w:end w:w="80" w:type="dxa"/>
            </w:tcMar>
            <w:vAlign w:val="top"/>
          </w:tcPr>
          <w:p>
            <w:pPr>
              <w:spacing w:after="0"/>
            </w:pPr>
            <w:r>
              <w:rPr>
                <w:rFonts w:ascii="Carlito" w:hAnsi="Carlito" w:eastAsia="Carlito"/>
                <w:color w:val="1F2933"/>
                <w:sz w:val="17"/>
              </w:rPr>
              <w:t>85-100</w:t>
            </w:r>
          </w:p>
        </w:tc>
        <w:tc>
          <w:tcPr>
            <w:tcW w:type="dxa" w:w="7776"/>
            <w:tcMar>
              <w:top w:w="60" w:type="dxa"/>
              <w:start w:w="80" w:type="dxa"/>
              <w:bottom w:w="60" w:type="dxa"/>
              <w:end w:w="80" w:type="dxa"/>
            </w:tcMar>
            <w:vAlign w:val="top"/>
          </w:tcPr>
          <w:p>
            <w:pPr>
              <w:spacing w:after="0"/>
            </w:pPr>
            <w:r>
              <w:rPr>
                <w:rFonts w:ascii="Carlito" w:hAnsi="Carlito" w:eastAsia="Carlito"/>
                <w:color w:val="1F2933"/>
                <w:sz w:val="17"/>
              </w:rPr>
              <w:t>A-star / exceptional</w:t>
            </w:r>
          </w:p>
        </w:tc>
      </w:tr>
    </w:tbl>
    <w:p>
      <w:pPr>
        <w:spacing w:after="0"/>
      </w:pPr>
    </w:p>
    <w:p>
      <w:pPr>
        <w:spacing w:after="90"/>
      </w:pPr>
      <w:r>
        <w:t>An A-star submission demonstrates unusually strong validation, client judgement, production thinking and technical control. A polished application is one part of the standard; it does not override model defects.</w:t>
      </w:r>
    </w:p>
    <w:p>
      <w:pPr>
        <w:pStyle w:val="Heading2"/>
      </w:pPr>
      <w:r>
        <w:t>6.3 Capstone-specific evidence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2530"/>
        <w:gridCol w:w="2530"/>
        <w:gridCol w:w="2530"/>
        <w:gridCol w:w="2530"/>
      </w:tblGrid>
      <w:tr>
        <w:trPr>
          <w:tblHeader w:val="true"/>
        </w:trPr>
        <w:tc>
          <w:tcPr>
            <w:tcW w:type="dxa" w:w="1440"/>
            <w:shd w:fill="17365D" w:val="clear"/>
            <w:tcMar>
              <w:top w:w="60" w:type="dxa"/>
              <w:start w:w="80" w:type="dxa"/>
              <w:bottom w:w="60" w:type="dxa"/>
              <w:end w:w="80" w:type="dxa"/>
            </w:tcMar>
            <w:vAlign w:val="center"/>
          </w:tcPr>
          <w:p>
            <w:pPr>
              <w:spacing w:after="0"/>
            </w:pPr>
            <w:r>
              <w:rPr>
                <w:rFonts w:ascii="Carlito" w:hAnsi="Carlito" w:eastAsia="Carlito"/>
                <w:b/>
                <w:color w:val="FFFFFF"/>
                <w:sz w:val="15"/>
              </w:rPr>
              <w:t>Category</w:t>
            </w:r>
          </w:p>
        </w:tc>
        <w:tc>
          <w:tcPr>
            <w:tcW w:type="dxa" w:w="2880"/>
            <w:shd w:fill="17365D" w:val="clear"/>
            <w:tcMar>
              <w:top w:w="60" w:type="dxa"/>
              <w:start w:w="80" w:type="dxa"/>
              <w:bottom w:w="60" w:type="dxa"/>
              <w:end w:w="80" w:type="dxa"/>
            </w:tcMar>
            <w:vAlign w:val="center"/>
          </w:tcPr>
          <w:p>
            <w:pPr>
              <w:spacing w:after="0"/>
            </w:pPr>
            <w:r>
              <w:rPr>
                <w:rFonts w:ascii="Carlito" w:hAnsi="Carlito" w:eastAsia="Carlito"/>
                <w:b/>
                <w:color w:val="FFFFFF"/>
                <w:sz w:val="15"/>
              </w:rPr>
              <w:t>Supplier allocation</w:t>
            </w:r>
          </w:p>
        </w:tc>
        <w:tc>
          <w:tcPr>
            <w:tcW w:type="dxa" w:w="2808"/>
            <w:shd w:fill="17365D" w:val="clear"/>
            <w:tcMar>
              <w:top w:w="60" w:type="dxa"/>
              <w:start w:w="80" w:type="dxa"/>
              <w:bottom w:w="60" w:type="dxa"/>
              <w:end w:w="80" w:type="dxa"/>
            </w:tcMar>
            <w:vAlign w:val="center"/>
          </w:tcPr>
          <w:p>
            <w:pPr>
              <w:spacing w:after="0"/>
            </w:pPr>
            <w:r>
              <w:rPr>
                <w:rFonts w:ascii="Carlito" w:hAnsi="Carlito" w:eastAsia="Carlito"/>
                <w:b/>
                <w:color w:val="FFFFFF"/>
                <w:sz w:val="15"/>
              </w:rPr>
              <w:t>Field service</w:t>
            </w:r>
          </w:p>
        </w:tc>
        <w:tc>
          <w:tcPr>
            <w:tcW w:type="dxa" w:w="2808"/>
            <w:shd w:fill="17365D" w:val="clear"/>
            <w:tcMar>
              <w:top w:w="60" w:type="dxa"/>
              <w:start w:w="80" w:type="dxa"/>
              <w:bottom w:w="60" w:type="dxa"/>
              <w:end w:w="80" w:type="dxa"/>
            </w:tcMar>
            <w:vAlign w:val="center"/>
          </w:tcPr>
          <w:p>
            <w:pPr>
              <w:spacing w:after="0"/>
            </w:pPr>
            <w:r>
              <w:rPr>
                <w:rFonts w:ascii="Carlito" w:hAnsi="Carlito" w:eastAsia="Carlito"/>
                <w:b/>
                <w:color w:val="FFFFFF"/>
                <w:sz w:val="15"/>
              </w:rPr>
              <w:t>Portfolio risk</w:t>
            </w:r>
          </w:p>
        </w:tc>
      </w:tr>
      <w:tr>
        <w:tc>
          <w:tcPr>
            <w:tcW w:type="dxa" w:w="1440"/>
            <w:tcMar>
              <w:top w:w="60" w:type="dxa"/>
              <w:start w:w="80" w:type="dxa"/>
              <w:bottom w:w="60" w:type="dxa"/>
              <w:end w:w="80" w:type="dxa"/>
            </w:tcMar>
            <w:vAlign w:val="top"/>
          </w:tcPr>
          <w:p>
            <w:pPr>
              <w:spacing w:after="0"/>
            </w:pPr>
            <w:r>
              <w:rPr>
                <w:rFonts w:ascii="Carlito" w:hAnsi="Carlito" w:eastAsia="Carlito"/>
                <w:color w:val="1F2933"/>
                <w:sz w:val="15"/>
              </w:rPr>
              <w:t>Formulation</w:t>
            </w:r>
          </w:p>
        </w:tc>
        <w:tc>
          <w:tcPr>
            <w:tcW w:type="dxa" w:w="2880"/>
            <w:tcMar>
              <w:top w:w="60" w:type="dxa"/>
              <w:start w:w="80" w:type="dxa"/>
              <w:bottom w:w="60" w:type="dxa"/>
              <w:end w:w="80" w:type="dxa"/>
            </w:tcMar>
            <w:vAlign w:val="top"/>
          </w:tcPr>
          <w:p>
            <w:pPr>
              <w:spacing w:after="0"/>
            </w:pPr>
            <w:r>
              <w:rPr>
                <w:rFonts w:ascii="Carlito" w:hAnsi="Carlito" w:eastAsia="Carlito"/>
                <w:color w:val="1F2933"/>
                <w:sz w:val="15"/>
              </w:rPr>
              <w:t>Tier-N graph, physical and value flows, weighted-average pooling, commercial integers and recursive-cost MINLP.</w:t>
            </w:r>
          </w:p>
        </w:tc>
        <w:tc>
          <w:tcPr>
            <w:tcW w:type="dxa" w:w="2808"/>
            <w:tcMar>
              <w:top w:w="60" w:type="dxa"/>
              <w:start w:w="80" w:type="dxa"/>
              <w:bottom w:w="60" w:type="dxa"/>
              <w:end w:w="80" w:type="dxa"/>
            </w:tcMar>
            <w:vAlign w:val="top"/>
          </w:tcPr>
          <w:p>
            <w:pPr>
              <w:spacing w:after="0"/>
            </w:pPr>
            <w:r>
              <w:rPr>
                <w:rFonts w:ascii="Carlito" w:hAnsi="Carlito" w:eastAsia="Carlito"/>
                <w:color w:val="1F2933"/>
                <w:sz w:val="15"/>
              </w:rPr>
              <w:t>Assignment, sequencing, time windows, skills, travel, shifts and search neighbourhoods.</w:t>
            </w:r>
          </w:p>
        </w:tc>
        <w:tc>
          <w:tcPr>
            <w:tcW w:type="dxa" w:w="2808"/>
            <w:tcMar>
              <w:top w:w="60" w:type="dxa"/>
              <w:start w:w="80" w:type="dxa"/>
              <w:bottom w:w="60" w:type="dxa"/>
              <w:end w:w="80" w:type="dxa"/>
            </w:tcMar>
            <w:vAlign w:val="top"/>
          </w:tcPr>
          <w:p>
            <w:pPr>
              <w:spacing w:after="0"/>
            </w:pPr>
            <w:r>
              <w:rPr>
                <w:rFonts w:ascii="Carlito" w:hAnsi="Carlito" w:eastAsia="Carlito"/>
                <w:color w:val="1F2933"/>
                <w:sz w:val="15"/>
              </w:rPr>
              <w:t>Weights, risk objective, limits, turnover, transaction costs and tail-risk variables.</w:t>
            </w:r>
          </w:p>
        </w:tc>
      </w:tr>
      <w:tr>
        <w:tc>
          <w:tcPr>
            <w:tcW w:type="dxa" w:w="1440"/>
            <w:shd w:fill="F7F8F9" w:val="clear"/>
            <w:tcMar>
              <w:top w:w="60" w:type="dxa"/>
              <w:start w:w="80" w:type="dxa"/>
              <w:bottom w:w="60" w:type="dxa"/>
              <w:end w:w="80" w:type="dxa"/>
            </w:tcMar>
            <w:vAlign w:val="top"/>
          </w:tcPr>
          <w:p>
            <w:pPr>
              <w:spacing w:after="0"/>
            </w:pPr>
            <w:r>
              <w:rPr>
                <w:rFonts w:ascii="Carlito" w:hAnsi="Carlito" w:eastAsia="Carlito"/>
                <w:color w:val="1F2933"/>
                <w:sz w:val="15"/>
              </w:rPr>
              <w:t>Validation</w:t>
            </w:r>
          </w:p>
        </w:tc>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Quantity/value conservation, cost lineage, no double counting, bound quality and solver-status evidence.</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5"/>
              </w:rPr>
              <w:t>No duplicate jobs, no teleportation, skill/time feasibility and route-metric reconciliation.</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5"/>
              </w:rPr>
              <w:t>Weight/trade reconciliation, no look-ahead, risk scaling, covariance checks and mandate compliance.</w:t>
            </w:r>
          </w:p>
        </w:tc>
      </w:tr>
      <w:tr>
        <w:tc>
          <w:tcPr>
            <w:tcW w:type="dxa" w:w="1440"/>
            <w:tcMar>
              <w:top w:w="60" w:type="dxa"/>
              <w:start w:w="80" w:type="dxa"/>
              <w:bottom w:w="60" w:type="dxa"/>
              <w:end w:w="80" w:type="dxa"/>
            </w:tcMar>
            <w:vAlign w:val="top"/>
          </w:tcPr>
          <w:p>
            <w:pPr>
              <w:spacing w:after="0"/>
            </w:pPr>
            <w:r>
              <w:rPr>
                <w:rFonts w:ascii="Carlito" w:hAnsi="Carlito" w:eastAsia="Carlito"/>
                <w:color w:val="1F2933"/>
                <w:sz w:val="15"/>
              </w:rPr>
              <w:t>Business value</w:t>
            </w:r>
          </w:p>
        </w:tc>
        <w:tc>
          <w:tcPr>
            <w:tcW w:type="dxa" w:w="2880"/>
            <w:tcMar>
              <w:top w:w="60" w:type="dxa"/>
              <w:start w:w="80" w:type="dxa"/>
              <w:bottom w:w="60" w:type="dxa"/>
              <w:end w:w="80" w:type="dxa"/>
            </w:tcMar>
            <w:vAlign w:val="top"/>
          </w:tcPr>
          <w:p>
            <w:pPr>
              <w:spacing w:after="0"/>
            </w:pPr>
            <w:r>
              <w:rPr>
                <w:rFonts w:ascii="Carlito" w:hAnsi="Carlito" w:eastAsia="Carlito"/>
                <w:color w:val="1F2933"/>
                <w:sz w:val="15"/>
              </w:rPr>
              <w:t>End-to-end cost, service, resilience, upstream dependency and scenario trade-offs.</w:t>
            </w:r>
          </w:p>
        </w:tc>
        <w:tc>
          <w:tcPr>
            <w:tcW w:type="dxa" w:w="2808"/>
            <w:tcMar>
              <w:top w:w="60" w:type="dxa"/>
              <w:start w:w="80" w:type="dxa"/>
              <w:bottom w:w="60" w:type="dxa"/>
              <w:end w:w="80" w:type="dxa"/>
            </w:tcMar>
            <w:vAlign w:val="top"/>
          </w:tcPr>
          <w:p>
            <w:pPr>
              <w:spacing w:after="0"/>
            </w:pPr>
            <w:r>
              <w:rPr>
                <w:rFonts w:ascii="Carlito" w:hAnsi="Carlito" w:eastAsia="Carlito"/>
                <w:color w:val="1F2933"/>
                <w:sz w:val="15"/>
              </w:rPr>
              <w:t>SLA, travel, utilisation, overtime, workload balance and unserved work.</w:t>
            </w:r>
          </w:p>
        </w:tc>
        <w:tc>
          <w:tcPr>
            <w:tcW w:type="dxa" w:w="2808"/>
            <w:tcMar>
              <w:top w:w="60" w:type="dxa"/>
              <w:start w:w="80" w:type="dxa"/>
              <w:bottom w:w="60" w:type="dxa"/>
              <w:end w:w="80" w:type="dxa"/>
            </w:tcMar>
            <w:vAlign w:val="top"/>
          </w:tcPr>
          <w:p>
            <w:pPr>
              <w:spacing w:after="0"/>
            </w:pPr>
            <w:r>
              <w:rPr>
                <w:rFonts w:ascii="Carlito" w:hAnsi="Carlito" w:eastAsia="Carlito"/>
                <w:color w:val="1F2933"/>
                <w:sz w:val="15"/>
              </w:rPr>
              <w:t>Risk, return, turnover, concentration, liquidity and stress losses.</w:t>
            </w:r>
          </w:p>
        </w:tc>
      </w:tr>
      <w:tr>
        <w:tc>
          <w:tcPr>
            <w:tcW w:type="dxa" w:w="1440"/>
            <w:shd w:fill="F7F8F9" w:val="clear"/>
            <w:tcMar>
              <w:top w:w="60" w:type="dxa"/>
              <w:start w:w="80" w:type="dxa"/>
              <w:bottom w:w="60" w:type="dxa"/>
              <w:end w:w="80" w:type="dxa"/>
            </w:tcMar>
            <w:vAlign w:val="top"/>
          </w:tcPr>
          <w:p>
            <w:pPr>
              <w:spacing w:after="0"/>
            </w:pPr>
            <w:r>
              <w:rPr>
                <w:rFonts w:ascii="Carlito" w:hAnsi="Carlito" w:eastAsia="Carlito"/>
                <w:color w:val="1F2933"/>
                <w:sz w:val="15"/>
              </w:rPr>
              <w:t>Application</w:t>
            </w:r>
          </w:p>
        </w:tc>
        <w:tc>
          <w:tcPr>
            <w:tcW w:type="dxa" w:w="2880"/>
            <w:shd w:fill="F7F8F9" w:val="clear"/>
            <w:tcMar>
              <w:top w:w="60" w:type="dxa"/>
              <w:start w:w="80" w:type="dxa"/>
              <w:bottom w:w="60" w:type="dxa"/>
              <w:end w:w="80" w:type="dxa"/>
            </w:tcMar>
            <w:vAlign w:val="top"/>
          </w:tcPr>
          <w:p>
            <w:pPr>
              <w:spacing w:after="0"/>
            </w:pPr>
            <w:r>
              <w:rPr>
                <w:rFonts w:ascii="Carlito" w:hAnsi="Carlito" w:eastAsia="Carlito"/>
                <w:color w:val="1F2933"/>
                <w:sz w:val="15"/>
              </w:rPr>
              <w:t>Tier-N network, pool costs, cost waterfall, baseline comparison, scenario analysis and solver confidence.</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5"/>
              </w:rPr>
              <w:t>Map, route timeline, dispatch controls and failure explanations.</w:t>
            </w:r>
          </w:p>
        </w:tc>
        <w:tc>
          <w:tcPr>
            <w:tcW w:type="dxa" w:w="2808"/>
            <w:shd w:fill="F7F8F9" w:val="clear"/>
            <w:tcMar>
              <w:top w:w="60" w:type="dxa"/>
              <w:start w:w="80" w:type="dxa"/>
              <w:bottom w:w="60" w:type="dxa"/>
              <w:end w:w="80" w:type="dxa"/>
            </w:tcMar>
            <w:vAlign w:val="top"/>
          </w:tcPr>
          <w:p>
            <w:pPr>
              <w:spacing w:after="0"/>
            </w:pPr>
            <w:r>
              <w:rPr>
                <w:rFonts w:ascii="Carlito" w:hAnsi="Carlito" w:eastAsia="Carlito"/>
                <w:color w:val="1F2933"/>
                <w:sz w:val="15"/>
              </w:rPr>
              <w:t>Allocation, trades, frontier, exposure, stress and estimation views.</w:t>
            </w:r>
          </w:p>
        </w:tc>
      </w:tr>
    </w:tbl>
    <w:p>
      <w:pPr>
        <w:spacing w:after="0"/>
      </w:pPr>
    </w:p>
    <w:p>
      <w:pPr>
        <w:pStyle w:val="Heading2"/>
      </w:pPr>
      <w:r>
        <w:t>6.4 Partial credit, boundaries and resubmission</w:t>
      </w:r>
    </w:p>
    <w:p>
      <w:pPr>
        <w:spacing w:after="90"/>
      </w:pPr>
      <w:r>
        <w:t>Quality-gate failure caps the available score until corrected. Evaluators may award partial credit within a category for sound analysis that does not yet meet the gate. Scores near pass, distinction or A-star boundaries require human review. Resubmission policy and permitted correction window must be stated in the release pack.</w:t>
      </w:r>
    </w:p>
    <w:p>
      <w:pPr>
        <w:pStyle w:val="Heading1"/>
      </w:pPr>
      <w:r>
        <w:t>7. Common dataset standards</w:t>
      </w:r>
    </w:p>
    <w:p>
      <w:pPr>
        <w:pStyle w:val="ListBullet"/>
        <w:spacing w:after="44"/>
        <w:ind w:left="317" w:hanging="173"/>
      </w:pPr>
      <w:r>
        <w:t>Use UTF-8 CSV unless size or type justifies Parquet or another declared format.</w:t>
      </w:r>
    </w:p>
    <w:p>
      <w:pPr>
        <w:pStyle w:val="ListBullet"/>
        <w:spacing w:after="44"/>
        <w:ind w:left="317" w:hanging="173"/>
      </w:pPr>
      <w:r>
        <w:t>Use ISO YYYY-MM-DD dates and timezone-aware timestamps.</w:t>
      </w:r>
    </w:p>
    <w:p>
      <w:pPr>
        <w:pStyle w:val="ListBullet"/>
        <w:spacing w:after="44"/>
        <w:ind w:left="317" w:hanging="173"/>
      </w:pPr>
      <w:r>
        <w:t>State monetary currency and quantity unit explicitly.</w:t>
      </w:r>
    </w:p>
    <w:p>
      <w:pPr>
        <w:pStyle w:val="ListBullet"/>
        <w:spacing w:after="44"/>
        <w:ind w:left="317" w:hanging="173"/>
      </w:pPr>
      <w:r>
        <w:t>Represent probabilities between 0 and 1.</w:t>
      </w:r>
    </w:p>
    <w:p>
      <w:pPr>
        <w:pStyle w:val="ListBullet"/>
        <w:spacing w:after="44"/>
        <w:ind w:left="317" w:hanging="173"/>
      </w:pPr>
      <w:r>
        <w:t>Use stable identifiers rather than names as keys.</w:t>
      </w:r>
    </w:p>
    <w:p>
      <w:pPr>
        <w:pStyle w:val="ListBullet"/>
        <w:spacing w:after="44"/>
        <w:ind w:left="317" w:hanging="173"/>
      </w:pPr>
      <w:r>
        <w:t>Declare primary keys, foreign keys, allowed values and nullability.</w:t>
      </w:r>
    </w:p>
    <w:p>
      <w:pPr>
        <w:pStyle w:val="ListBullet"/>
        <w:spacing w:after="44"/>
        <w:ind w:left="317" w:hanging="173"/>
      </w:pPr>
      <w:r>
        <w:t>Use blanks for missing values; do not use sentinel numbers such as -999.</w:t>
      </w:r>
    </w:p>
    <w:p>
      <w:pPr>
        <w:pStyle w:val="ListBullet"/>
        <w:spacing w:after="44"/>
        <w:ind w:left="317" w:hanging="173"/>
      </w:pPr>
      <w:r>
        <w:t>Do not release derived optimal routes, covariance matrices or recursive pool costs as raw inputs unless explicitly permitted as a baseline-only comparator.</w:t>
      </w:r>
    </w:p>
    <w:p>
      <w:pPr>
        <w:pStyle w:val="ListBullet"/>
        <w:spacing w:after="44"/>
        <w:ind w:left="317" w:hanging="173"/>
      </w:pPr>
      <w:r>
        <w:t>Design the base case to be feasible and operationally tight.</w:t>
      </w:r>
    </w:p>
    <w:p>
      <w:pPr>
        <w:pStyle w:val="ListBullet"/>
        <w:spacing w:after="44"/>
        <w:ind w:left="317" w:hanging="173"/>
      </w:pPr>
      <w:r>
        <w:t>Allow stress cases to require shortage, overtime or another controlled recourse mechanism.</w:t>
      </w:r>
    </w:p>
    <w:p>
      <w:pPr>
        <w:pStyle w:val="ListBullet"/>
        <w:spacing w:after="44"/>
        <w:ind w:left="317" w:hanging="173"/>
      </w:pPr>
      <w:r>
        <w:t>Use fictional organisations, assets and individuals.</w:t>
      </w:r>
    </w:p>
    <w:p>
      <w:pPr>
        <w:spacing w:after="90"/>
      </w:pPr>
      <w:r>
        <w:t>Each data-dictionary record should contain:</w:t>
      </w:r>
    </w:p>
    <w:tbl>
      <w:tblPr>
        <w:tblW w:type="auto" w:w="0"/>
        <w:jc w:val="center"/>
        <w:tblLayout w:type="fixed"/>
        <w:tblLook w:firstColumn="1" w:firstRow="1" w:lastColumn="0" w:lastRow="0" w:noHBand="0" w:noVBand="1" w:val="04A0"/>
      </w:tblPr>
      <w:tblGrid>
        <w:gridCol w:w="9936"/>
      </w:tblGrid>
      <w:tr>
        <w:tc>
          <w:tcPr>
            <w:tcW w:type="dxa" w:w="10119"/>
            <w:shd w:fill="F2F4F6" w:val="clear"/>
            <w:tcMar>
              <w:top w:w="90" w:type="dxa"/>
              <w:start w:w="110" w:type="dxa"/>
              <w:bottom w:w="90" w:type="dxa"/>
              <w:end w:w="110" w:type="dxa"/>
            </w:tcMar>
            <w:tcBorders>
              <w:top w:val="single" w:sz="4" w:color="D5DDE5"/>
              <w:start w:val="single" w:sz="4" w:color="D5DDE5"/>
              <w:bottom w:val="single" w:sz="4" w:color="D5DDE5"/>
              <w:end w:val="single" w:sz="4" w:color="D5DDE5"/>
            </w:tcBorders>
          </w:tcPr>
          <w:p>
            <w:pPr>
              <w:pStyle w:val="CodeBlock"/>
              <w:spacing w:after="0"/>
            </w:pPr>
            <w:r>
              <w:rPr>
                <w:rFonts w:ascii="Consolas" w:hAnsi="Consolas" w:eastAsia="Consolas"/>
                <w:color w:val="263238"/>
                <w:sz w:val="16"/>
              </w:rPr>
              <w:t>file</w:t>
              <w:br/>
              <w:t>column</w:t>
              <w:br/>
              <w:t>data_type</w:t>
              <w:br/>
              <w:t>nullable</w:t>
              <w:br/>
              <w:t>primary_key</w:t>
              <w:br/>
              <w:t>foreign_key</w:t>
              <w:br/>
              <w:t>allowed_values</w:t>
              <w:br/>
              <w:t>unit</w:t>
              <w:br/>
              <w:t>description</w:t>
              <w:br/>
              <w:t>generation_logic</w:t>
            </w:r>
          </w:p>
        </w:tc>
      </w:tr>
    </w:tbl>
    <w:p>
      <w:pPr>
        <w:spacing w:after="0"/>
      </w:pPr>
    </w:p>
    <w:p>
      <w:pPr>
        <w:spacing w:after="90"/>
      </w:pPr>
      <w:r>
        <w:t>Raw data should contain controlled, interpretable trade-offs. Lower-cost supply may carry disruption exposure, scarce technicians may hold critical skills, and high-return assets may be volatile or illiquid. Generation parameters, schemas and dictionaries should be derived from one versioned configuration.</w:t>
      </w:r>
    </w:p>
    <w:p>
      <w:pPr>
        <w:pStyle w:val="Heading1"/>
      </w:pPr>
      <w:r>
        <w:t>8. CAP-001 - Supplier Allocation Under Disruption Risk</w:t>
      </w:r>
    </w:p>
    <w:p>
      <w:pPr>
        <w:pStyle w:val="Heading2"/>
      </w:pPr>
      <w:r>
        <w:t>8.1 Fixed use case</w:t>
      </w:r>
    </w:p>
    <w:p>
      <w:pPr>
        <w:spacing w:after="90"/>
      </w:pPr>
      <w:r>
        <w:t>Asterion Industrial Controls Group is a fictional European manufacturer operating four final-assembly plants and a Tier-N nominated-source supply network. Release 1 instantiates four supplier tiers plus Asterion plants. External boundary sources provide priced inputs; intermediate nodes transform and pool materials; Tier 1 nodes supply plant-ready components.</w:t>
      </w:r>
    </w:p>
    <w:p>
      <w:pPr>
        <w:spacing w:after="90"/>
      </w:pPr>
      <w:r>
        <w:t>The supply-planning and category-management user must produce a 12-week coordinated sourcing recommendation that protects terminal demand, respects commercial and physical constraints, propagates upstream costs into downstream material value and evaluates disruption resilience.</w:t>
      </w:r>
    </w:p>
    <w:p>
      <w:pPr>
        <w:pStyle w:val="Heading2"/>
      </w:pPr>
      <w:r>
        <w:t>8.2 Core model and learning challenge</w:t>
      </w:r>
    </w:p>
    <w:tbl>
      <w:tblPr>
        <w:tblW w:type="auto" w:w="0"/>
        <w:jc w:val="center"/>
        <w:tblLayout w:type="fixed"/>
        <w:tblLook w:firstColumn="1" w:firstRow="1" w:lastColumn="0" w:lastRow="0" w:noHBand="0" w:noVBand="1" w:val="04A0"/>
      </w:tblPr>
      <w:tblGrid>
        <w:gridCol w:w="9936"/>
      </w:tblGrid>
      <w:tr>
        <w:tc>
          <w:tcPr>
            <w:tcW w:type="dxa" w:w="10119"/>
            <w:shd w:fill="EAF1F7" w:val="clear"/>
            <w:tcMar>
              <w:top w:w="100" w:type="dxa"/>
              <w:start w:w="130" w:type="dxa"/>
              <w:bottom w:w="100" w:type="dxa"/>
              <w:end w:w="130" w:type="dxa"/>
            </w:tcMar>
            <w:tcBorders>
              <w:top w:val="nil"/>
              <w:start w:val="single" w:sz="18" w:color="2F7D8C"/>
              <w:bottom w:val="nil"/>
              <w:end w:val="nil"/>
            </w:tcBorders>
          </w:tcPr>
          <w:p>
            <w:pPr>
              <w:spacing w:after="40"/>
            </w:pPr>
            <w:r>
              <w:rPr>
                <w:rFonts w:ascii="Carlito" w:hAnsi="Carlito" w:eastAsia="Carlito"/>
                <w:b/>
                <w:color w:val="2F7D8C"/>
                <w:sz w:val="18"/>
              </w:rPr>
              <w:t>Assessed model</w:t>
            </w:r>
          </w:p>
          <w:p>
            <w:pPr>
              <w:spacing w:after="0"/>
            </w:pPr>
            <w:r>
              <w:rPr>
                <w:rFonts w:ascii="Carlito" w:hAnsi="Carlito" w:eastAsia="Carlito"/>
                <w:color w:val="1F2933"/>
                <w:sz w:val="18"/>
              </w:rPr>
              <w:t>A bounded non-convex MINLP with exact weighted-average pooling and recursive propagation of external prices, freight, duty, insurance, conversion cost, fixed setup, overhead and configured supplier markup.</w:t>
            </w:r>
          </w:p>
        </w:tc>
      </w:tr>
    </w:tbl>
    <w:p>
      <w:pPr>
        <w:spacing w:after="0"/>
      </w:pPr>
    </w:p>
    <w:p>
      <w:pPr>
        <w:spacing w:after="90"/>
      </w:pPr>
      <w:r>
        <w:t>A fixed-price MILP using the same physical network is required as a diagnostic baseline. Consultants may use direct MINLP, spatial relaxation, piecewise approximation, decomposition or an algebraically equivalent route, but must identify whether the result is exact, relaxed or approximate and reconcile the resulting quantity and value flows.</w:t>
      </w:r>
    </w:p>
    <w:p>
      <w:pPr>
        <w:pStyle w:val="Heading2"/>
      </w:pPr>
      <w:r>
        <w:t>8.3 Required evidence</w:t>
      </w:r>
    </w:p>
    <w:p>
      <w:pPr>
        <w:pStyle w:val="ListBullet"/>
        <w:spacing w:after="44"/>
        <w:ind w:left="317" w:hanging="173"/>
      </w:pPr>
      <w:r>
        <w:t>valid Tier-N sourcing, production, shipment and inventory plan;</w:t>
      </w:r>
    </w:p>
    <w:p>
      <w:pPr>
        <w:pStyle w:val="ListBullet"/>
        <w:spacing w:after="44"/>
        <w:ind w:left="317" w:hanging="173"/>
      </w:pPr>
      <w:r>
        <w:t>fixed-price MILP and recursive-cost result comparison;</w:t>
      </w:r>
    </w:p>
    <w:p>
      <w:pPr>
        <w:pStyle w:val="ListBullet"/>
        <w:spacing w:after="44"/>
        <w:ind w:left="317" w:hanging="173"/>
      </w:pPr>
      <w:r>
        <w:t>weighted-average cost roll-forward at every active node-material-period pool;</w:t>
      </w:r>
    </w:p>
    <w:p>
      <w:pPr>
        <w:pStyle w:val="ListBullet"/>
        <w:spacing w:after="44"/>
        <w:ind w:left="317" w:hanging="173"/>
      </w:pPr>
      <w:r>
        <w:t>terminal cost waterfall and source-contribution lineage;</w:t>
      </w:r>
    </w:p>
    <w:p>
      <w:pPr>
        <w:pStyle w:val="ListBullet"/>
        <w:spacing w:after="44"/>
        <w:ind w:left="317" w:hanging="173"/>
      </w:pPr>
      <w:r>
        <w:t>solver status, bound or multi-start evidence, runtime and limitations;</w:t>
      </w:r>
    </w:p>
    <w:p>
      <w:pPr>
        <w:pStyle w:val="ListBullet"/>
        <w:spacing w:after="44"/>
        <w:ind w:left="317" w:hanging="173"/>
      </w:pPr>
      <w:r>
        <w:t>BASE plus supplied disruption scenarios;</w:t>
      </w:r>
    </w:p>
    <w:p>
      <w:pPr>
        <w:pStyle w:val="ListBullet"/>
        <w:spacing w:after="44"/>
        <w:ind w:left="317" w:hanging="173"/>
      </w:pPr>
      <w:r>
        <w:t>student-defined resilience measure and at least one implemented intervention;</w:t>
      </w:r>
    </w:p>
    <w:p>
      <w:pPr>
        <w:pStyle w:val="ListBullet"/>
        <w:spacing w:after="44"/>
        <w:ind w:left="317" w:hanging="173"/>
      </w:pPr>
      <w:r>
        <w:t>interactive application and production-readiness explanation.</w:t>
      </w:r>
    </w:p>
    <w:p>
      <w:pPr>
        <w:pStyle w:val="Heading2"/>
      </w:pPr>
      <w:r>
        <w:t>8.4 Required input families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592"/>
            <w:shd w:fill="17365D" w:val="clear"/>
            <w:tcMar>
              <w:top w:w="60" w:type="dxa"/>
              <w:start w:w="80" w:type="dxa"/>
              <w:bottom w:w="60" w:type="dxa"/>
              <w:end w:w="80" w:type="dxa"/>
            </w:tcMar>
            <w:vAlign w:val="center"/>
          </w:tcPr>
          <w:p>
            <w:pPr>
              <w:spacing w:after="0"/>
            </w:pPr>
            <w:r>
              <w:rPr>
                <w:rFonts w:ascii="Carlito" w:hAnsi="Carlito" w:eastAsia="Carlito"/>
                <w:b/>
                <w:color w:val="FFFFFF"/>
                <w:sz w:val="16"/>
              </w:rPr>
              <w:t>Input family</w:t>
            </w:r>
          </w:p>
        </w:tc>
        <w:tc>
          <w:tcPr>
            <w:tcW w:type="dxa" w:w="7344"/>
            <w:shd w:fill="17365D" w:val="clear"/>
            <w:tcMar>
              <w:top w:w="60" w:type="dxa"/>
              <w:start w:w="80" w:type="dxa"/>
              <w:bottom w:w="60" w:type="dxa"/>
              <w:end w:w="80" w:type="dxa"/>
            </w:tcMar>
            <w:vAlign w:val="center"/>
          </w:tcPr>
          <w:p>
            <w:pPr>
              <w:spacing w:after="0"/>
            </w:pPr>
            <w:r>
              <w:rPr>
                <w:rFonts w:ascii="Carlito" w:hAnsi="Carlito" w:eastAsia="Carlito"/>
                <w:b/>
                <w:color w:val="FFFFFF"/>
                <w:sz w:val="16"/>
              </w:rPr>
              <w:t>Examples</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Network and master data</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Supplier organisations, tier-neutral nodes, plants, materials and planning calendar.</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Transformations</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Recipes, input coefficients, yields, conversion costs, setup, overhead and markup.</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Commercial and logistics</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Approvals, contracts, Incoterms, duty, lanes, external prices, MOQ, lots and fixed costs.</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Inventory and demand</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Opening quantity and book value, storage policy, holding cost and terminal demand.</w:t>
            </w:r>
          </w:p>
        </w:tc>
      </w:tr>
      <w:tr>
        <w:tc>
          <w:tcPr>
            <w:tcW w:type="dxa" w:w="2592"/>
            <w:tcMar>
              <w:top w:w="60" w:type="dxa"/>
              <w:start w:w="80" w:type="dxa"/>
              <w:bottom w:w="60" w:type="dxa"/>
              <w:end w:w="80" w:type="dxa"/>
            </w:tcMar>
            <w:vAlign w:val="top"/>
          </w:tcPr>
          <w:p>
            <w:pPr>
              <w:spacing w:after="0"/>
            </w:pPr>
            <w:r>
              <w:rPr>
                <w:rFonts w:ascii="Carlito" w:hAnsi="Carlito" w:eastAsia="Carlito"/>
                <w:color w:val="1F2933"/>
                <w:sz w:val="16"/>
              </w:rPr>
              <w:t>Risk and scenarios</w:t>
            </w:r>
          </w:p>
        </w:tc>
        <w:tc>
          <w:tcPr>
            <w:tcW w:type="dxa" w:w="7344"/>
            <w:tcMar>
              <w:top w:w="60" w:type="dxa"/>
              <w:start w:w="80" w:type="dxa"/>
              <w:bottom w:w="60" w:type="dxa"/>
              <w:end w:w="80" w:type="dxa"/>
            </w:tcMar>
            <w:vAlign w:val="top"/>
          </w:tcPr>
          <w:p>
            <w:pPr>
              <w:spacing w:after="0"/>
            </w:pPr>
            <w:r>
              <w:rPr>
                <w:rFonts w:ascii="Carlito" w:hAnsi="Carlito" w:eastAsia="Carlito"/>
                <w:color w:val="1F2933"/>
                <w:sz w:val="16"/>
              </w:rPr>
              <w:t>Performance history, incidents, scenario catalogue and tier-neutral impacts.</w:t>
            </w:r>
          </w:p>
        </w:tc>
      </w:tr>
      <w:tr>
        <w:tc>
          <w:tcPr>
            <w:tcW w:type="dxa" w:w="2592"/>
            <w:shd w:fill="F7F8F9" w:val="clear"/>
            <w:tcMar>
              <w:top w:w="60" w:type="dxa"/>
              <w:start w:w="80" w:type="dxa"/>
              <w:bottom w:w="60" w:type="dxa"/>
              <w:end w:w="80" w:type="dxa"/>
            </w:tcMar>
            <w:vAlign w:val="top"/>
          </w:tcPr>
          <w:p>
            <w:pPr>
              <w:spacing w:after="0"/>
            </w:pPr>
            <w:r>
              <w:rPr>
                <w:rFonts w:ascii="Carlito" w:hAnsi="Carlito" w:eastAsia="Carlito"/>
                <w:color w:val="1F2933"/>
                <w:sz w:val="16"/>
              </w:rPr>
              <w:t>Baseline-only inputs</w:t>
            </w:r>
          </w:p>
        </w:tc>
        <w:tc>
          <w:tcPr>
            <w:tcW w:type="dxa" w:w="7344"/>
            <w:shd w:fill="F7F8F9" w:val="clear"/>
            <w:tcMar>
              <w:top w:w="60" w:type="dxa"/>
              <w:start w:w="80" w:type="dxa"/>
              <w:bottom w:w="60" w:type="dxa"/>
              <w:end w:w="80" w:type="dxa"/>
            </w:tcMar>
            <w:vAlign w:val="top"/>
          </w:tcPr>
          <w:p>
            <w:pPr>
              <w:spacing w:after="0"/>
            </w:pPr>
            <w:r>
              <w:rPr>
                <w:rFonts w:ascii="Carlito" w:hAnsi="Carlito" w:eastAsia="Carlito"/>
                <w:color w:val="1F2933"/>
                <w:sz w:val="16"/>
              </w:rPr>
              <w:t>Clearly labelled standard intermediate costs used only by the fixed-price MILP comparator.</w:t>
            </w:r>
          </w:p>
        </w:tc>
      </w:tr>
    </w:tbl>
    <w:p>
      <w:pPr>
        <w:spacing w:after="0"/>
      </w:pPr>
    </w:p>
    <w:p>
      <w:pPr>
        <w:pStyle w:val="Heading2"/>
      </w:pPr>
      <w:r>
        <w:t>8.5 CAP-001 quality gates</w:t>
      </w:r>
    </w:p>
    <w:p>
      <w:pPr>
        <w:pStyle w:val="ListBullet"/>
        <w:spacing w:after="44"/>
        <w:ind w:left="317" w:hanging="173"/>
      </w:pPr>
      <w:r>
        <w:t>every positive flow is approved, contracted and transportable;</w:t>
      </w:r>
    </w:p>
    <w:p>
      <w:pPr>
        <w:pStyle w:val="ListBullet"/>
        <w:spacing w:after="44"/>
        <w:ind w:left="317" w:hanging="173"/>
      </w:pPr>
      <w:r>
        <w:t>all material balances, BOM consumption, yields and lead times reconcile;</w:t>
      </w:r>
    </w:p>
    <w:p>
      <w:pPr>
        <w:pStyle w:val="ListBullet"/>
        <w:spacing w:after="44"/>
        <w:ind w:left="317" w:hanging="173"/>
      </w:pPr>
      <w:r>
        <w:t>every quantity pool and value pool reconciles within declared tolerance;</w:t>
      </w:r>
    </w:p>
    <w:p>
      <w:pPr>
        <w:pStyle w:val="ListBullet"/>
        <w:spacing w:after="44"/>
        <w:ind w:left="317" w:hanging="173"/>
      </w:pPr>
      <w:r>
        <w:t>all outflows from one pool use the same weighted-average unit cost;</w:t>
      </w:r>
    </w:p>
    <w:p>
      <w:pPr>
        <w:pStyle w:val="ListBullet"/>
        <w:spacing w:after="44"/>
        <w:ind w:left="317" w:hanging="173"/>
      </w:pPr>
      <w:r>
        <w:t>production and receipt values include each configured cost exactly once;</w:t>
      </w:r>
    </w:p>
    <w:p>
      <w:pPr>
        <w:pStyle w:val="ListBullet"/>
        <w:spacing w:after="44"/>
        <w:ind w:left="317" w:hanging="173"/>
      </w:pPr>
      <w:r>
        <w:t>zero-quantity pools have zero value and unit cost;</w:t>
      </w:r>
    </w:p>
    <w:p>
      <w:pPr>
        <w:pStyle w:val="ListBullet"/>
        <w:spacing w:after="44"/>
        <w:ind w:left="317" w:hanging="173"/>
      </w:pPr>
      <w:r>
        <w:t>surplus purchasing cannot dilute terminal cost without penalty;</w:t>
      </w:r>
    </w:p>
    <w:p>
      <w:pPr>
        <w:pStyle w:val="ListBullet"/>
        <w:spacing w:after="44"/>
        <w:ind w:left="317" w:hanging="173"/>
      </w:pPr>
      <w:r>
        <w:t>claims of global optimality are supported by an accepted global bound.</w:t>
      </w:r>
    </w:p>
    <w:p>
      <w:pPr>
        <w:pStyle w:val="Heading2"/>
      </w:pPr>
      <w:r>
        <w:t>8.6 Suggested release scale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3888"/>
            <w:shd w:fill="17365D" w:val="clear"/>
            <w:tcMar>
              <w:top w:w="60" w:type="dxa"/>
              <w:start w:w="80" w:type="dxa"/>
              <w:bottom w:w="60" w:type="dxa"/>
              <w:end w:w="80" w:type="dxa"/>
            </w:tcMar>
            <w:vAlign w:val="center"/>
          </w:tcPr>
          <w:p>
            <w:pPr>
              <w:spacing w:after="0"/>
            </w:pPr>
            <w:r>
              <w:rPr>
                <w:rFonts w:ascii="Carlito" w:hAnsi="Carlito" w:eastAsia="Carlito"/>
                <w:b/>
                <w:color w:val="FFFFFF"/>
                <w:sz w:val="16"/>
              </w:rPr>
              <w:t>Dimension</w:t>
            </w:r>
          </w:p>
        </w:tc>
        <w:tc>
          <w:tcPr>
            <w:tcW w:type="dxa" w:w="6048"/>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Release-1 target</w:t>
            </w:r>
          </w:p>
        </w:tc>
      </w:tr>
      <w:tr>
        <w:tc>
          <w:tcPr>
            <w:tcW w:type="dxa" w:w="3888"/>
            <w:tcMar>
              <w:top w:w="60" w:type="dxa"/>
              <w:start w:w="80" w:type="dxa"/>
              <w:bottom w:w="60" w:type="dxa"/>
              <w:end w:w="80" w:type="dxa"/>
            </w:tcMar>
            <w:vAlign w:val="top"/>
          </w:tcPr>
          <w:p>
            <w:pPr>
              <w:spacing w:after="0"/>
            </w:pPr>
            <w:r>
              <w:rPr>
                <w:rFonts w:ascii="Carlito" w:hAnsi="Carlito" w:eastAsia="Carlito"/>
                <w:color w:val="1F2933"/>
                <w:sz w:val="16"/>
              </w:rPr>
              <w:t>Asterion plants</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4</w:t>
            </w:r>
          </w:p>
        </w:tc>
      </w:tr>
      <w:tr>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6"/>
              </w:rPr>
              <w:t>Supplier tiers</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4 in the generated instance; generic Tier-N schema</w:t>
            </w:r>
          </w:p>
        </w:tc>
      </w:tr>
      <w:tr>
        <w:tc>
          <w:tcPr>
            <w:tcW w:type="dxa" w:w="3888"/>
            <w:tcMar>
              <w:top w:w="60" w:type="dxa"/>
              <w:start w:w="80" w:type="dxa"/>
              <w:bottom w:w="60" w:type="dxa"/>
              <w:end w:w="80" w:type="dxa"/>
            </w:tcMar>
            <w:vAlign w:val="top"/>
          </w:tcPr>
          <w:p>
            <w:pPr>
              <w:spacing w:after="0"/>
            </w:pPr>
            <w:r>
              <w:rPr>
                <w:rFonts w:ascii="Carlito" w:hAnsi="Carlito" w:eastAsia="Carlito"/>
                <w:color w:val="1F2933"/>
                <w:sz w:val="16"/>
              </w:rPr>
              <w:t>Supplier / transformation nodes</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Approximately 32-40, sparsely connected</w:t>
            </w:r>
          </w:p>
        </w:tc>
      </w:tr>
      <w:tr>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6"/>
              </w:rPr>
              <w:t>Materials across all stages</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Approximately 30-40</w:t>
            </w:r>
          </w:p>
        </w:tc>
      </w:tr>
      <w:tr>
        <w:tc>
          <w:tcPr>
            <w:tcW w:type="dxa" w:w="3888"/>
            <w:tcMar>
              <w:top w:w="60" w:type="dxa"/>
              <w:start w:w="80" w:type="dxa"/>
              <w:bottom w:w="60" w:type="dxa"/>
              <w:end w:w="80" w:type="dxa"/>
            </w:tcMar>
            <w:vAlign w:val="top"/>
          </w:tcPr>
          <w:p>
            <w:pPr>
              <w:spacing w:after="0"/>
            </w:pPr>
            <w:r>
              <w:rPr>
                <w:rFonts w:ascii="Carlito" w:hAnsi="Carlito" w:eastAsia="Carlito"/>
                <w:color w:val="1F2933"/>
                <w:sz w:val="16"/>
              </w:rPr>
              <w:t>Terminal materials</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6-8</w:t>
            </w:r>
          </w:p>
        </w:tc>
      </w:tr>
      <w:tr>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6"/>
              </w:rPr>
              <w:t>Planning periods</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12 weeks</w:t>
            </w:r>
          </w:p>
        </w:tc>
      </w:tr>
      <w:tr>
        <w:tc>
          <w:tcPr>
            <w:tcW w:type="dxa" w:w="3888"/>
            <w:tcMar>
              <w:top w:w="60" w:type="dxa"/>
              <w:start w:w="80" w:type="dxa"/>
              <w:bottom w:w="60" w:type="dxa"/>
              <w:end w:w="80" w:type="dxa"/>
            </w:tcMar>
            <w:vAlign w:val="top"/>
          </w:tcPr>
          <w:p>
            <w:pPr>
              <w:spacing w:after="0"/>
            </w:pPr>
            <w:r>
              <w:rPr>
                <w:rFonts w:ascii="Carlito" w:hAnsi="Carlito" w:eastAsia="Carlito"/>
                <w:color w:val="1F2933"/>
                <w:sz w:val="16"/>
              </w:rPr>
              <w:t>Approved contracts / arcs</w:t>
            </w:r>
          </w:p>
        </w:tc>
        <w:tc>
          <w:tcPr>
            <w:tcW w:type="dxa" w:w="6048"/>
            <w:tcMar>
              <w:top w:w="60" w:type="dxa"/>
              <w:start w:w="80" w:type="dxa"/>
              <w:bottom w:w="60" w:type="dxa"/>
              <w:end w:w="80" w:type="dxa"/>
            </w:tcMar>
            <w:vAlign w:val="top"/>
          </w:tcPr>
          <w:p>
            <w:pPr>
              <w:spacing w:after="0"/>
            </w:pPr>
            <w:r>
              <w:rPr>
                <w:rFonts w:ascii="Carlito" w:hAnsi="Carlito" w:eastAsia="Carlito"/>
                <w:color w:val="1F2933"/>
                <w:sz w:val="16"/>
              </w:rPr>
              <w:t>Approximately 120-180</w:t>
            </w:r>
          </w:p>
        </w:tc>
      </w:tr>
      <w:tr>
        <w:tc>
          <w:tcPr>
            <w:tcW w:type="dxa" w:w="3888"/>
            <w:shd w:fill="F7F8F9" w:val="clear"/>
            <w:tcMar>
              <w:top w:w="60" w:type="dxa"/>
              <w:start w:w="80" w:type="dxa"/>
              <w:bottom w:w="60" w:type="dxa"/>
              <w:end w:w="80" w:type="dxa"/>
            </w:tcMar>
            <w:vAlign w:val="top"/>
          </w:tcPr>
          <w:p>
            <w:pPr>
              <w:spacing w:after="0"/>
            </w:pPr>
            <w:r>
              <w:rPr>
                <w:rFonts w:ascii="Carlito" w:hAnsi="Carlito" w:eastAsia="Carlito"/>
                <w:color w:val="1F2933"/>
                <w:sz w:val="16"/>
              </w:rPr>
              <w:t>Scenarios</w:t>
            </w:r>
          </w:p>
        </w:tc>
        <w:tc>
          <w:tcPr>
            <w:tcW w:type="dxa" w:w="6048"/>
            <w:shd w:fill="F7F8F9" w:val="clear"/>
            <w:tcMar>
              <w:top w:w="60" w:type="dxa"/>
              <w:start w:w="80" w:type="dxa"/>
              <w:bottom w:w="60" w:type="dxa"/>
              <w:end w:w="80" w:type="dxa"/>
            </w:tcMar>
            <w:vAlign w:val="top"/>
          </w:tcPr>
          <w:p>
            <w:pPr>
              <w:spacing w:after="0"/>
            </w:pPr>
            <w:r>
              <w:rPr>
                <w:rFonts w:ascii="Carlito" w:hAnsi="Carlito" w:eastAsia="Carlito"/>
                <w:color w:val="1F2933"/>
                <w:sz w:val="16"/>
              </w:rPr>
              <w:t>6 including BASE</w:t>
            </w:r>
          </w:p>
        </w:tc>
      </w:tr>
    </w:tbl>
    <w:p>
      <w:pPr>
        <w:spacing w:after="0"/>
      </w:pPr>
    </w:p>
    <w:p>
      <w:pPr>
        <w:pStyle w:val="Heading1"/>
      </w:pPr>
      <w:r>
        <w:t>9. CAP-002 - Field Service Routing and Scheduling</w:t>
      </w:r>
    </w:p>
    <w:p>
      <w:pPr>
        <w:pStyle w:val="Heading2"/>
      </w:pPr>
      <w:r>
        <w:t>9.1 Fixed use case</w:t>
      </w:r>
    </w:p>
    <w:p>
      <w:pPr>
        <w:spacing w:after="90"/>
      </w:pPr>
      <w:r>
        <w:t>A field-service organisation schedules technicians over a five-day horizon. Technicians start and end at depots, hold different skills and certifications, work defined shifts and may use vehicles with different capabilities. Work orders have customer locations, priorities, service deadlines, time windows, skill requirements and uncertain durations.</w:t>
      </w:r>
    </w:p>
    <w:p>
      <w:pPr>
        <w:spacing w:after="90"/>
      </w:pPr>
      <w:r>
        <w:t>The operations user must assign and sequence work while controlling unserved priority jobs, SLA lateness, travel, overtime and workload imbalance.</w:t>
      </w:r>
    </w:p>
    <w:p>
      <w:pPr>
        <w:pStyle w:val="Heading2"/>
      </w:pPr>
      <w:r>
        <w:t>9.2 Core decision structure</w:t>
      </w:r>
    </w:p>
    <w:p>
      <w:pPr>
        <w:pStyle w:val="ListBullet"/>
        <w:spacing w:after="44"/>
        <w:ind w:left="317" w:hanging="173"/>
      </w:pPr>
      <w:r>
        <w:t>whether each work order is served;</w:t>
      </w:r>
    </w:p>
    <w:p>
      <w:pPr>
        <w:pStyle w:val="ListBullet"/>
        <w:spacing w:after="44"/>
        <w:ind w:left="317" w:hanging="173"/>
      </w:pPr>
      <w:r>
        <w:t>which technician and vehicle serve it;</w:t>
      </w:r>
    </w:p>
    <w:p>
      <w:pPr>
        <w:pStyle w:val="ListBullet"/>
        <w:spacing w:after="44"/>
        <w:ind w:left="317" w:hanging="173"/>
      </w:pPr>
      <w:r>
        <w:t>the service day, route sequence and planned start time;</w:t>
      </w:r>
    </w:p>
    <w:p>
      <w:pPr>
        <w:pStyle w:val="ListBullet"/>
        <w:spacing w:after="44"/>
        <w:ind w:left="317" w:hanging="173"/>
      </w:pPr>
      <w:r>
        <w:t>whether overtime or deferral is required.</w:t>
      </w:r>
    </w:p>
    <w:p>
      <w:pPr>
        <w:pStyle w:val="Heading2"/>
      </w:pPr>
      <w:r>
        <w:t>9.3 Required datasets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6"/>
              </w:rPr>
              <w:t>File family</w:t>
            </w:r>
          </w:p>
        </w:tc>
        <w:tc>
          <w:tcPr>
            <w:tcW w:type="dxa" w:w="7704"/>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Required content</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6"/>
              </w:rPr>
              <w:t>Resources</w:t>
            </w:r>
          </w:p>
        </w:tc>
        <w:tc>
          <w:tcPr>
            <w:tcW w:type="dxa" w:w="7704"/>
            <w:tcMar>
              <w:top w:w="60" w:type="dxa"/>
              <w:start w:w="80" w:type="dxa"/>
              <w:bottom w:w="60" w:type="dxa"/>
              <w:end w:w="80" w:type="dxa"/>
            </w:tcMar>
            <w:vAlign w:val="top"/>
          </w:tcPr>
          <w:p>
            <w:pPr>
              <w:spacing w:after="0"/>
            </w:pPr>
            <w:r>
              <w:rPr>
                <w:rFonts w:ascii="Carlito" w:hAnsi="Carlito" w:eastAsia="Carlito"/>
                <w:color w:val="1F2933"/>
                <w:sz w:val="16"/>
              </w:rPr>
              <w:t>Depots, technicians, skills, certifications, availability, vehicles and labour rules.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6"/>
              </w:rPr>
              <w:t>Demand</w:t>
            </w:r>
          </w:p>
        </w:tc>
        <w:tc>
          <w:tcPr>
            <w:tcW w:type="dxa" w:w="7704"/>
            <w:shd w:fill="F7F8F9" w:val="clear"/>
            <w:tcMar>
              <w:top w:w="60" w:type="dxa"/>
              <w:start w:w="80" w:type="dxa"/>
              <w:bottom w:w="60" w:type="dxa"/>
              <w:end w:w="80" w:type="dxa"/>
            </w:tcMar>
            <w:vAlign w:val="top"/>
          </w:tcPr>
          <w:p>
            <w:pPr>
              <w:spacing w:after="0"/>
            </w:pPr>
            <w:r>
              <w:rPr>
                <w:rFonts w:ascii="Carlito" w:hAnsi="Carlito" w:eastAsia="Carlito"/>
                <w:color w:val="1F2933"/>
                <w:sz w:val="16"/>
              </w:rPr>
              <w:t>Customer sites, work orders, priorities, time windows, fixed appointments and skill requirements.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6"/>
              </w:rPr>
              <w:t>Travel</w:t>
            </w:r>
          </w:p>
        </w:tc>
        <w:tc>
          <w:tcPr>
            <w:tcW w:type="dxa" w:w="7704"/>
            <w:tcMar>
              <w:top w:w="60" w:type="dxa"/>
              <w:start w:w="80" w:type="dxa"/>
              <w:bottom w:w="60" w:type="dxa"/>
              <w:end w:w="80" w:type="dxa"/>
            </w:tcMar>
            <w:vAlign w:val="top"/>
          </w:tcPr>
          <w:p>
            <w:pPr>
              <w:spacing w:after="0"/>
            </w:pPr>
            <w:r>
              <w:rPr>
                <w:rFonts w:ascii="Carlito" w:hAnsi="Carlito" w:eastAsia="Carlito"/>
                <w:color w:val="1F2933"/>
                <w:sz w:val="16"/>
              </w:rPr>
              <w:t>Road nodes, directed edges, traffic profiles and a common origin-destination matrix.</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6"/>
              </w:rPr>
              <w:t>History</w:t>
            </w:r>
          </w:p>
        </w:tc>
        <w:tc>
          <w:tcPr>
            <w:tcW w:type="dxa" w:w="7704"/>
            <w:shd w:fill="F7F8F9" w:val="clear"/>
            <w:tcMar>
              <w:top w:w="60" w:type="dxa"/>
              <w:start w:w="80" w:type="dxa"/>
              <w:bottom w:w="60" w:type="dxa"/>
              <w:end w:w="80" w:type="dxa"/>
            </w:tcMar>
            <w:vAlign w:val="top"/>
          </w:tcPr>
          <w:p>
            <w:pPr>
              <w:spacing w:after="0"/>
            </w:pPr>
            <w:r>
              <w:rPr>
                <w:rFonts w:ascii="Carlito" w:hAnsi="Carlito" w:eastAsia="Carlito"/>
                <w:color w:val="1F2933"/>
                <w:sz w:val="16"/>
              </w:rPr>
              <w:t>Planned and actual service durations, outcomes and first-time-fix evidence.</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6"/>
              </w:rPr>
              <w:t>Scenarios</w:t>
            </w:r>
          </w:p>
        </w:tc>
        <w:tc>
          <w:tcPr>
            <w:tcW w:type="dxa" w:w="7704"/>
            <w:tcMar>
              <w:top w:w="60" w:type="dxa"/>
              <w:start w:w="80" w:type="dxa"/>
              <w:bottom w:w="60" w:type="dxa"/>
              <w:end w:w="80" w:type="dxa"/>
            </w:tcMar>
            <w:vAlign w:val="top"/>
          </w:tcPr>
          <w:p>
            <w:pPr>
              <w:spacing w:after="0"/>
            </w:pPr>
            <w:r>
              <w:rPr>
                <w:rFonts w:ascii="Carlito" w:hAnsi="Carlito" w:eastAsia="Carlito"/>
                <w:color w:val="1F2933"/>
                <w:sz w:val="16"/>
              </w:rPr>
              <w:t>Technician absence, road closure, traffic shock, urgent work and depot restriction.</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6"/>
              </w:rPr>
              <w:t>Extensions</w:t>
            </w:r>
          </w:p>
        </w:tc>
        <w:tc>
          <w:tcPr>
            <w:tcW w:type="dxa" w:w="7704"/>
            <w:shd w:fill="F7F8F9" w:val="clear"/>
            <w:tcMar>
              <w:top w:w="60" w:type="dxa"/>
              <w:start w:w="80" w:type="dxa"/>
              <w:bottom w:w="60" w:type="dxa"/>
              <w:end w:w="80" w:type="dxa"/>
            </w:tcMar>
            <w:vAlign w:val="top"/>
          </w:tcPr>
          <w:p>
            <w:pPr>
              <w:spacing w:after="0"/>
            </w:pPr>
            <w:r>
              <w:rPr>
                <w:rFonts w:ascii="Carlito" w:hAnsi="Carlito" w:eastAsia="Carlito"/>
                <w:color w:val="1F2933"/>
                <w:sz w:val="16"/>
              </w:rPr>
              <w:t>Parts requirements and vehicle inventory.</w:t>
            </w:r>
          </w:p>
        </w:tc>
      </w:tr>
    </w:tbl>
    <w:p>
      <w:pPr>
        <w:spacing w:after="0"/>
      </w:pPr>
    </w:p>
    <w:p>
      <w:pPr>
        <w:pStyle w:val="Heading2"/>
      </w:pPr>
      <w:r>
        <w:t>9.4 Required application and validation evidence</w:t>
      </w:r>
    </w:p>
    <w:p>
      <w:pPr>
        <w:pStyle w:val="ListBullet"/>
        <w:spacing w:after="44"/>
        <w:ind w:left="317" w:hanging="173"/>
      </w:pPr>
      <w:r>
        <w:t>route map and technician-by-day Gantt view;</w:t>
      </w:r>
    </w:p>
    <w:p>
      <w:pPr>
        <w:pStyle w:val="ListBullet"/>
        <w:spacing w:after="44"/>
        <w:ind w:left="317" w:hanging="173"/>
      </w:pPr>
      <w:r>
        <w:t>served, unserved and late work with reasons;</w:t>
      </w:r>
    </w:p>
    <w:p>
      <w:pPr>
        <w:pStyle w:val="ListBullet"/>
        <w:spacing w:after="44"/>
        <w:ind w:left="317" w:hanging="173"/>
      </w:pPr>
      <w:r>
        <w:t>travel, SLA, overtime, utilisation and workload metrics;</w:t>
      </w:r>
    </w:p>
    <w:p>
      <w:pPr>
        <w:pStyle w:val="ListBullet"/>
        <w:spacing w:after="44"/>
        <w:ind w:left="317" w:hanging="173"/>
      </w:pPr>
      <w:r>
        <w:t>comparison with a nearest-feasible or earliest-deadline baseline;</w:t>
      </w:r>
    </w:p>
    <w:p>
      <w:pPr>
        <w:pStyle w:val="ListBullet"/>
        <w:spacing w:after="44"/>
        <w:ind w:left="317" w:hanging="173"/>
      </w:pPr>
      <w:r>
        <w:t>no duplicate jobs, no teleportation, valid skills and time feasibility;</w:t>
      </w:r>
    </w:p>
    <w:p>
      <w:pPr>
        <w:pStyle w:val="ListBullet"/>
        <w:spacing w:after="44"/>
        <w:ind w:left="317" w:hanging="173"/>
      </w:pPr>
      <w:r>
        <w:t>scenario and runtime-quality comparison for exact or heuristic methods.</w:t>
      </w:r>
    </w:p>
    <w:p>
      <w:pPr>
        <w:pStyle w:val="Heading1"/>
      </w:pPr>
      <w:r>
        <w:t>10. CAP-003 - Portfolio Risk Allocation</w:t>
      </w:r>
    </w:p>
    <w:p>
      <w:pPr>
        <w:pStyle w:val="Heading2"/>
      </w:pPr>
      <w:r>
        <w:t>10.1 Fixed use case</w:t>
      </w:r>
    </w:p>
    <w:p>
      <w:pPr>
        <w:spacing w:after="90"/>
      </w:pPr>
      <w:r>
        <w:t>An investment or treasury risk team must rebalance a long-only multi-asset portfolio while considering expected return, covariance, volatility, tail risk, current holdings, transaction cost, turnover, concentration, liquidity, benchmark exposure and stress scenarios.</w:t>
      </w:r>
    </w:p>
    <w:p>
      <w:pPr>
        <w:pStyle w:val="Heading2"/>
      </w:pPr>
      <w:r>
        <w:t>10.2 Required datasets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232"/>
            <w:shd w:fill="17365D" w:val="clear"/>
            <w:tcMar>
              <w:top w:w="60" w:type="dxa"/>
              <w:start w:w="80" w:type="dxa"/>
              <w:bottom w:w="60" w:type="dxa"/>
              <w:end w:w="80" w:type="dxa"/>
            </w:tcMar>
            <w:vAlign w:val="center"/>
          </w:tcPr>
          <w:p>
            <w:pPr>
              <w:spacing w:after="0"/>
            </w:pPr>
            <w:r>
              <w:rPr>
                <w:rFonts w:ascii="Carlito" w:hAnsi="Carlito" w:eastAsia="Carlito"/>
                <w:b/>
                <w:color w:val="FFFFFF"/>
                <w:sz w:val="16"/>
              </w:rPr>
              <w:t>File family</w:t>
            </w:r>
          </w:p>
        </w:tc>
        <w:tc>
          <w:tcPr>
            <w:tcW w:type="dxa" w:w="7704"/>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Required content</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6"/>
              </w:rPr>
              <w:t>Market and reference data</w:t>
            </w:r>
          </w:p>
        </w:tc>
        <w:tc>
          <w:tcPr>
            <w:tcW w:type="dxa" w:w="7704"/>
            <w:tcMar>
              <w:top w:w="60" w:type="dxa"/>
              <w:start w:w="80" w:type="dxa"/>
              <w:bottom w:w="60" w:type="dxa"/>
              <w:end w:w="80" w:type="dxa"/>
            </w:tcMar>
            <w:vAlign w:val="top"/>
          </w:tcPr>
          <w:p>
            <w:pPr>
              <w:spacing w:after="0"/>
            </w:pPr>
            <w:r>
              <w:rPr>
                <w:rFonts w:ascii="Carlito" w:hAnsi="Carlito" w:eastAsia="Carlito"/>
                <w:color w:val="1F2933"/>
                <w:sz w:val="16"/>
              </w:rPr>
              <w:t>Asset master, adjusted price history, FX and risk-free rates.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6"/>
              </w:rPr>
              <w:t>Portfolio state</w:t>
            </w:r>
          </w:p>
        </w:tc>
        <w:tc>
          <w:tcPr>
            <w:tcW w:type="dxa" w:w="7704"/>
            <w:shd w:fill="F7F8F9" w:val="clear"/>
            <w:tcMar>
              <w:top w:w="60" w:type="dxa"/>
              <w:start w:w="80" w:type="dxa"/>
              <w:bottom w:w="60" w:type="dxa"/>
              <w:end w:w="80" w:type="dxa"/>
            </w:tcMar>
            <w:vAlign w:val="top"/>
          </w:tcPr>
          <w:p>
            <w:pPr>
              <w:spacing w:after="0"/>
            </w:pPr>
            <w:r>
              <w:rPr>
                <w:rFonts w:ascii="Carlito" w:hAnsi="Carlito" w:eastAsia="Carlito"/>
                <w:color w:val="1F2933"/>
                <w:sz w:val="16"/>
              </w:rPr>
              <w:t>Current holdings, cash positions and benchmark weights.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6"/>
              </w:rPr>
              <w:t>Assumptions and constraints</w:t>
            </w:r>
          </w:p>
        </w:tc>
        <w:tc>
          <w:tcPr>
            <w:tcW w:type="dxa" w:w="7704"/>
            <w:tcMar>
              <w:top w:w="60" w:type="dxa"/>
              <w:start w:w="80" w:type="dxa"/>
              <w:bottom w:w="60" w:type="dxa"/>
              <w:end w:w="80" w:type="dxa"/>
            </w:tcMar>
            <w:vAlign w:val="top"/>
          </w:tcPr>
          <w:p>
            <w:pPr>
              <w:spacing w:after="0"/>
            </w:pPr>
            <w:r>
              <w:rPr>
                <w:rFonts w:ascii="Carlito" w:hAnsi="Carlito" w:eastAsia="Carlito"/>
                <w:color w:val="1F2933"/>
                <w:sz w:val="16"/>
              </w:rPr>
              <w:t>Expected returns, asset/group/portfolio limits, transaction costs and liquidity metrics.</w:t>
            </w:r>
          </w:p>
        </w:tc>
      </w:tr>
      <w:tr>
        <w:tc>
          <w:tcPr>
            <w:tcW w:type="dxa" w:w="2232"/>
            <w:shd w:fill="F7F8F9" w:val="clear"/>
            <w:tcMar>
              <w:top w:w="60" w:type="dxa"/>
              <w:start w:w="80" w:type="dxa"/>
              <w:bottom w:w="60" w:type="dxa"/>
              <w:end w:w="80" w:type="dxa"/>
            </w:tcMar>
            <w:vAlign w:val="top"/>
          </w:tcPr>
          <w:p>
            <w:pPr>
              <w:spacing w:after="0"/>
            </w:pPr>
            <w:r>
              <w:rPr>
                <w:rFonts w:ascii="Carlito" w:hAnsi="Carlito" w:eastAsia="Carlito"/>
                <w:color w:val="1F2933"/>
                <w:sz w:val="16"/>
              </w:rPr>
              <w:t>Evaluation</w:t>
            </w:r>
          </w:p>
        </w:tc>
        <w:tc>
          <w:tcPr>
            <w:tcW w:type="dxa" w:w="7704"/>
            <w:shd w:fill="F7F8F9" w:val="clear"/>
            <w:tcMar>
              <w:top w:w="60" w:type="dxa"/>
              <w:start w:w="80" w:type="dxa"/>
              <w:bottom w:w="60" w:type="dxa"/>
              <w:end w:w="80" w:type="dxa"/>
            </w:tcMar>
            <w:vAlign w:val="top"/>
          </w:tcPr>
          <w:p>
            <w:pPr>
              <w:spacing w:after="0"/>
            </w:pPr>
            <w:r>
              <w:rPr>
                <w:rFonts w:ascii="Carlito" w:hAnsi="Carlito" w:eastAsia="Carlito"/>
                <w:color w:val="1F2933"/>
                <w:sz w:val="16"/>
              </w:rPr>
              <w:t>Rebalance calendar, stress scenarios and shocks.</w:t>
            </w:r>
          </w:p>
        </w:tc>
      </w:tr>
      <w:tr>
        <w:tc>
          <w:tcPr>
            <w:tcW w:type="dxa" w:w="2232"/>
            <w:tcMar>
              <w:top w:w="60" w:type="dxa"/>
              <w:start w:w="80" w:type="dxa"/>
              <w:bottom w:w="60" w:type="dxa"/>
              <w:end w:w="80" w:type="dxa"/>
            </w:tcMar>
            <w:vAlign w:val="top"/>
          </w:tcPr>
          <w:p>
            <w:pPr>
              <w:spacing w:after="0"/>
            </w:pPr>
            <w:r>
              <w:rPr>
                <w:rFonts w:ascii="Carlito" w:hAnsi="Carlito" w:eastAsia="Carlito"/>
                <w:color w:val="1F2933"/>
                <w:sz w:val="16"/>
              </w:rPr>
              <w:t>Top-band extensions</w:t>
            </w:r>
          </w:p>
        </w:tc>
        <w:tc>
          <w:tcPr>
            <w:tcW w:type="dxa" w:w="7704"/>
            <w:tcMar>
              <w:top w:w="60" w:type="dxa"/>
              <w:start w:w="80" w:type="dxa"/>
              <w:bottom w:w="60" w:type="dxa"/>
              <w:end w:w="80" w:type="dxa"/>
            </w:tcMar>
            <w:vAlign w:val="top"/>
          </w:tcPr>
          <w:p>
            <w:pPr>
              <w:spacing w:after="0"/>
            </w:pPr>
            <w:r>
              <w:rPr>
                <w:rFonts w:ascii="Carlito" w:hAnsi="Carlito" w:eastAsia="Carlito"/>
                <w:color w:val="1F2933"/>
                <w:sz w:val="16"/>
              </w:rPr>
              <w:t>Factor exposures, factor returns and research views.</w:t>
            </w:r>
          </w:p>
        </w:tc>
      </w:tr>
    </w:tbl>
    <w:p>
      <w:pPr>
        <w:spacing w:after="0"/>
      </w:pPr>
    </w:p>
    <w:p>
      <w:pPr>
        <w:pStyle w:val="Heading2"/>
      </w:pPr>
      <w:r>
        <w:t>10.3 Required application and validation evidence</w:t>
      </w:r>
    </w:p>
    <w:p>
      <w:pPr>
        <w:pStyle w:val="ListBullet"/>
        <w:spacing w:after="44"/>
        <w:ind w:left="317" w:hanging="173"/>
      </w:pPr>
      <w:r>
        <w:t>current and recommended weights and trades;</w:t>
      </w:r>
    </w:p>
    <w:p>
      <w:pPr>
        <w:pStyle w:val="ListBullet"/>
        <w:spacing w:after="44"/>
        <w:ind w:left="317" w:hanging="173"/>
      </w:pPr>
      <w:r>
        <w:t>expected return, volatility, VaR or CVaR, turnover and transaction cost;</w:t>
      </w:r>
    </w:p>
    <w:p>
      <w:pPr>
        <w:pStyle w:val="ListBullet"/>
        <w:spacing w:after="44"/>
        <w:ind w:left="317" w:hanging="173"/>
      </w:pPr>
      <w:r>
        <w:t>sector, region, asset-class and liquidity exposure;</w:t>
      </w:r>
    </w:p>
    <w:p>
      <w:pPr>
        <w:pStyle w:val="ListBullet"/>
        <w:spacing w:after="44"/>
        <w:ind w:left="317" w:hanging="173"/>
      </w:pPr>
      <w:r>
        <w:t>comparison with current, equal-weight and constrained minimum-variance baselines;</w:t>
      </w:r>
    </w:p>
    <w:p>
      <w:pPr>
        <w:pStyle w:val="ListBullet"/>
        <w:spacing w:after="44"/>
        <w:ind w:left="317" w:hanging="173"/>
      </w:pPr>
      <w:r>
        <w:t>efficient frontier or another trade-off view and stress losses;</w:t>
      </w:r>
    </w:p>
    <w:p>
      <w:pPr>
        <w:pStyle w:val="ListBullet"/>
        <w:spacing w:after="44"/>
        <w:ind w:left="317" w:hanging="173"/>
      </w:pPr>
      <w:r>
        <w:t>weight/trade reconciliation, no look-ahead, correct annualisation and mandate compliance.</w:t>
      </w:r>
    </w:p>
    <w:p>
      <w:pPr>
        <w:pStyle w:val="Heading1"/>
      </w:pPr>
      <w:r>
        <w:t>11. Presentation contract</w:t>
      </w:r>
    </w:p>
    <w:p>
      <w:pPr>
        <w:spacing w:after="90"/>
      </w:pPr>
      <w:r>
        <w:t>A common presentation structure supports consistent assessment. A suggested limit is 10-12 substantive slides.</w:t>
      </w:r>
    </w:p>
    <w:p>
      <w:pPr>
        <w:spacing w:after="50"/>
        <w:ind w:left="317" w:hanging="317"/>
      </w:pPr>
      <w:r>
        <w:rPr>
          <w:b/>
        </w:rPr>
        <w:t xml:space="preserve">1. </w:t>
      </w:r>
      <w:r>
        <w:t>Customer context and decision.</w:t>
      </w:r>
    </w:p>
    <w:p>
      <w:pPr>
        <w:spacing w:after="50"/>
        <w:ind w:left="317" w:hanging="317"/>
      </w:pPr>
      <w:r>
        <w:rPr>
          <w:b/>
        </w:rPr>
        <w:t xml:space="preserve">2. </w:t>
      </w:r>
      <w:r>
        <w:t>Data, assumptions and known quality issues.</w:t>
      </w:r>
    </w:p>
    <w:p>
      <w:pPr>
        <w:spacing w:after="50"/>
        <w:ind w:left="317" w:hanging="317"/>
      </w:pPr>
      <w:r>
        <w:rPr>
          <w:b/>
        </w:rPr>
        <w:t xml:space="preserve">3. </w:t>
      </w:r>
      <w:r>
        <w:t>Mathematical or search formulation.</w:t>
      </w:r>
    </w:p>
    <w:p>
      <w:pPr>
        <w:spacing w:after="50"/>
        <w:ind w:left="317" w:hanging="317"/>
      </w:pPr>
      <w:r>
        <w:rPr>
          <w:b/>
        </w:rPr>
        <w:t xml:space="preserve">4. </w:t>
      </w:r>
      <w:r>
        <w:t>Method and solver/search strategy.</w:t>
      </w:r>
    </w:p>
    <w:p>
      <w:pPr>
        <w:spacing w:after="50"/>
        <w:ind w:left="317" w:hanging="317"/>
      </w:pPr>
      <w:r>
        <w:rPr>
          <w:b/>
        </w:rPr>
        <w:t xml:space="preserve">5. </w:t>
      </w:r>
      <w:r>
        <w:t>Baseline result.</w:t>
      </w:r>
    </w:p>
    <w:p>
      <w:pPr>
        <w:spacing w:after="50"/>
        <w:ind w:left="317" w:hanging="317"/>
      </w:pPr>
      <w:r>
        <w:rPr>
          <w:b/>
        </w:rPr>
        <w:t xml:space="preserve">6. </w:t>
      </w:r>
      <w:r>
        <w:t>Assessed or improved result.</w:t>
      </w:r>
    </w:p>
    <w:p>
      <w:pPr>
        <w:spacing w:after="50"/>
        <w:ind w:left="317" w:hanging="317"/>
      </w:pPr>
      <w:r>
        <w:rPr>
          <w:b/>
        </w:rPr>
        <w:t xml:space="preserve">7. </w:t>
      </w:r>
      <w:r>
        <w:t>Validation, reconciliation and sensitivity.</w:t>
      </w:r>
    </w:p>
    <w:p>
      <w:pPr>
        <w:spacing w:after="50"/>
        <w:ind w:left="317" w:hanging="317"/>
      </w:pPr>
      <w:r>
        <w:rPr>
          <w:b/>
        </w:rPr>
        <w:t xml:space="preserve">8. </w:t>
      </w:r>
      <w:r>
        <w:t>Application walkthrough.</w:t>
      </w:r>
    </w:p>
    <w:p>
      <w:pPr>
        <w:spacing w:after="50"/>
        <w:ind w:left="317" w:hanging="317"/>
      </w:pPr>
      <w:r>
        <w:rPr>
          <w:b/>
        </w:rPr>
        <w:t xml:space="preserve">9. </w:t>
      </w:r>
      <w:r>
        <w:t>Recommendation and commercial or operational trade-offs.</w:t>
      </w:r>
    </w:p>
    <w:p>
      <w:pPr>
        <w:spacing w:after="50"/>
        <w:ind w:left="317" w:hanging="317"/>
      </w:pPr>
      <w:r>
        <w:rPr>
          <w:b/>
        </w:rPr>
        <w:t xml:space="preserve">10. </w:t>
      </w:r>
      <w:r>
        <w:t>Limitations and confidence in the result.</w:t>
      </w:r>
    </w:p>
    <w:p>
      <w:pPr>
        <w:spacing w:after="50"/>
        <w:ind w:left="317" w:hanging="317"/>
      </w:pPr>
      <w:r>
        <w:rPr>
          <w:b/>
        </w:rPr>
        <w:t xml:space="preserve">11. </w:t>
      </w:r>
      <w:r>
        <w:t>Production architecture and controls.</w:t>
      </w:r>
    </w:p>
    <w:p>
      <w:pPr>
        <w:spacing w:after="50"/>
        <w:ind w:left="317" w:hanging="317"/>
      </w:pPr>
      <w:r>
        <w:rPr>
          <w:b/>
        </w:rPr>
        <w:t xml:space="preserve">12. </w:t>
      </w:r>
      <w:r>
        <w:t>Next steps.</w:t>
      </w:r>
    </w:p>
    <w:p>
      <w:pPr>
        <w:pStyle w:val="Heading1"/>
      </w:pPr>
      <w:r>
        <w:t>12. Production-readiness extension</w:t>
      </w:r>
    </w:p>
    <w:p>
      <w:pPr>
        <w:pStyle w:val="Heading2"/>
      </w:pPr>
      <w:r>
        <w:t>12.1 Data and integration</w:t>
      </w:r>
    </w:p>
    <w:p>
      <w:pPr>
        <w:pStyle w:val="ListBullet"/>
        <w:spacing w:after="44"/>
        <w:ind w:left="317" w:hanging="173"/>
      </w:pPr>
      <w:r>
        <w:t>Which systems supply the data?</w:t>
      </w:r>
    </w:p>
    <w:p>
      <w:pPr>
        <w:pStyle w:val="ListBullet"/>
        <w:spacing w:after="44"/>
        <w:ind w:left="317" w:hanging="173"/>
      </w:pPr>
      <w:r>
        <w:t>How frequently does it refresh?</w:t>
      </w:r>
    </w:p>
    <w:p>
      <w:pPr>
        <w:pStyle w:val="ListBullet"/>
        <w:spacing w:after="44"/>
        <w:ind w:left="317" w:hanging="173"/>
      </w:pPr>
      <w:r>
        <w:t>Which fields require validation or approval?</w:t>
      </w:r>
    </w:p>
    <w:p>
      <w:pPr>
        <w:pStyle w:val="ListBullet"/>
        <w:spacing w:after="44"/>
        <w:ind w:left="317" w:hanging="173"/>
      </w:pPr>
      <w:r>
        <w:t>How are late, missing or revised data handled?</w:t>
      </w:r>
    </w:p>
    <w:p>
      <w:pPr>
        <w:pStyle w:val="Heading2"/>
      </w:pPr>
      <w:r>
        <w:t>12.2 Architecture</w:t>
      </w:r>
    </w:p>
    <w:p>
      <w:pPr>
        <w:pStyle w:val="ListBullet"/>
        <w:spacing w:after="44"/>
        <w:ind w:left="317" w:hanging="173"/>
      </w:pPr>
      <w:r>
        <w:t>Does optimisation run synchronously, asynchronously or in batches?</w:t>
      </w:r>
    </w:p>
    <w:p>
      <w:pPr>
        <w:pStyle w:val="ListBullet"/>
        <w:spacing w:after="44"/>
        <w:ind w:left="317" w:hanging="173"/>
      </w:pPr>
      <w:r>
        <w:t>What belongs in the frontend, API, optimisation service and database?</w:t>
      </w:r>
    </w:p>
    <w:p>
      <w:pPr>
        <w:pStyle w:val="ListBullet"/>
        <w:spacing w:after="44"/>
        <w:ind w:left="317" w:hanging="173"/>
      </w:pPr>
      <w:r>
        <w:t>How are long-running jobs and prior decisions managed?</w:t>
      </w:r>
    </w:p>
    <w:p>
      <w:pPr>
        <w:pStyle w:val="Heading2"/>
      </w:pPr>
      <w:r>
        <w:t>12.3 Scale and performance</w:t>
      </w:r>
    </w:p>
    <w:p>
      <w:pPr>
        <w:pStyle w:val="ListBullet"/>
        <w:spacing w:after="44"/>
        <w:ind w:left="317" w:hanging="173"/>
      </w:pPr>
      <w:r>
        <w:t>What changes at ten times the problem size?</w:t>
      </w:r>
    </w:p>
    <w:p>
      <w:pPr>
        <w:pStyle w:val="ListBullet"/>
        <w:spacing w:after="44"/>
        <w:ind w:left="317" w:hanging="173"/>
      </w:pPr>
      <w:r>
        <w:t>Which component becomes the bottleneck?</w:t>
      </w:r>
    </w:p>
    <w:p>
      <w:pPr>
        <w:pStyle w:val="ListBullet"/>
        <w:spacing w:after="44"/>
        <w:ind w:left="317" w:hanging="173"/>
      </w:pPr>
      <w:r>
        <w:t>Would decomposition, caching, warm starts, parallel search or approximation be required?</w:t>
      </w:r>
    </w:p>
    <w:p>
      <w:pPr>
        <w:pStyle w:val="Heading2"/>
      </w:pPr>
      <w:r>
        <w:t>12.4 Monitoring and controls</w:t>
      </w:r>
    </w:p>
    <w:p>
      <w:pPr>
        <w:pStyle w:val="ListBullet"/>
        <w:spacing w:after="44"/>
        <w:ind w:left="317" w:hanging="173"/>
      </w:pPr>
      <w:r>
        <w:t>How are infeasibility, solver failure or unstable recommendations detected?</w:t>
      </w:r>
    </w:p>
    <w:p>
      <w:pPr>
        <w:pStyle w:val="ListBullet"/>
        <w:spacing w:after="44"/>
        <w:ind w:left="317" w:hanging="173"/>
      </w:pPr>
      <w:r>
        <w:t>Which input and output metrics are monitored?</w:t>
      </w:r>
    </w:p>
    <w:p>
      <w:pPr>
        <w:pStyle w:val="ListBullet"/>
        <w:spacing w:after="44"/>
        <w:ind w:left="317" w:hanging="173"/>
      </w:pPr>
      <w:r>
        <w:t>How are overrides and approvals recorded?</w:t>
      </w:r>
    </w:p>
    <w:p>
      <w:pPr>
        <w:pStyle w:val="Heading2"/>
      </w:pPr>
      <w:r>
        <w:t>12.5 Governance and security</w:t>
      </w:r>
    </w:p>
    <w:p>
      <w:pPr>
        <w:pStyle w:val="ListBullet"/>
        <w:spacing w:after="44"/>
        <w:ind w:left="317" w:hanging="173"/>
      </w:pPr>
      <w:r>
        <w:t>Who owns objectives, penalties and assumptions?</w:t>
      </w:r>
    </w:p>
    <w:p>
      <w:pPr>
        <w:pStyle w:val="ListBullet"/>
        <w:spacing w:after="44"/>
        <w:ind w:left="317" w:hanging="173"/>
      </w:pPr>
      <w:r>
        <w:t>What lineage and audit trail are required?</w:t>
      </w:r>
    </w:p>
    <w:p>
      <w:pPr>
        <w:pStyle w:val="ListBullet"/>
        <w:spacing w:after="44"/>
        <w:ind w:left="317" w:hanging="173"/>
      </w:pPr>
      <w:r>
        <w:t>Which data are commercially sensitive?</w:t>
      </w:r>
    </w:p>
    <w:p>
      <w:pPr>
        <w:pStyle w:val="ListBullet"/>
        <w:spacing w:after="44"/>
        <w:ind w:left="317" w:hanging="173"/>
      </w:pPr>
      <w:r>
        <w:t>What access and fallback controls are required?</w:t>
      </w:r>
    </w:p>
    <w:tbl>
      <w:tblPr>
        <w:tblW w:type="auto" w:w="0"/>
        <w:jc w:val="center"/>
        <w:tblLayout w:type="fixed"/>
        <w:tblLook w:firstColumn="1" w:firstRow="1" w:lastColumn="0" w:lastRow="0" w:noHBand="0" w:noVBand="1" w:val="04A0"/>
      </w:tblPr>
      <w:tblGrid>
        <w:gridCol w:w="9936"/>
      </w:tblGrid>
      <w:tr>
        <w:tc>
          <w:tcPr>
            <w:tcW w:type="dxa" w:w="10119"/>
            <w:shd w:fill="FFF4D6" w:val="clear"/>
            <w:tcMar>
              <w:top w:w="100" w:type="dxa"/>
              <w:start w:w="130" w:type="dxa"/>
              <w:bottom w:w="100" w:type="dxa"/>
              <w:end w:w="130" w:type="dxa"/>
            </w:tcMar>
            <w:tcBorders>
              <w:top w:val="nil"/>
              <w:start w:val="single" w:sz="18" w:color="C58A00"/>
              <w:bottom w:val="nil"/>
              <w:end w:val="nil"/>
            </w:tcBorders>
          </w:tcPr>
          <w:p>
            <w:pPr>
              <w:spacing w:after="40"/>
            </w:pPr>
            <w:r>
              <w:rPr>
                <w:rFonts w:ascii="Carlito" w:hAnsi="Carlito" w:eastAsia="Carlito"/>
                <w:b/>
                <w:color w:val="C58A00"/>
                <w:sz w:val="18"/>
              </w:rPr>
              <w:t>A-star expectation</w:t>
            </w:r>
          </w:p>
          <w:p>
            <w:pPr>
              <w:spacing w:after="0"/>
            </w:pPr>
            <w:r>
              <w:rPr>
                <w:rFonts w:ascii="Carlito" w:hAnsi="Carlito" w:eastAsia="Carlito"/>
                <w:color w:val="1F2933"/>
                <w:sz w:val="18"/>
              </w:rPr>
              <w:t>The production response must be specific to the selected capstone. A generic statement such as "deploy to the cloud with an API" does not demonstrate production understanding.</w:t>
            </w:r>
          </w:p>
        </w:tc>
      </w:tr>
    </w:tbl>
    <w:p>
      <w:pPr>
        <w:spacing w:after="0"/>
      </w:pPr>
    </w:p>
    <w:p>
      <w:pPr>
        <w:pStyle w:val="Heading1"/>
      </w:pPr>
      <w:r>
        <w:t>13. AI-assisted evaluation model</w:t>
      </w:r>
    </w:p>
    <w:p>
      <w:pPr>
        <w:pStyle w:val="Heading2"/>
      </w:pPr>
      <w:r>
        <w:t>13.1 Stage 1 - Deterministic checks</w:t>
      </w:r>
    </w:p>
    <w:p>
      <w:pPr>
        <w:pStyle w:val="ListBullet"/>
        <w:spacing w:after="44"/>
        <w:ind w:left="317" w:hanging="173"/>
      </w:pPr>
      <w:r>
        <w:t>manifest and raw-data checksum validation;</w:t>
      </w:r>
    </w:p>
    <w:p>
      <w:pPr>
        <w:pStyle w:val="ListBullet"/>
        <w:spacing w:after="44"/>
        <w:ind w:left="317" w:hanging="173"/>
      </w:pPr>
      <w:r>
        <w:t>dependency installation and student tests;</w:t>
      </w:r>
    </w:p>
    <w:p>
      <w:pPr>
        <w:pStyle w:val="ListBullet"/>
        <w:spacing w:after="44"/>
        <w:ind w:left="317" w:hanging="173"/>
      </w:pPr>
      <w:r>
        <w:t>baseline and default-model commands;</w:t>
      </w:r>
    </w:p>
    <w:p>
      <w:pPr>
        <w:pStyle w:val="ListBullet"/>
        <w:spacing w:after="44"/>
        <w:ind w:left="317" w:hanging="173"/>
      </w:pPr>
      <w:r>
        <w:t>output-schema validation;</w:t>
      </w:r>
    </w:p>
    <w:p>
      <w:pPr>
        <w:pStyle w:val="ListBullet"/>
        <w:spacing w:after="44"/>
        <w:ind w:left="317" w:hanging="173"/>
      </w:pPr>
      <w:r>
        <w:t>capstone-specific feasibility and reconciliation checks;</w:t>
      </w:r>
    </w:p>
    <w:p>
      <w:pPr>
        <w:pStyle w:val="ListBullet"/>
        <w:spacing w:after="44"/>
        <w:ind w:left="317" w:hanging="173"/>
      </w:pPr>
      <w:r>
        <w:t>solver-status and gap-field consistency.</w:t>
      </w:r>
    </w:p>
    <w:p>
      <w:pPr>
        <w:pStyle w:val="Heading2"/>
      </w:pPr>
      <w:r>
        <w:t>13.2 Stage 2 - Evidence collection</w:t>
      </w:r>
    </w:p>
    <w:p>
      <w:pPr>
        <w:pStyle w:val="ListBullet"/>
        <w:spacing w:after="44"/>
        <w:ind w:left="317" w:hanging="173"/>
      </w:pPr>
      <w:r>
        <w:t>code responsible for data transformation, formulation and constraints;</w:t>
      </w:r>
    </w:p>
    <w:p>
      <w:pPr>
        <w:pStyle w:val="ListBullet"/>
        <w:spacing w:after="44"/>
        <w:ind w:left="317" w:hanging="173"/>
      </w:pPr>
      <w:r>
        <w:t>test and solver logs;</w:t>
      </w:r>
    </w:p>
    <w:p>
      <w:pPr>
        <w:pStyle w:val="ListBullet"/>
        <w:spacing w:after="44"/>
        <w:ind w:left="317" w:hanging="173"/>
      </w:pPr>
      <w:r>
        <w:t>default and scenario outputs;</w:t>
      </w:r>
    </w:p>
    <w:p>
      <w:pPr>
        <w:pStyle w:val="ListBullet"/>
        <w:spacing w:after="44"/>
        <w:ind w:left="317" w:hanging="173"/>
      </w:pPr>
      <w:r>
        <w:t>application evidence;</w:t>
      </w:r>
    </w:p>
    <w:p>
      <w:pPr>
        <w:pStyle w:val="ListBullet"/>
        <w:spacing w:after="44"/>
        <w:ind w:left="317" w:hanging="173"/>
      </w:pPr>
      <w:r>
        <w:t>model, validation, solver and production reports;</w:t>
      </w:r>
    </w:p>
    <w:p>
      <w:pPr>
        <w:pStyle w:val="ListBullet"/>
        <w:spacing w:after="44"/>
        <w:ind w:left="317" w:hanging="173"/>
      </w:pPr>
      <w:r>
        <w:t>presentation and AI usage disclosure.</w:t>
      </w:r>
    </w:p>
    <w:p>
      <w:pPr>
        <w:pStyle w:val="Heading2"/>
      </w:pPr>
      <w:r>
        <w:t>13.3 Stage 3 - AI qualitative scoring</w:t>
      </w:r>
    </w:p>
    <w:p>
      <w:pPr>
        <w:spacing w:after="90"/>
      </w:pPr>
      <w:r>
        <w:t>The AI evaluator scores only after deterministic evidence is available. Findings should cite file paths, functions, report sections, output records, slides and test results. It should return category scores, confidence, critical correctness risks and evidence gaps.</w:t>
      </w:r>
    </w:p>
    <w:p>
      <w:pPr>
        <w:pStyle w:val="Heading2"/>
      </w:pPr>
      <w:r>
        <w:t>13.4 Stage 4 - Human review and technical defence</w:t>
      </w:r>
    </w:p>
    <w:p>
      <w:pPr>
        <w:spacing w:after="90"/>
      </w:pPr>
      <w:r>
        <w:t>Human review is required when the score is near a boundary, automated checks conflict with the presentation, the application cannot be run, hard constraints or reconciliations fail, the AI evaluator has low confidence, or the claimed result is unusually strong. The technical defence tests whether the consultant understands and owns the AI-assisted work.</w:t>
      </w:r>
    </w:p>
    <w:p>
      <w:pPr>
        <w:pStyle w:val="Heading1"/>
      </w:pPr>
      <w:r>
        <w:t>14. Recommended implementation sequence</w:t>
      </w:r>
    </w:p>
    <w:p>
      <w:pPr>
        <w:spacing w:after="50"/>
        <w:ind w:left="317" w:hanging="317"/>
      </w:pPr>
      <w:r>
        <w:rPr>
          <w:b/>
        </w:rPr>
        <w:t xml:space="preserve">1. </w:t>
      </w:r>
      <w:r>
        <w:t>Finalise this control standard and the common rubric schemas.</w:t>
      </w:r>
    </w:p>
    <w:p>
      <w:pPr>
        <w:spacing w:after="50"/>
        <w:ind w:left="317" w:hanging="317"/>
      </w:pPr>
      <w:r>
        <w:rPr>
          <w:b/>
        </w:rPr>
        <w:t xml:space="preserve">2. </w:t>
      </w:r>
      <w:r>
        <w:t>Build private-control and student-submission repository templates.</w:t>
      </w:r>
    </w:p>
    <w:p>
      <w:pPr>
        <w:spacing w:after="50"/>
        <w:ind w:left="317" w:hanging="317"/>
      </w:pPr>
      <w:r>
        <w:rPr>
          <w:b/>
        </w:rPr>
        <w:t xml:space="preserve">3. </w:t>
      </w:r>
      <w:r>
        <w:t>Implement common manifests, validators and evidence collectors.</w:t>
      </w:r>
    </w:p>
    <w:p>
      <w:pPr>
        <w:spacing w:after="50"/>
        <w:ind w:left="317" w:hanging="317"/>
      </w:pPr>
      <w:r>
        <w:rPr>
          <w:b/>
        </w:rPr>
        <w:t xml:space="preserve">4. </w:t>
      </w:r>
      <w:r>
        <w:t>Complete CAP-001 architecture decisions and the miniature recursive-cost fixture.</w:t>
      </w:r>
    </w:p>
    <w:p>
      <w:pPr>
        <w:spacing w:after="50"/>
        <w:ind w:left="317" w:hanging="317"/>
      </w:pPr>
      <w:r>
        <w:rPr>
          <w:b/>
        </w:rPr>
        <w:t xml:space="preserve">5. </w:t>
      </w:r>
      <w:r>
        <w:t>Build the CAP-001 Tier-N generator, fixed-price MILP and recursive-cost reference model.</w:t>
      </w:r>
    </w:p>
    <w:p>
      <w:pPr>
        <w:spacing w:after="50"/>
        <w:ind w:left="317" w:hanging="317"/>
      </w:pPr>
      <w:r>
        <w:rPr>
          <w:b/>
        </w:rPr>
        <w:t xml:space="preserve">6. </w:t>
      </w:r>
      <w:r>
        <w:t>Calibrate runtime, bounds, scenarios and hidden negative tests.</w:t>
      </w:r>
    </w:p>
    <w:p>
      <w:pPr>
        <w:spacing w:after="50"/>
        <w:ind w:left="317" w:hanging="317"/>
      </w:pPr>
      <w:r>
        <w:rPr>
          <w:b/>
        </w:rPr>
        <w:t xml:space="preserve">7. </w:t>
      </w:r>
      <w:r>
        <w:t>Build and test the CAP-001 student release and technical-defence guide.</w:t>
      </w:r>
    </w:p>
    <w:p>
      <w:pPr>
        <w:spacing w:after="50"/>
        <w:ind w:left="317" w:hanging="317"/>
      </w:pPr>
      <w:r>
        <w:rPr>
          <w:b/>
        </w:rPr>
        <w:t xml:space="preserve">8. </w:t>
      </w:r>
      <w:r>
        <w:t>Reuse the common framework for Field Service.</w:t>
      </w:r>
    </w:p>
    <w:p>
      <w:pPr>
        <w:spacing w:after="50"/>
        <w:ind w:left="317" w:hanging="317"/>
      </w:pPr>
      <w:r>
        <w:rPr>
          <w:b/>
        </w:rPr>
        <w:t xml:space="preserve">9. </w:t>
      </w:r>
      <w:r>
        <w:t>Reuse it again for Portfolio Risk.</w:t>
      </w:r>
    </w:p>
    <w:p>
      <w:pPr>
        <w:spacing w:after="50"/>
        <w:ind w:left="317" w:hanging="317"/>
      </w:pPr>
      <w:r>
        <w:rPr>
          <w:b/>
        </w:rPr>
        <w:t xml:space="preserve">10. </w:t>
      </w:r>
      <w:r>
        <w:t>Calibrate the common AI evaluator against deliberately strong, weak and defective sample submissions.</w:t>
      </w:r>
    </w:p>
    <w:p>
      <w:pPr>
        <w:pStyle w:val="Heading1"/>
      </w:pPr>
      <w:r>
        <w:t>Appendix A - Common application standard</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Area</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Minimum requirement</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Business overview</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Explain the decision, intended user and value of the application.</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Data view</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Summarise raw and processed data, assumptions, missing data and known quality issues.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Scenario controls</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Expose meaningful business levers with clear defaults and validation.</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Optimisation results</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Show the recommendation, objective stages, feasibility, solver/search status and runtime.</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Trade-off analysis</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Compare the baseline, run sensitivity or scenarios and show how the recommendation changes.</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Recommendation</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State the action, rationale, remaining risks and conditions that would change the decision.</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Failure handling</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Handle invalid input, infeasibility, solver failure, stale results and long-running execution clearly.</w:t>
            </w:r>
          </w:p>
        </w:tc>
      </w:tr>
    </w:tbl>
    <w:p>
      <w:pPr>
        <w:spacing w:after="0"/>
      </w:pPr>
    </w:p>
    <w:p>
      <w:pPr>
        <w:pStyle w:val="Heading1"/>
      </w:pPr>
      <w:r>
        <w:t>Appendix B - Common application scoring evidence</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Application area</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Evidence expected</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User journey</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The flow from problem context to recommendation is clear.</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Interactivity</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The user can change decision-relevant parameters and obtain or request updated results.</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Result explanation</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The app explains actions, trade-offs, constraints, confidence and caveats.</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Visualisation</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Charts and tables are readable, relevant and traceable to output data.</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Robustness</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The app handles infeasible scenarios, invalid inputs, stale results and solver failure.</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Client usability</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A business user can operate the application without reading the source code.</w:t>
            </w:r>
          </w:p>
        </w:tc>
      </w:tr>
    </w:tbl>
    <w:p>
      <w:pPr>
        <w:spacing w:after="0"/>
      </w:pPr>
    </w:p>
    <w:p>
      <w:pPr>
        <w:pStyle w:val="Heading1"/>
      </w:pPr>
      <w:r>
        <w:t>Appendix C - Baseline model requirements</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Capstone</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Required baseline</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Supplier Allocation</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Fixed-price MILP using the same Tier-N physical, commercial and timing constraints. Intermediate standard costs are comparator-only and do not replace the recursive-cost MINLP.</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Field Service</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Nearest-feasible or earliest-deadline assignment and routing rule.</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Portfolio Risk</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Current and equal-weight portfolios; a constrained minimum-variance portfolio may be included as an additional baseline.</w:t>
            </w:r>
          </w:p>
        </w:tc>
      </w:tr>
    </w:tbl>
    <w:p>
      <w:pPr>
        <w:spacing w:after="0"/>
      </w:pPr>
    </w:p>
    <w:p>
      <w:pPr>
        <w:pStyle w:val="Heading1"/>
      </w:pPr>
      <w:r>
        <w:t>Appendix D - Solution-status taxonomy</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Status</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Permitted meaning</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globally_optimal</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Accepted global certificate and declared gap within tolerance.</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locally_optimal</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Local termination conditions only; no global claim.</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feasible_time_limited</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Valid incumbent returned at the runtime limit.</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best_found</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Feasible result from heuristic, multi-start or unsupported-bound method.</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infeasible</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Infeasibility supported by appropriate solver or deterministic evidence.</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solver_failed</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No defensible result because of numerical, configuration or runtime failure.</w:t>
            </w:r>
          </w:p>
        </w:tc>
      </w:tr>
    </w:tbl>
    <w:p>
      <w:pPr>
        <w:spacing w:after="0"/>
      </w:pPr>
    </w:p>
    <w:p>
      <w:pPr>
        <w:pStyle w:val="Heading1"/>
      </w:pPr>
      <w:r>
        <w:t>Appendix E - AI usage and technical defence standard</w:t>
      </w:r>
    </w:p>
    <w:p>
      <w:pPr>
        <w:spacing w:after="90"/>
      </w:pPr>
      <w:r>
        <w:t>A strong AI usage disclosure describes how the consultant tested and corrected generated work. A weak disclosure only states that AI produced the model. The technical defence should sample the most material risks in the selected capstone rather than repeat the presentation.</w:t>
      </w:r>
    </w:p>
    <w:tbl>
      <w:tblPr>
        <w:tblW w:type="auto" w:w="0"/>
        <w:jc w:val="center"/>
        <w:tblLayout w:type="fixed"/>
        <w:tblLook w:firstColumn="1" w:firstRow="1" w:lastColumn="0" w:lastRow="0" w:noHBand="0" w:noVBand="1" w:val="04A0"/>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5059"/>
        <w:gridCol w:w="5059"/>
      </w:tblGrid>
      <w:tr>
        <w:trPr>
          <w:tblHeader w:val="true"/>
        </w:trPr>
        <w:tc>
          <w:tcPr>
            <w:tcW w:type="dxa" w:w="2376"/>
            <w:shd w:fill="17365D" w:val="clear"/>
            <w:tcMar>
              <w:top w:w="60" w:type="dxa"/>
              <w:start w:w="80" w:type="dxa"/>
              <w:bottom w:w="60" w:type="dxa"/>
              <w:end w:w="80" w:type="dxa"/>
            </w:tcMar>
            <w:vAlign w:val="center"/>
          </w:tcPr>
          <w:p>
            <w:pPr>
              <w:spacing w:after="0"/>
            </w:pPr>
            <w:r>
              <w:rPr>
                <w:rFonts w:ascii="Carlito" w:hAnsi="Carlito" w:eastAsia="Carlito"/>
                <w:b/>
                <w:color w:val="FFFFFF"/>
                <w:sz w:val="16"/>
              </w:rPr>
              <w:t>Defence area</w:t>
            </w:r>
          </w:p>
        </w:tc>
        <w:tc>
          <w:tcPr>
            <w:tcW w:type="dxa" w:w="7560"/>
            <w:shd w:fill="17365D" w:val="clear"/>
            <w:tcMar>
              <w:top w:w="60" w:type="dxa"/>
              <w:start w:w="80" w:type="dxa"/>
              <w:bottom w:w="60" w:type="dxa"/>
              <w:end w:w="80" w:type="dxa"/>
            </w:tcMar>
            <w:vAlign w:val="center"/>
          </w:tcPr>
          <w:p>
            <w:pPr>
              <w:spacing w:after="0"/>
            </w:pPr>
            <w:r>
              <w:rPr>
                <w:rFonts w:ascii="Carlito" w:hAnsi="Carlito" w:eastAsia="Carlito"/>
                <w:b/>
                <w:color w:val="FFFFFF"/>
                <w:sz w:val="16"/>
              </w:rPr>
              <w:t>Illustrative prompt</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Formulation</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Explain one decision variable and one constraint in business and mathematical terms.</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Traceability</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Trace one recommendation from source data through the model to the application.</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Solver interpretation</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Explain the reported status, bound or gap and what it permits you to claim.</w:t>
            </w:r>
          </w:p>
        </w:tc>
      </w:tr>
      <w:tr>
        <w:tc>
          <w:tcPr>
            <w:tcW w:type="dxa" w:w="2376"/>
            <w:shd w:fill="F7F8F9" w:val="clear"/>
            <w:tcMar>
              <w:top w:w="60" w:type="dxa"/>
              <w:start w:w="80" w:type="dxa"/>
              <w:bottom w:w="60" w:type="dxa"/>
              <w:end w:w="80" w:type="dxa"/>
            </w:tcMar>
            <w:vAlign w:val="top"/>
          </w:tcPr>
          <w:p>
            <w:pPr>
              <w:spacing w:after="0"/>
            </w:pPr>
            <w:r>
              <w:rPr>
                <w:rFonts w:ascii="Carlito" w:hAnsi="Carlito" w:eastAsia="Carlito"/>
                <w:color w:val="1F2933"/>
                <w:sz w:val="16"/>
              </w:rPr>
              <w:t>Failure mode</w:t>
            </w:r>
          </w:p>
        </w:tc>
        <w:tc>
          <w:tcPr>
            <w:tcW w:type="dxa" w:w="7560"/>
            <w:shd w:fill="F7F8F9" w:val="clear"/>
            <w:tcMar>
              <w:top w:w="60" w:type="dxa"/>
              <w:start w:w="80" w:type="dxa"/>
              <w:bottom w:w="60" w:type="dxa"/>
              <w:end w:w="80" w:type="dxa"/>
            </w:tcMar>
            <w:vAlign w:val="top"/>
          </w:tcPr>
          <w:p>
            <w:pPr>
              <w:spacing w:after="0"/>
            </w:pPr>
            <w:r>
              <w:rPr>
                <w:rFonts w:ascii="Carlito" w:hAnsi="Carlito" w:eastAsia="Carlito"/>
                <w:color w:val="1F2933"/>
                <w:sz w:val="16"/>
              </w:rPr>
              <w:t>Describe one plausible way the model could return a misleading result.</w:t>
            </w:r>
          </w:p>
        </w:tc>
      </w:tr>
      <w:tr>
        <w:tc>
          <w:tcPr>
            <w:tcW w:type="dxa" w:w="2376"/>
            <w:tcMar>
              <w:top w:w="60" w:type="dxa"/>
              <w:start w:w="80" w:type="dxa"/>
              <w:bottom w:w="60" w:type="dxa"/>
              <w:end w:w="80" w:type="dxa"/>
            </w:tcMar>
            <w:vAlign w:val="top"/>
          </w:tcPr>
          <w:p>
            <w:pPr>
              <w:spacing w:after="0"/>
            </w:pPr>
            <w:r>
              <w:rPr>
                <w:rFonts w:ascii="Carlito" w:hAnsi="Carlito" w:eastAsia="Carlito"/>
                <w:color w:val="1F2933"/>
                <w:sz w:val="16"/>
              </w:rPr>
              <w:t>AI accountability</w:t>
            </w:r>
          </w:p>
        </w:tc>
        <w:tc>
          <w:tcPr>
            <w:tcW w:type="dxa" w:w="7560"/>
            <w:tcMar>
              <w:top w:w="60" w:type="dxa"/>
              <w:start w:w="80" w:type="dxa"/>
              <w:bottom w:w="60" w:type="dxa"/>
              <w:end w:w="80" w:type="dxa"/>
            </w:tcMar>
            <w:vAlign w:val="top"/>
          </w:tcPr>
          <w:p>
            <w:pPr>
              <w:spacing w:after="0"/>
            </w:pPr>
            <w:r>
              <w:rPr>
                <w:rFonts w:ascii="Carlito" w:hAnsi="Carlito" w:eastAsia="Carlito"/>
                <w:color w:val="1F2933"/>
                <w:sz w:val="16"/>
              </w:rPr>
              <w:t>Identify an AI-generated approach you rejected, corrected or independently verified.</w:t>
            </w:r>
          </w:p>
        </w:tc>
      </w:tr>
    </w:tbl>
    <w:p>
      <w:pPr>
        <w:spacing w:after="0"/>
      </w:pPr>
    </w:p>
    <w:p>
      <w:pPr>
        <w:pStyle w:val="Heading1"/>
      </w:pPr>
      <w:r>
        <w:t>Document status</w:t>
      </w:r>
    </w:p>
    <w:p>
      <w:pPr>
        <w:spacing w:after="90"/>
      </w:pPr>
      <w:r>
        <w:t>Version 0.2 establishes the AI-native control framework and the Tier-N CAP-001 direction. The CAP-001 detailed specification governs its recursive-cost model, datasets and validation controls. CAP-002 and CAP-003 remain at controlled concept-definition stage until their field-level schemas and reference implementations are approved.</w:t>
      </w:r>
    </w:p>
    <w:sectPr w:rsidR="00FC693F" w:rsidRPr="0006063C" w:rsidSect="00034616">
      <w:headerReference w:type="default" r:id="rId9"/>
      <w:footerReference w:type="default" r:id="rId10"/>
      <w:pgSz w:w="11905" w:h="16838"/>
      <w:pgMar w:top="893" w:right="893" w:bottom="835" w:left="893"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496"/>
      <w:gridCol w:w="1584"/>
    </w:tblGrid>
    <w:tr>
      <w:tc>
        <w:tcPr>
          <w:tcW w:type="dxa" w:w="8496"/>
          <w:tcMar>
            <w:top w:w="0" w:type="dxa"/>
            <w:start w:w="0" w:type="dxa"/>
            <w:bottom w:w="0" w:type="dxa"/>
            <w:end w:w="0" w:type="dxa"/>
          </w:tcMar>
          <w:tcBorders>
            <w:top w:val="nil"/>
            <w:start w:val="nil"/>
            <w:bottom w:val="nil"/>
            <w:end w:val="nil"/>
          </w:tcBorders>
        </w:tcPr>
        <w:p>
          <w:r>
            <w:rPr>
              <w:rFonts w:ascii="Carlito" w:hAnsi="Carlito" w:eastAsia="Carlito"/>
              <w:color w:val="68747F"/>
              <w:sz w:val="15"/>
            </w:rPr>
            <w:t>Internal capability development</w:t>
          </w:r>
        </w:p>
      </w:tc>
      <w:tc>
        <w:tcPr>
          <w:tcW w:type="dxa" w:w="1584"/>
          <w:tcMar>
            <w:top w:w="0" w:type="dxa"/>
            <w:start w:w="0" w:type="dxa"/>
            <w:bottom w:w="0" w:type="dxa"/>
            <w:end w:w="0" w:type="dxa"/>
          </w:tcMar>
          <w:tcBorders>
            <w:top w:val="nil"/>
            <w:start w:val="nil"/>
            <w:bottom w:val="nil"/>
            <w:end w:val="nil"/>
          </w:tcBorders>
        </w:tcPr>
        <w:p>
          <w:pPr>
            <w:jc w:val="right"/>
          </w:pPr>
          <w:r>
            <w:rPr>
              <w:rFonts w:ascii="Carlito" w:hAnsi="Carlito" w:eastAsia="Carlito"/>
              <w:color w:val="68747F"/>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D5DDE5"/>
      </w:pBdr>
    </w:pPr>
    <w:r>
      <w:rPr>
        <w:rFonts w:ascii="Carlito" w:hAnsi="Carlito" w:eastAsia="Carlito"/>
        <w:b/>
        <w:color w:val="0B7A75"/>
        <w:sz w:val="15"/>
      </w:rPr>
      <w:t>OPTIMISATION, SEARCH AND DECISION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Carlito" w:hAnsi="Carlito"/>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60"/>
      <w:outlineLvl w:val="0"/>
    </w:pPr>
    <w:rPr>
      <w:rFonts w:asciiTheme="majorHAnsi" w:eastAsiaTheme="majorEastAsia" w:hAnsiTheme="majorHAnsi" w:cstheme="majorBidi" w:ascii="Carlito" w:hAnsi="Carlito"/>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B7A7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rlito" w:hAnsi="Carlito"/>
      <w:b/>
      <w:bCs/>
      <w:i/>
      <w:iCs/>
      <w:color w:val="0B7A7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rlito" w:hAnsi="Carlito"/>
      <w:b w:val="0"/>
      <w:i/>
      <w:iCs/>
      <w:color w:val="2F7D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 Search and Decision Intelligence Capstone Control Standard</dc:title>
  <dc:subject>AI-native capstone governance and assessment controls</dc:subject>
  <dc:creator>Optimisation Sub-pillar Lead</dc:creator>
  <cp:keywords>optimisation, capstone, AI-native, assessment, decision intelligence</cp:keywords>
  <dc:description>generated by python-docx</dc:description>
  <cp:lastModifiedBy/>
  <cp:revision>1</cp:revision>
  <dcterms:created xsi:type="dcterms:W3CDTF">2013-12-23T23:15:00Z</dcterms:created>
  <dcterms:modified xsi:type="dcterms:W3CDTF">2013-12-23T23:15:00Z</dcterms:modified>
  <cp:category/>
</cp:coreProperties>
</file>