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C634F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存储市场分析报告</w:t>
      </w:r>
    </w:p>
    <w:p w14:paraId="5169DBB8">
      <w:pPr>
        <w:pStyle w:val="3"/>
        <w:keepNext w:val="0"/>
        <w:keepLines w:val="0"/>
        <w:widowControl/>
        <w:suppressLineNumbers w:val="0"/>
      </w:pPr>
      <w:r>
        <w:t>1. 核心结论</w:t>
      </w:r>
    </w:p>
    <w:p w14:paraId="0349E5AB">
      <w:pPr>
        <w:pStyle w:val="4"/>
        <w:keepNext w:val="0"/>
        <w:keepLines w:val="0"/>
        <w:widowControl/>
        <w:suppressLineNumbers w:val="0"/>
      </w:pPr>
      <w:r>
        <w:t>AIGC需求正深刻重塑存储市场结构。当前存储行业正处于由AI驱动的高度景气周期，呈现出“需求强劲、供给受限、价格持续上涨”的特征。存储器已占据半导体总营收的40%以上，远超约20%的长期均值。尽管近期有关于英伟达Vera Rubin平台内存降配等消息扰动，但各大券商普遍认为，这并不改变AI算力对HBM及企业级存储的强劲需求，存储涨价趋势有望持续，中长期投资逻辑依然稳固。</w:t>
      </w:r>
    </w:p>
    <w:p w14:paraId="7558A967">
      <w:pPr>
        <w:pStyle w:val="3"/>
        <w:keepNext w:val="0"/>
        <w:keepLines w:val="0"/>
        <w:widowControl/>
        <w:suppressLineNumbers w:val="0"/>
      </w:pPr>
      <w:r>
        <w:t>2. 投资策略观点</w:t>
      </w:r>
    </w:p>
    <w:p w14:paraId="47E5F82E">
      <w:pPr>
        <w:pStyle w:val="4"/>
        <w:keepNext w:val="0"/>
        <w:keepLines w:val="0"/>
        <w:widowControl/>
        <w:suppressLineNumbers w:val="0"/>
      </w:pPr>
      <w:r>
        <w:t>综合各家券商观点，当前对存储板块的投资策略主要围绕“把握涨价趋势”和“关注国产替代”两大主线，但在具体节奏和标的侧重点上存在差异。</w:t>
      </w:r>
    </w:p>
    <w:p w14:paraId="5ACD284E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子观点一：积极配置，看好存储涨价周期的持续性</w:t>
      </w:r>
    </w:p>
    <w:p w14:paraId="5FFFD46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券商及依据</w:t>
      </w:r>
      <w:r>
        <w:t xml:space="preserve">: </w:t>
      </w:r>
      <w:r>
        <w:rPr>
          <w:rStyle w:val="7"/>
        </w:rPr>
        <w:t>国金证券</w:t>
      </w:r>
      <w:r>
        <w:t xml:space="preserve"> 和 </w:t>
      </w:r>
      <w:r>
        <w:rPr>
          <w:rStyle w:val="7"/>
        </w:rPr>
        <w:t>东北证券</w:t>
      </w:r>
      <w:r>
        <w:t xml:space="preserve"> 均明确看好存储板块。 </w:t>
      </w:r>
    </w:p>
    <w:p w14:paraId="6C42FF1C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7"/>
        </w:rPr>
        <w:t>国金证券</w:t>
      </w:r>
      <w:r>
        <w:t xml:space="preserve"> 在研报中指出，AI需求强劲，存储器营收在2026年Q1环比增幅超过80%，TrendForce预计存储器市场规模将从2025年的约2200亿美元跃升至2026年的约8900亿美元。基于供不应求的市况，三大原厂将于2027年大幅调高HBM的报价。</w:t>
      </w:r>
    </w:p>
    <w:p w14:paraId="50F04051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7"/>
        </w:rPr>
        <w:t>东北证券</w:t>
      </w:r>
      <w:r>
        <w:t xml:space="preserve"> 提到，佰维存储签订了总金额18.608亿美元的锁量锁价企业级闪存颗粒采购合同，这体现了产业链对中长期需求的坚定预期。</w:t>
      </w:r>
    </w:p>
    <w:p w14:paraId="117AE39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策略建议</w:t>
      </w:r>
      <w:r>
        <w:t xml:space="preserve">: </w:t>
      </w:r>
    </w:p>
    <w:p w14:paraId="786F57E2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仓位</w:t>
      </w:r>
      <w:r>
        <w:t>: 建议维持</w:t>
      </w:r>
      <w:r>
        <w:rPr>
          <w:rStyle w:val="7"/>
        </w:rPr>
        <w:t>高仓位</w:t>
      </w:r>
      <w:r>
        <w:t>配置，积极把握存储涨价主线。</w:t>
      </w:r>
    </w:p>
    <w:p w14:paraId="699D83E5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标的</w:t>
      </w:r>
      <w:r>
        <w:t>: 重点关注与AI算力紧密相关的存储产业链。具体标的包括：江波龙、佰维存储、德明利、香农芯创、兆易创新、北京君正（国金证券推荐）。</w:t>
      </w:r>
    </w:p>
    <w:p w14:paraId="08F1DF64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操作逻辑</w:t>
      </w:r>
      <w:r>
        <w:t>: 国金证券认为“存储器进入明显的趋势向上阶段”，逻辑是基于供给端减产效应显现、大厂开启涨价，需求端云计算大厂资本开支投入带动企业级存储需求增多。</w:t>
      </w:r>
    </w:p>
    <w:p w14:paraId="2538ABEE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子观点二：关注短期扰动，但认为调整带来配置良机</w:t>
      </w:r>
    </w:p>
    <w:p w14:paraId="7637CD3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券商及依据</w:t>
      </w:r>
      <w:r>
        <w:t xml:space="preserve">: </w:t>
      </w:r>
      <w:r>
        <w:rPr>
          <w:rStyle w:val="7"/>
        </w:rPr>
        <w:t>长城证券</w:t>
      </w:r>
      <w:r>
        <w:t xml:space="preserve"> 和 </w:t>
      </w:r>
      <w:r>
        <w:rPr>
          <w:rStyle w:val="7"/>
        </w:rPr>
        <w:t>兴业证券</w:t>
      </w:r>
      <w:r>
        <w:t xml:space="preserve"> 在承认市场短期扰动的同时，更强调中长期趋势。 </w:t>
      </w:r>
    </w:p>
    <w:p w14:paraId="7E27AC3C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长城证券</w:t>
      </w:r>
      <w:r>
        <w:t xml:space="preserve"> 针对“SemiAnalysis报告称英伟达Vera Rubin平台降配”事件分析认为，这 </w:t>
      </w:r>
      <w:r>
        <w:rPr>
          <w:rStyle w:val="7"/>
        </w:rPr>
        <w:t>“并不影响DRAM需求持续强劲的事实，对HBM没有影响，利好大容量SSD”</w:t>
      </w:r>
      <w:r>
        <w:t>。该报告还指出，部分AI产业链板块（如电源、CPO）的调整，或迎</w:t>
      </w:r>
      <w:r>
        <w:rPr>
          <w:rStyle w:val="7"/>
        </w:rPr>
        <w:t>配置良机</w:t>
      </w:r>
      <w:r>
        <w:t>。</w:t>
      </w:r>
    </w:p>
    <w:p w14:paraId="6349D0A3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兴业证券</w:t>
      </w:r>
      <w:r>
        <w:t xml:space="preserve"> 认同存储价格的触底回升趋势，并认为“存储价格触底回升，建议关注兆易创新和普冉股份”。</w:t>
      </w:r>
    </w:p>
    <w:p w14:paraId="5C46AFD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策略建议</w:t>
      </w:r>
      <w:r>
        <w:t xml:space="preserve">: </w:t>
      </w:r>
    </w:p>
    <w:p w14:paraId="76238287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仓位</w:t>
      </w:r>
      <w:r>
        <w:t>: 建议维持</w:t>
      </w:r>
      <w:r>
        <w:rPr>
          <w:rStyle w:val="7"/>
        </w:rPr>
        <w:t>中等偏上仓位</w:t>
      </w:r>
      <w:r>
        <w:t>，可利用市场短期情绪扰动（如对降配、技术路线推迟的担忧）进行逢低布局。</w:t>
      </w:r>
    </w:p>
    <w:p w14:paraId="11F8A152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操作逻辑</w:t>
      </w:r>
      <w:r>
        <w:t>: 长城证券认为短期成本管控和局部降配不改变AI长期价值，且并不否定800VDC和CPO的长期趋势。兴业证券则从产业链景气复苏角度看好。</w:t>
      </w:r>
    </w:p>
    <w:p w14:paraId="441C84FD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差异化关注</w:t>
      </w:r>
      <w:r>
        <w:t>: 相比国金证券更偏向企业级和AI存储，长城证券的观点暗示可以关注由于DRAM降配而可能受益的</w:t>
      </w:r>
      <w:r>
        <w:rPr>
          <w:rStyle w:val="7"/>
        </w:rPr>
        <w:t>大容量SSD</w:t>
      </w:r>
      <w:r>
        <w:t>方向；兴业证券则更关注利基型DRAM和价格触底回升后的</w:t>
      </w:r>
      <w:r>
        <w:rPr>
          <w:rStyle w:val="7"/>
        </w:rPr>
        <w:t>兆易创新、普冉股份</w:t>
      </w:r>
      <w:r>
        <w:t>。</w:t>
      </w:r>
    </w:p>
    <w:p w14:paraId="51308A09">
      <w:pPr>
        <w:pStyle w:val="3"/>
        <w:keepNext w:val="0"/>
        <w:keepLines w:val="0"/>
        <w:widowControl/>
        <w:suppressLineNumbers w:val="0"/>
      </w:pPr>
      <w:r>
        <w:t>3. 领先指标</w:t>
      </w:r>
    </w:p>
    <w:p w14:paraId="121B3163">
      <w:pPr>
        <w:pStyle w:val="4"/>
        <w:keepNext w:val="0"/>
        <w:keepLines w:val="0"/>
        <w:widowControl/>
        <w:suppressLineNumbers w:val="0"/>
      </w:pPr>
      <w:r>
        <w:t>根据现有研报，可以关注以下几个领先指标以预判未来存储市场的走向：</w:t>
      </w:r>
    </w:p>
    <w:p w14:paraId="33870F86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原厂HBM报价变化</w:t>
      </w:r>
      <w:r>
        <w:t>:</w:t>
      </w:r>
    </w:p>
    <w:p w14:paraId="7D6CF556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来源</w:t>
      </w:r>
      <w:r>
        <w:t xml:space="preserve">: </w:t>
      </w:r>
      <w:r>
        <w:rPr>
          <w:rStyle w:val="7"/>
        </w:rPr>
        <w:t>国金证券</w:t>
      </w:r>
      <w:r>
        <w:t>。</w:t>
      </w:r>
    </w:p>
    <w:p w14:paraId="4E0D5B14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具体判断</w:t>
      </w:r>
      <w:r>
        <w:t>: 研报明确指出，“基于DRAM供不应求市况、新旧世代HBM的高制造难度及高成本，</w:t>
      </w:r>
      <w:r>
        <w:rPr>
          <w:rStyle w:val="7"/>
        </w:rPr>
        <w:t>三大原厂将于2027年大幅调高HBM的报价</w:t>
      </w:r>
      <w:r>
        <w:t>。” 这表明，如果未来有关于HBM报价上调的消息或官方宣布，将是确认存储高度景气的强烈信号，将直接提升相关公司（如SK海力士、美光）及产业链的盈利预期和价值。</w:t>
      </w:r>
    </w:p>
    <w:p w14:paraId="62B3E96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龙头企业长期大单的签订</w:t>
      </w:r>
      <w:r>
        <w:t>:</w:t>
      </w:r>
    </w:p>
    <w:p w14:paraId="1373311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来源</w:t>
      </w:r>
      <w:r>
        <w:t xml:space="preserve">: </w:t>
      </w:r>
      <w:r>
        <w:rPr>
          <w:rStyle w:val="7"/>
        </w:rPr>
        <w:t>东北证券</w:t>
      </w:r>
      <w:r>
        <w:t>。</w:t>
      </w:r>
    </w:p>
    <w:p w14:paraId="5AB1EE9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具体判断</w:t>
      </w:r>
      <w:r>
        <w:t>: 佰维存储签订的18.608亿美元锁量锁价采购合同，其采购期长达24个月至2028年6月底。</w:t>
      </w:r>
      <w:r>
        <w:rPr>
          <w:rStyle w:val="7"/>
        </w:rPr>
        <w:t>这种“锁量锁价”的合作模式本身就是中短期景气度的一个领先确认指标</w:t>
      </w:r>
      <w:r>
        <w:t>。如果行业内出现更多类似的长协订单，将印证企业级存储需求的中长期景气度，并稳定市场对价格的预期。</w:t>
      </w:r>
    </w:p>
    <w:p w14:paraId="5073CE9E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国内存储厂商IPO及扩产进展</w:t>
      </w:r>
      <w:r>
        <w:t>:</w:t>
      </w:r>
    </w:p>
    <w:p w14:paraId="6F8B4D6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来源</w:t>
      </w:r>
      <w:r>
        <w:t xml:space="preserve">: </w:t>
      </w:r>
      <w:r>
        <w:rPr>
          <w:rStyle w:val="7"/>
        </w:rPr>
        <w:t>国金证券</w:t>
      </w:r>
      <w:r>
        <w:t>。</w:t>
      </w:r>
    </w:p>
    <w:p w14:paraId="1D47EE0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具体判断</w:t>
      </w:r>
      <w:r>
        <w:t>: 长鑫科技于2026年6月12日获证监会同意科创板注册（预计2026年上半年营收1100-1200亿元，同比增长612%-677%），长江存储也已启动上市辅导。国金证券认为，</w:t>
      </w:r>
      <w:r>
        <w:rPr>
          <w:rStyle w:val="7"/>
        </w:rPr>
        <w:t>“国内存储产业资本化进入新阶段，有望进一步加快存储扩产及技术升级，继续看好存储受益产业链”</w:t>
      </w:r>
      <w:r>
        <w:t>。因此，长鑫科技、长江存储等企业的IPO进展、募资规模及后续扩产计划的落地（如DRAM技术升级、前瞻研发），将是判断国内存储产业链受益程度的重要指标。</w:t>
      </w:r>
    </w:p>
    <w:p w14:paraId="450F79CE">
      <w:pPr>
        <w:pStyle w:val="3"/>
        <w:keepNext w:val="0"/>
        <w:keepLines w:val="0"/>
        <w:widowControl/>
        <w:suppressLineNumbers w:val="0"/>
      </w:pPr>
      <w:r>
        <w:t>4. 风险提示</w:t>
      </w:r>
    </w:p>
    <w:p w14:paraId="22077EB1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AIGC进展不及预期的风险</w:t>
      </w:r>
      <w:r>
        <w:t>: 这是多家券商共同提示的核心风险。</w:t>
      </w:r>
      <w:r>
        <w:rPr>
          <w:rStyle w:val="7"/>
        </w:rPr>
        <w:t>国金证券</w:t>
      </w:r>
      <w:r>
        <w:t xml:space="preserve"> 指出，若AI技术突破和应用落地不达预期，科技巨头对AI的资本开支可能收缩，导致对HBM、企业级SSD等高端存储的需求降温。</w:t>
      </w:r>
      <w:r>
        <w:rPr>
          <w:rStyle w:val="7"/>
        </w:rPr>
        <w:t>长城证券</w:t>
      </w:r>
      <w:r>
        <w:t xml:space="preserve"> 也提示了“AI大模型研发进度不及预期风险”。</w:t>
      </w:r>
    </w:p>
    <w:p w14:paraId="7E49B6D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需求恢复不及预期的风险</w:t>
      </w:r>
      <w:r>
        <w:t xml:space="preserve">: </w:t>
      </w:r>
      <w:r>
        <w:rPr>
          <w:rStyle w:val="7"/>
        </w:rPr>
        <w:t>国金证券</w:t>
      </w:r>
      <w:r>
        <w:t xml:space="preserve"> 提示，除AI外，消费类智能手机和新能源（电动汽车、风电、光伏、储能）需求若不及预期，将影响整体存储市场。特别是研报中提到，因产能向AI倾斜，消费性市场将面临供应缺口，但若终端需求疲软（如PC、智能手机），可能导致“供应缺口”无法转化为实际涨价，从而影响存储厂商的营收。</w:t>
      </w:r>
    </w:p>
    <w:p w14:paraId="5F90B5C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外部制裁进一步升级的风险</w:t>
      </w:r>
      <w:r>
        <w:t xml:space="preserve">: </w:t>
      </w:r>
      <w:r>
        <w:rPr>
          <w:rStyle w:val="7"/>
        </w:rPr>
        <w:t>国金证券</w:t>
      </w:r>
      <w:r>
        <w:t>、</w:t>
      </w:r>
      <w:r>
        <w:rPr>
          <w:rStyle w:val="7"/>
        </w:rPr>
        <w:t>兴业证券</w:t>
      </w:r>
      <w:r>
        <w:t xml:space="preserve"> 均提到了这一风险。美、日、荷等国若进一步收紧对中国半导体产业的设备、材料或技术出口管制，可能会限制国内存储厂商（如长鑫科技、长江存储）的扩产和技术升级，从而影响国产替代的进度和产业链受益程度。</w:t>
      </w:r>
    </w:p>
    <w:p w14:paraId="21EE331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技术路线与供应格局变化风险</w:t>
      </w:r>
      <w:r>
        <w:t>:</w:t>
      </w:r>
    </w:p>
    <w:p w14:paraId="584142F3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技术路线冲击</w:t>
      </w:r>
      <w:r>
        <w:t xml:space="preserve">: </w:t>
      </w:r>
      <w:r>
        <w:rPr>
          <w:rStyle w:val="7"/>
        </w:rPr>
        <w:t>长城证券</w:t>
      </w:r>
      <w:r>
        <w:t xml:space="preserve"> 和 </w:t>
      </w:r>
      <w:r>
        <w:rPr>
          <w:rStyle w:val="7"/>
        </w:rPr>
        <w:t>天风证券</w:t>
      </w:r>
      <w:r>
        <w:t xml:space="preserve"> 的报告显示，市场对CPO、800VDC等新技术路线的预期存在波动，且出现降配传闻。虽然长城证券认为影响有限，但这种技术路线的调整或推迟，可能对特定存储环节（如SOCAMM）的需求预期造成短期冲击。</w:t>
      </w:r>
    </w:p>
    <w:p w14:paraId="3FADC257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供给瓶颈缓解超预期</w:t>
      </w:r>
      <w:r>
        <w:t xml:space="preserve">: </w:t>
      </w:r>
      <w:r>
        <w:rPr>
          <w:rStyle w:val="7"/>
        </w:rPr>
        <w:t>长城证券</w:t>
      </w:r>
      <w:r>
        <w:t xml:space="preserve"> 提示了“AI产业链产能释放遇阻风险”的反面，即如果存储大厂的扩产计划（如SK海力士五年内产能翻倍）推进顺利，供给瓶颈提前缓解，可能导致存储涨价趋势不及预期。</w:t>
      </w:r>
      <w:r>
        <w:rPr>
          <w:rStyle w:val="7"/>
        </w:rPr>
        <w:t>国金证券</w:t>
      </w:r>
      <w:r>
        <w:t xml:space="preserve"> 也指出“PC DRAM预计短缺约15%”等数据，若短缺情况改善，将对价格形成压力。</w:t>
      </w:r>
    </w:p>
    <w:p w14:paraId="74334DA6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宏观经济及流动性风险</w:t>
      </w:r>
      <w:r>
        <w:t xml:space="preserve">: </w:t>
      </w:r>
      <w:r>
        <w:rPr>
          <w:rStyle w:val="7"/>
        </w:rPr>
        <w:t>长城证券</w:t>
      </w:r>
      <w:r>
        <w:t xml:space="preserve"> 明确提到“海外市场流动性风险”，并指出“美国5月CPI同比上涨4.2%，巩固了市场对美联储可能在年内加息的预期”。这意味着若美联储加息缩表，科技股（包括存储）的估值将整体承压，可能导致股价调整，即使基本面良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A02969"/>
    <w:multiLevelType w:val="multilevel"/>
    <w:tmpl w:val="23A029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D977F15"/>
    <w:multiLevelType w:val="multilevel"/>
    <w:tmpl w:val="5D977F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A8616D4"/>
    <w:multiLevelType w:val="multilevel"/>
    <w:tmpl w:val="6A8616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AC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2026-06-17T10:04:21Z</dcterms:created>
  <dc:creator>17416</dc:creator>
  <cp:lastModifiedBy>17416</cp:lastModifiedBy>
  <dcterms:modified xsi:type="dcterms:W3CDTF">2026-06-17T10:05:07Z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eyJoZGlkIjoiODM4MTc3NjJkZWQzZmMzYWRlM2QxNjA1MzUwMzg0ZTgiLCJ1c2VySWQiOiI0ODE5MzA3NjIifQ==</vt:lpwstr>
  </property>
  <property fmtid="{D5CDD505-2E9C-101B-9397-08002B2CF9AE}" pid="4" name="ICV">
    <vt:lpwstr>05B4D27BE4474920BEB59AFD4939E94C_12</vt:lpwstr>
  </property>
</Properties>
</file>