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71D30">
      <w:pPr>
        <w:pStyle w:val="3"/>
        <w:keepNext w:val="0"/>
        <w:keepLines w:val="0"/>
        <w:widowControl/>
        <w:suppressLineNumbers w:val="0"/>
      </w:pPr>
      <w:r>
        <w:t>好的，以下是根据知识库中提供的多家券商研报，对【存储】市场的综合分析：</w:t>
      </w:r>
    </w:p>
    <w:p w14:paraId="20745A84">
      <w:pPr>
        <w:pStyle w:val="2"/>
        <w:keepNext w:val="0"/>
        <w:keepLines w:val="0"/>
        <w:widowControl/>
        <w:suppressLineNumbers w:val="0"/>
      </w:pPr>
      <w:r>
        <w:t>关于存储市场的分析报告</w:t>
      </w:r>
    </w:p>
    <w:p w14:paraId="79E2E77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数据来源：</w:t>
      </w:r>
      <w:r>
        <w:t xml:space="preserve"> 申万宏源、大同证券、招商证券、方正证券、天风证券、华创证券、海通国际</w:t>
      </w:r>
    </w:p>
    <w:p w14:paraId="758C12E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15443">
      <w:pPr>
        <w:pStyle w:val="2"/>
        <w:keepNext w:val="0"/>
        <w:keepLines w:val="0"/>
        <w:widowControl/>
        <w:suppressLineNumbers w:val="0"/>
      </w:pPr>
      <w:r>
        <w:t>1. 核心结论</w:t>
      </w:r>
    </w:p>
    <w:p w14:paraId="14FF7F6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存储行业正处于由AI需求驱动的“超级周期”</w:t>
      </w:r>
      <w:r>
        <w:t>，行业景气度自2025年下半年起快速提升，供需关系持续紧张。AI大模型的训练与推理需求，尤其是对HBM、企业级eSSD等高端存储的强劲拉动，使得本轮周期的动力与以往的“去库存复苏”不同，更具成长性，平滑了周期性。</w:t>
      </w:r>
    </w:p>
    <w:p w14:paraId="063563D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供给端同样面临瓶颈</w:t>
      </w:r>
      <w:r>
        <w:t>，即便三星、SK海力士等巨头大幅扩产，产能紧张状况预计将持续至2027年及以后。在此背景下，</w:t>
      </w:r>
      <w:r>
        <w:rPr>
          <w:rStyle w:val="6"/>
        </w:rPr>
        <w:t>上游原材料和相关设备供应商将确定性受益</w:t>
      </w:r>
      <w:r>
        <w:t>，尤其是深度绑定国内存储大厂（如长鑫、长存）的国产材料企业，迎来了业绩和估值的双重提升机遇。</w:t>
      </w:r>
    </w:p>
    <w:p w14:paraId="1E68BAD3">
      <w:pPr>
        <w:pStyle w:val="2"/>
        <w:keepNext w:val="0"/>
        <w:keepLines w:val="0"/>
        <w:widowControl/>
        <w:suppressLineNumbers w:val="0"/>
      </w:pPr>
      <w:r>
        <w:t>2. 具体的投资策略观点及依据</w:t>
      </w:r>
    </w:p>
    <w:p w14:paraId="32C28EA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投资策略倾向：聚焦扩产受益标的，中长期配置，左侧布局优质资产。</w:t>
      </w:r>
    </w:p>
    <w:p w14:paraId="5E675D5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观点一：重点配置深度受益于国内存储厂商扩产周期的核心材料供应商。</w:t>
      </w:r>
    </w:p>
    <w:p w14:paraId="1A93FE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具体操作：</w:t>
      </w:r>
      <w:r>
        <w:t xml:space="preserve"> 推荐重点关注并配置长鑫存储产业链上的</w:t>
      </w:r>
      <w:r>
        <w:rPr>
          <w:rStyle w:val="6"/>
        </w:rPr>
        <w:t>雅克科技</w:t>
      </w:r>
      <w:r>
        <w:t>（前驱体）、</w:t>
      </w:r>
      <w:r>
        <w:rPr>
          <w:rStyle w:val="6"/>
        </w:rPr>
        <w:t>兴福电子</w:t>
      </w:r>
      <w:r>
        <w:t>（电子级磷酸/硫酸）、</w:t>
      </w:r>
      <w:r>
        <w:rPr>
          <w:rStyle w:val="6"/>
        </w:rPr>
        <w:t>广钢气体</w:t>
      </w:r>
      <w:r>
        <w:t>（电子大宗现场制气）和</w:t>
      </w:r>
      <w:r>
        <w:rPr>
          <w:rStyle w:val="6"/>
        </w:rPr>
        <w:t>鼎龙股份</w:t>
      </w:r>
      <w:r>
        <w:t>（CMP抛光垫）。（申万宏源）</w:t>
      </w:r>
    </w:p>
    <w:p w14:paraId="785EE6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依据：</w:t>
      </w:r>
      <w:r>
        <w:t xml:space="preserve"> </w:t>
      </w:r>
    </w:p>
    <w:p w14:paraId="2156DFB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扩产确定性高：</w:t>
      </w:r>
      <w:r>
        <w:t xml:space="preserve"> 国内存储龙头长鑫科技（DRAM）IPO已注册生效，拟募资295亿元，资金将明确用于产能扩张。长江存储（NAND）的IPO和扩产也在稳步推进。这两家企业在未来几年均有大规模的新产能投放计划。（申万宏源、天风证券）</w:t>
      </w:r>
    </w:p>
    <w:p w14:paraId="3DD60B9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业绩弹性大：</w:t>
      </w:r>
      <w:r>
        <w:t xml:space="preserve"> 长鑫科技2026年一季度营收已达508亿元（同比+719.13%），归母净利润247.62亿元，盈利能力的快速提升为后续资本开支提供了坚实保障。（天风证券）</w:t>
      </w:r>
    </w:p>
    <w:p w14:paraId="2F46366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国产替代空间：</w:t>
      </w:r>
      <w:r>
        <w:t xml:space="preserve"> 在当前的国际贸易环境下，国产半导体制造企业加大投资力度，为国产材料供应商提供了绝佳的导入和放量窗口。例如，雅克科技已成为长鑫、海力士、长存等核心存储厂的重要供应商，其前驱体业务有望持续高增。（申万宏源）</w:t>
      </w:r>
    </w:p>
    <w:p w14:paraId="13A5F0E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观点二：中长期看好存储行业景气度，可在市场调整时进行左侧布局。</w:t>
      </w:r>
    </w:p>
    <w:p w14:paraId="652272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具体操作：</w:t>
      </w:r>
      <w:r>
        <w:t xml:space="preserve"> 建议投资者顺应AI牛市的高波动，按照SMART策略进行左侧布局，精选包括存储在内的AI核心主线的高景气短缺资产。当市场因短期资金面冲击（如AI行情“缩圈”）导致存储板块回调时，可视为逢低配置良机。（海通国际）</w:t>
      </w:r>
    </w:p>
    <w:p w14:paraId="76CD51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依据：</w:t>
      </w:r>
      <w:r>
        <w:t xml:space="preserve"> </w:t>
      </w:r>
    </w:p>
    <w:p w14:paraId="649198F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供需紧张持续：</w:t>
      </w:r>
      <w:r>
        <w:t xml:space="preserve"> 招商证券和申万宏源均指出，AI驱动的存储短缺是结构性的。三星与SK海力士在2026年4-5月的财报中明确表示，短缺将持续至2027年及以后，部分核心客户已提前锁定2027年产能。英伟达CEO黄仁勋也认为SK海力士的产能翻倍计划“还不够”。（招商证券、天风证券）</w:t>
      </w:r>
    </w:p>
    <w:p w14:paraId="2D3A37A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价格端支撑：</w:t>
      </w:r>
      <w:r>
        <w:t xml:space="preserve"> 存储芯片价格自2026年1月以来持续走高。根据大同证券数据显示，DRAM:DDR5 16Gb的现货平均价从2026年1月2日的25美元上涨至2026年5月2日的35美元；NAND Flash价格同样大涨。DDR4 16Gb的价格也从1月的50美元上涨至3月的75美元高点。涨价直接改善了存储厂商的盈利预期。（大同证券）</w:t>
      </w:r>
    </w:p>
    <w:p w14:paraId="360C091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下游需求强劲：</w:t>
      </w:r>
      <w:r>
        <w:t xml:space="preserve"> 英伟达新一代Vera Rubin平台已步入密集拉货期，其BOM中存储芯片成本增长435%。华创证券认为，Agentic AI推动Token需求量高速增长，AI大模型商业模式已初见雏形，AI基础设施仍处于早期阶段，存储需求有望继续维持高增长。（华创证券、申万宏源）</w:t>
      </w:r>
    </w:p>
    <w:p w14:paraId="73BB02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其他券商视角：关注技术迭代带来的结构性机会</w:t>
      </w:r>
    </w:p>
    <w:p w14:paraId="15D961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热管理技术：</w:t>
      </w:r>
      <w:r>
        <w:t xml:space="preserve"> 随着HBM堆叠层数增加（HBM4为12-16层，HBM5达20层），散热成为核心瓶颈。英伟达和AMD已要求供应商加强散热管理。三大存储厂正竞相开发内嵌式散热结构（如SK海力士的iHBM技术、三星的HPB方案、美光的TSV微沟槽冷却）。这为相关散热材料和封装技术供应商带来新的增长点。（天风证券）</w:t>
      </w:r>
    </w:p>
    <w:p w14:paraId="649CE1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新材料应用：</w:t>
      </w:r>
      <w:r>
        <w:t xml:space="preserve"> SK海力士在375层3D NAND中尝试“以钼代钨”制作字线，以降低电阻、提升存储密度。虽然对设备和制程要求更高，但这是NAND技术演进的重要方向，相关材料（钼前驱体）和设备公司值得关注。（天风证券）</w:t>
      </w:r>
    </w:p>
    <w:p w14:paraId="4D4355BA">
      <w:pPr>
        <w:pStyle w:val="2"/>
        <w:keepNext w:val="0"/>
        <w:keepLines w:val="0"/>
        <w:widowControl/>
        <w:suppressLineNumbers w:val="0"/>
      </w:pPr>
      <w:r>
        <w:t>3. 是否存在领先指标</w:t>
      </w:r>
    </w:p>
    <w:p w14:paraId="57369C7C">
      <w:pPr>
        <w:pStyle w:val="3"/>
        <w:keepNext w:val="0"/>
        <w:keepLines w:val="0"/>
        <w:widowControl/>
        <w:suppressLineNumbers w:val="0"/>
      </w:pPr>
      <w:r>
        <w:t>以下指标可以作为预判存储行业景气度趋势及标的价值的领先指标：</w:t>
      </w:r>
      <w:bookmarkStart w:id="0" w:name="_GoBack"/>
      <w:bookmarkEnd w:id="0"/>
    </w:p>
    <w:p w14:paraId="5745E853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存储芯片现货价格（领先指标）</w:t>
      </w:r>
    </w:p>
    <w:p w14:paraId="10C4D6B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具体数据：</w:t>
      </w:r>
      <w:r>
        <w:t xml:space="preserve"> 密切关注DRAM和NAND Flash的现货平均价格。例如，根据大同证券周报数据，可以跟踪DDR5 16Gb、DDR4 16Gb等主流型号的价格变化。</w:t>
      </w:r>
    </w:p>
    <w:p w14:paraId="66DA8E5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影响机制：</w:t>
      </w:r>
      <w:r>
        <w:t xml:space="preserve"> 存储芯片价格的持续上涨直接反映了市场供需紧张程度。价格上行周期，存储厂商业绩改善，资本开支意愿增强，从而拉动上游材料需求。当观察到价格指数从高点回落或涨幅放缓时，可能预示着供需格局即将发生转变，需警惕周期性风险。</w:t>
      </w:r>
    </w:p>
    <w:p w14:paraId="4E214D2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主要存储厂商的资本开支（Capex）计划（确认指标）</w:t>
      </w:r>
    </w:p>
    <w:p w14:paraId="0014EAF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具体数据：</w:t>
      </w:r>
      <w:r>
        <w:t xml:space="preserve"> 跟踪三星、SK海力士、美光以及国内的长鑫、长存公布的未来资本开支规划。例如，SK海力士“五年内将晶圆产能翻番”的计划（天风证券）、长鑫科技IPO募资295亿元用于扩产（天风证券）。</w:t>
      </w:r>
    </w:p>
    <w:p w14:paraId="096D8CC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影响机制：</w:t>
      </w:r>
      <w:r>
        <w:t xml:space="preserve"> 积极的资本开支计划是未来扩产能的确认信号，直接转化为对上游半导体设备、材料的订单需求。资本开支的规模和节奏决定了上游公司未来1-2年的业绩成长空间。</w:t>
      </w:r>
    </w:p>
    <w:p w14:paraId="4084B173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下游需求方AI相关资本开支指引（领先指标）</w:t>
      </w:r>
    </w:p>
    <w:p w14:paraId="2821AD2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具体数据：</w:t>
      </w:r>
      <w:r>
        <w:t xml:space="preserve"> 关注四大CSP（微软、谷歌、亚马逊、Meta）的年/季度资本开支指引。方正证券研报指出，其合计2026年Capex预计将达6150亿美元，较2025年增长约71%。</w:t>
      </w:r>
    </w:p>
    <w:p w14:paraId="2FA6063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影响机制：</w:t>
      </w:r>
      <w:r>
        <w:t xml:space="preserve"> 大模型厂商和云服务商的资本开支是AI算力需求的“晴雨表”，直接决定了其采购GPU、存储（HBM、SSD）的体量。这些指引的超预期将强化存储行业的高景气预期。</w:t>
      </w:r>
    </w:p>
    <w:p w14:paraId="02A2603E">
      <w:pPr>
        <w:pStyle w:val="2"/>
        <w:keepNext w:val="0"/>
        <w:keepLines w:val="0"/>
        <w:widowControl/>
        <w:suppressLineNumbers w:val="0"/>
      </w:pPr>
      <w:r>
        <w:t>4. 风险提示</w:t>
      </w:r>
    </w:p>
    <w:p w14:paraId="2C1B6E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下游需求不及预期：</w:t>
      </w:r>
      <w:r>
        <w:t xml:space="preserve"> 如果AI应用落地进度缓慢，或全球经济衰退导致消费电子需求疲软，AI带来的存储需求增量可能无法覆盖消费类市场的下滑，导致行业供需反转。申万宏源在研报中就此作出提醒。</w:t>
      </w:r>
    </w:p>
    <w:p w14:paraId="0FCCCB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海内外政策与地缘政治风险：</w:t>
      </w:r>
      <w:r>
        <w:t xml:space="preserve"> 国际贸易环境的不确定性（如出口管制进一步升级）可能影响国内存储厂的设备采购和产能扩张进度，从而影响上游材料的导入节奏。同时，海通国际提出了一种“政治天花板”的风险，即AI发展过快可能引发监管限制，进而压制有效需求。</w:t>
      </w:r>
    </w:p>
    <w:p w14:paraId="39F632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新项目进展不及预期（项目风险）：</w:t>
      </w:r>
      <w:r>
        <w:t xml:space="preserve"> 华创证券、天风证券等多家券商均提示，新产能的爬坡、新材料的验证、新技术的量产（如HBM4、HBM5）均存在不确定性。例如，广钢气体新的电子特气项目需经历“生产调试及产品验证”（申万宏源），如果验证周期过长，将影响其业绩释放。</w:t>
      </w:r>
    </w:p>
    <w:p w14:paraId="7C1164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产能扩张后的供需失衡：</w:t>
      </w:r>
      <w:r>
        <w:t xml:space="preserve"> 虽然当前供给紧张，但海通国际指出，产能建设存在滞后性，大量新增产能可能在2027年末或2028年开始释放。届时如果需求增速放缓，行业可能面临从“供不应求”转向“结构性错配”的风险，导致价格和利润率承压。</w:t>
      </w:r>
    </w:p>
    <w:p w14:paraId="54937F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AI上游通胀的持续性：</w:t>
      </w:r>
      <w:r>
        <w:t xml:space="preserve"> 海通国际提出的“情景一”风险，即AI产业的庞大投入（GPU、HBM、电力、冷却等）最终推高全社会通胀，导致央行加息。这会抬升AI公司的融资成本和贴现率，从而压缩整个板块的估值，引发泡沫风险。</w:t>
      </w:r>
    </w:p>
    <w:p w14:paraId="7BE5F6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C3EF4"/>
    <w:multiLevelType w:val="multilevel"/>
    <w:tmpl w:val="A17C3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14BE66"/>
    <w:multiLevelType w:val="multilevel"/>
    <w:tmpl w:val="BB14BE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591C2B3"/>
    <w:multiLevelType w:val="multilevel"/>
    <w:tmpl w:val="F591C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6D1F2B1"/>
    <w:multiLevelType w:val="multilevel"/>
    <w:tmpl w:val="06D1F2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D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2026-06-18T09:29:17Z</dcterms:created>
  <dc:creator>17416</dc:creator>
  <cp:lastModifiedBy>Atta</cp:lastModifiedBy>
  <dcterms:modified xsi:type="dcterms:W3CDTF">2026-06-18T09:32:25Z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eyJoZGlkIjoiODM4MTc3NjJkZWQzZmMzYWRlM2QxNjA1MzUwMzg0ZTgiLCJ1c2VySWQiOiI0ODE5MzA3NjIifQ==</vt:lpwstr>
  </property>
  <property fmtid="{D5CDD505-2E9C-101B-9397-08002B2CF9AE}" pid="4" name="ICV">
    <vt:lpwstr>53CDA9F0D2E24ED7B234271F2FB0ADF5_12</vt:lpwstr>
  </property>
</Properties>
</file>