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6F48C0">
      <w:pPr>
        <w:pStyle w:val="2"/>
        <w:keepNext w:val="0"/>
        <w:keepLines w:val="0"/>
        <w:widowControl/>
        <w:suppressLineNumbers w:val="0"/>
      </w:pPr>
      <w:bookmarkStart w:id="0" w:name="_GoBack"/>
      <w:bookmarkEnd w:id="0"/>
      <w:r>
        <w:rPr>
          <w:rStyle w:val="7"/>
          <w:b/>
        </w:rPr>
        <w:t>存储行业市场分析报告</w:t>
      </w:r>
    </w:p>
    <w:p w14:paraId="6CB5A6E0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报告日期：</w:t>
      </w:r>
      <w:r>
        <w:t xml:space="preserve"> 2026年6月22日</w:t>
      </w:r>
      <w:r>
        <w:br w:type="textWrapping"/>
      </w:r>
      <w:r>
        <w:rPr>
          <w:rStyle w:val="7"/>
        </w:rPr>
        <w:t>数据来源：</w:t>
      </w:r>
      <w:r>
        <w:t xml:space="preserve"> 招商证券、兴业证券、艾德证券期货、东吴证券、国联民生证券、开源证券、国元证券等机构于2026年6月发布的研究报告。</w:t>
      </w:r>
    </w:p>
    <w:p w14:paraId="603C1C63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528AAE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</w:rPr>
        <w:t>1. 核心结论</w:t>
      </w:r>
    </w:p>
    <w:p w14:paraId="5987F68B">
      <w:pPr>
        <w:pStyle w:val="4"/>
        <w:keepNext w:val="0"/>
        <w:keepLines w:val="0"/>
        <w:widowControl/>
        <w:suppressLineNumbers w:val="0"/>
      </w:pPr>
      <w:r>
        <w:t>存储行业当前正处于由AI需求驱动的强景气周期，供需结构紧张，价格持续上行。核心驱动力来自AI基础设施建设对HBM、DDR5及大容量NAND的强劲需求，同时原厂产能向高附加值产品倾斜，挤压了利基型存储（如NOR Flash、SLC NAND）的产能，导致全品类存储产品呈现涨价态势。多家券商一致认为，本轮周期在长期协议（LTA）的锁定下，持续性有望延长至2027年甚至更久，产业链公司业绩高增确定性较强（招商证券、艾德证券期货、兴业证券）。</w:t>
      </w:r>
    </w:p>
    <w:p w14:paraId="6FFD4DB9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301CB7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</w:rPr>
        <w:t>2. 具体的投资策略观点与依据</w:t>
      </w:r>
    </w:p>
    <w:p w14:paraId="4A946469">
      <w:pPr>
        <w:pStyle w:val="4"/>
        <w:keepNext w:val="0"/>
        <w:keepLines w:val="0"/>
        <w:widowControl/>
        <w:suppressLineNumbers w:val="0"/>
      </w:pPr>
      <w:r>
        <w:t>基于当前市场环境，我们认为应采取</w:t>
      </w:r>
      <w:r>
        <w:rPr>
          <w:rStyle w:val="7"/>
        </w:rPr>
        <w:t>积极进取</w:t>
      </w:r>
      <w:r>
        <w:t>的配置策略，维持</w:t>
      </w:r>
      <w:r>
        <w:rPr>
          <w:rStyle w:val="7"/>
        </w:rPr>
        <w:t>高仓位</w:t>
      </w:r>
      <w:r>
        <w:t>（参考行业景气度及多家券商的“推荐/增持”评级）。具体策略如下：</w:t>
      </w:r>
    </w:p>
    <w:p w14:paraId="4A3CE073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</w:rPr>
        <w:t>子策略一：核心资产配置策略（维持高仓位，聚焦龙头）</w:t>
      </w:r>
    </w:p>
    <w:p w14:paraId="103EC8C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策略观点：</w:t>
      </w:r>
      <w:r>
        <w:t xml:space="preserve"> 将主要仓位配置于具备全球竞争力、深度受益于AI存储需求且锁定长协的</w:t>
      </w:r>
      <w:r>
        <w:rPr>
          <w:rStyle w:val="7"/>
        </w:rPr>
        <w:t>海外存储龙头</w:t>
      </w:r>
      <w:r>
        <w:t>和</w:t>
      </w:r>
      <w:r>
        <w:rPr>
          <w:rStyle w:val="7"/>
        </w:rPr>
        <w:t>国内模组及原厂</w:t>
      </w:r>
      <w:r>
        <w:t>。维持仓位比例在</w:t>
      </w:r>
      <w:r>
        <w:rPr>
          <w:rStyle w:val="7"/>
        </w:rPr>
        <w:t>60%-80%</w:t>
      </w:r>
      <w:r>
        <w:t>（基于招商证券“存储板块持续推荐”及艾德证券对行业高增长的判断）。核心逻辑是基于</w:t>
      </w:r>
      <w:r>
        <w:rPr>
          <w:rStyle w:val="7"/>
        </w:rPr>
        <w:t>长协锁定业绩能见度</w:t>
      </w:r>
      <w:r>
        <w:t>（招商证券指出，美光签订五年期SCA协议，国内佰维存储先后签订巨额采购协议，增强了业绩透明度）和</w:t>
      </w:r>
      <w:r>
        <w:rPr>
          <w:rStyle w:val="7"/>
        </w:rPr>
        <w:t>供需缺口持续</w:t>
      </w:r>
      <w:r>
        <w:t>（三星认为2027年供需缺口将进一步扩大。资料来源：招商证券）。</w:t>
      </w:r>
    </w:p>
    <w:p w14:paraId="71109E9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支撑依据：</w:t>
      </w:r>
      <w:r>
        <w:t xml:space="preserve"> </w:t>
      </w:r>
    </w:p>
    <w:p w14:paraId="02B26960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7"/>
        </w:rPr>
        <w:t>业绩高确定性：</w:t>
      </w:r>
      <w:r>
        <w:t xml:space="preserve"> 长协极大增强了原厂业绩能见度，产业景气持续性延长（招商证券）。</w:t>
      </w:r>
    </w:p>
    <w:p w14:paraId="32DC680B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7"/>
        </w:rPr>
        <w:t>价格持续上涨：</w:t>
      </w:r>
      <w:r>
        <w:t xml:space="preserve"> Q2合约价预计环比增幅仍有60%以上（DRAM环比增58-63%，NAND环比增70-75%）（招商证券基于TrendForce数据）。</w:t>
      </w:r>
    </w:p>
    <w:p w14:paraId="6E26A2F8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7"/>
        </w:rPr>
        <w:t>龙头优先受益：</w:t>
      </w:r>
      <w:r>
        <w:t xml:space="preserve"> 海外大厂如美光、海力士、三星等占据主要份额，并率先受益于HBM需求爆发，同时国内模组厂商（如江波龙、佰维存储）通过与原厂签订长协，深度锁定供应链资源（招商证券）。</w:t>
      </w:r>
    </w:p>
    <w:p w14:paraId="4B455B0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具体标的（整合券商观点）：</w:t>
      </w:r>
      <w:r>
        <w:t xml:space="preserve"> </w:t>
      </w:r>
    </w:p>
    <w:p w14:paraId="3316010A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海外存储：</w:t>
      </w:r>
      <w:r>
        <w:t xml:space="preserve"> 美光（MU，国联民生证券）、闪迪（SNDK，国联民生证券）。</w:t>
      </w:r>
    </w:p>
    <w:p w14:paraId="78BED958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国内模组：</w:t>
      </w:r>
      <w:r>
        <w:t xml:space="preserve"> 江波龙、佰维存储（招商证券，建议关注；开源证券提及为受益标的）。</w:t>
      </w:r>
    </w:p>
    <w:p w14:paraId="736CF3E3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国内原厂：</w:t>
      </w:r>
      <w:r>
        <w:t xml:space="preserve"> 长鑫科技（IPO注册获批，开源证券）、长江存储（招商证券，建议关注；东吴证券提及扩产）。</w:t>
      </w:r>
    </w:p>
    <w:p w14:paraId="5DD6E621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</w:rPr>
        <w:t>子策略二：主题投资策略（工具型配置）</w:t>
      </w:r>
    </w:p>
    <w:p w14:paraId="19A5BAB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策略观点：</w:t>
      </w:r>
      <w:r>
        <w:t xml:space="preserve"> 对于希望一键配置全球存储龙头的投资者，尤其是希望覆盖非美国上市龙头（如三星、SK海力士）的投资者，可配置 </w:t>
      </w:r>
      <w:r>
        <w:rPr>
          <w:rStyle w:val="7"/>
        </w:rPr>
        <w:t>DRAM ETF</w:t>
      </w:r>
      <w:r>
        <w:t>。仓位建议为总资金的</w:t>
      </w:r>
      <w:r>
        <w:rPr>
          <w:rStyle w:val="7"/>
        </w:rPr>
        <w:t>5%-15%</w:t>
      </w:r>
      <w:r>
        <w:t>。该策略旨在避免传统宽基ETF（如SMH、SOXX）因仅投资美国上市股票而无法触及非美龙头的短板（艾德证券期货）。</w:t>
      </w:r>
    </w:p>
    <w:p w14:paraId="387B6F6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支撑依据：</w:t>
      </w:r>
      <w:r>
        <w:t xml:space="preserve"> </w:t>
      </w:r>
    </w:p>
    <w:p w14:paraId="278D6B94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精准敞口：</w:t>
      </w:r>
      <w:r>
        <w:t xml:space="preserve"> DRAM ETF 100%聚焦存储芯片，避免逻辑芯片、半导体设备等非相关业务的稀释。其前三持仓（美光、SK海力士、三星）占比达71.5%（艾德证券期货）。</w:t>
      </w:r>
    </w:p>
    <w:p w14:paraId="1ABAFA20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业绩验证：</w:t>
      </w:r>
      <w:r>
        <w:t xml:space="preserve"> 持仓公司2026年Q1全部实现盈利且均达历史最高利润率，且Q2业绩指引显著高于Q1（艾德证券期货）。</w:t>
      </w:r>
    </w:p>
    <w:p w14:paraId="2BB53864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流动性佳：</w:t>
      </w:r>
      <w:r>
        <w:t xml:space="preserve"> 上市仅两月余，管理规模已突破320亿美元，溢价率正常（最新溢价2.72%），价格公允（艾德证券期货）。</w:t>
      </w:r>
    </w:p>
    <w:p w14:paraId="255094B7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</w:rPr>
        <w:t>子策略三：弹性品种策略（博弈利基型存储涨价）</w:t>
      </w:r>
    </w:p>
    <w:p w14:paraId="067A4B3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策略观点：</w:t>
      </w:r>
      <w:r>
        <w:t xml:space="preserve"> 在市场整体景气基础上，额外配置</w:t>
      </w:r>
      <w:r>
        <w:rPr>
          <w:rStyle w:val="7"/>
        </w:rPr>
        <w:t>利基存储</w:t>
      </w:r>
      <w:r>
        <w:t>标的，博弈其在本轮周期中的超额涨幅。仓位建议为总资金的</w:t>
      </w:r>
      <w:r>
        <w:rPr>
          <w:rStyle w:val="7"/>
        </w:rPr>
        <w:t>10%-20%</w:t>
      </w:r>
      <w:r>
        <w:t>（基于兴业证券和招商证券对其涨价空间的判断）。</w:t>
      </w:r>
    </w:p>
    <w:p w14:paraId="400833E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支撑依据：</w:t>
      </w:r>
      <w:r>
        <w:t xml:space="preserve"> </w:t>
      </w:r>
    </w:p>
    <w:p w14:paraId="28D0057D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价格涨幅更大：</w:t>
      </w:r>
      <w:r>
        <w:t xml:space="preserve"> NOR Flash与SLC NAND在2026上半年合约价涨幅已突破100%。预计下半年高容量NOR Flash仍有**60%-65%</w:t>
      </w:r>
      <w:r>
        <w:rPr>
          <w:rStyle w:val="7"/>
        </w:rPr>
        <w:t>以上的调涨空间，SLC NAND有</w:t>
      </w:r>
      <w:r>
        <w:t>70%-75%**的上涨空间（招商证券基于TrendForce预测；兴业证券也引用TrendForce数据）。</w:t>
      </w:r>
    </w:p>
    <w:p w14:paraId="7D52CDE9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供需格局紧张：</w:t>
      </w:r>
      <w:r>
        <w:t xml:space="preserve"> 原厂产能倾向HBM与高层数3D NAND，挤压了利基型存储的成熟制程产能，而需求稳定，导致价格持续调升。供应商也无大规模扩产计划（兴业证券）。</w:t>
      </w:r>
    </w:p>
    <w:p w14:paraId="2DFCDF1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具体标的：</w:t>
      </w:r>
      <w:r>
        <w:t xml:space="preserve"> </w:t>
      </w:r>
    </w:p>
    <w:p w14:paraId="3C2506D7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兆易创新、普冉股份</w:t>
      </w:r>
      <w:r>
        <w:t>（兴业证券、开源证券、中信建投证券均建议关注或列为推荐标的）。</w:t>
      </w:r>
    </w:p>
    <w:p w14:paraId="4D3DF293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41AEF7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</w:rPr>
        <w:t>3. 是否存在领先指标</w:t>
      </w:r>
    </w:p>
    <w:p w14:paraId="535FF108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是，存在领先指标。</w:t>
      </w:r>
      <w:r>
        <w:t xml:space="preserve"> 主要包括以下三个核心维度：</w:t>
      </w:r>
    </w:p>
    <w:p w14:paraId="39C55386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价格信号（基本面先行指标）：合约价与现货价的环比增长趋势</w:t>
      </w:r>
    </w:p>
    <w:p w14:paraId="4CCBD8E5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具体指标：</w:t>
      </w:r>
      <w:r>
        <w:t xml:space="preserve"> 密切关注DRAM和NAND的</w:t>
      </w:r>
      <w:r>
        <w:rPr>
          <w:rStyle w:val="7"/>
        </w:rPr>
        <w:t>合约价格</w:t>
      </w:r>
      <w:r>
        <w:t>（Contract Price）和</w:t>
      </w:r>
      <w:r>
        <w:rPr>
          <w:rStyle w:val="7"/>
        </w:rPr>
        <w:t>现货价格</w:t>
      </w:r>
      <w:r>
        <w:t>的环比变化。</w:t>
      </w:r>
    </w:p>
    <w:p w14:paraId="470A133A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观点出处：</w:t>
      </w:r>
      <w:r>
        <w:t xml:space="preserve"> 招商证券</w:t>
      </w:r>
    </w:p>
    <w:p w14:paraId="1AE18577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影响逻辑：</w:t>
      </w:r>
      <w:r>
        <w:t xml:space="preserve"> </w:t>
      </w:r>
    </w:p>
    <w:p w14:paraId="10C400CA">
      <w:pPr>
        <w:keepNext w:val="0"/>
        <w:keepLines w:val="0"/>
        <w:widowControl/>
        <w:numPr>
          <w:ilvl w:val="2"/>
          <w:numId w:val="9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7"/>
        </w:rPr>
        <w:t>合约价：</w:t>
      </w:r>
      <w:r>
        <w:t xml:space="preserve"> Q2合约价环比增幅（DRAM+58-63%， NAND+70-75%）是判断当前季度景气度的量化基础。若后续季度合约价环比涨幅维持或扩大，则景气度持续向好；若环比涨幅收窄，则需警惕周期顶点。而招商证券明确指出“预计下半年高容量NOR Flash仍有60-65%以上调涨空间...”，这为未来1-2个季度的利基型存储走势设定了领先指引。</w:t>
      </w:r>
    </w:p>
    <w:p w14:paraId="7EC9C618">
      <w:pPr>
        <w:keepNext w:val="0"/>
        <w:keepLines w:val="0"/>
        <w:widowControl/>
        <w:numPr>
          <w:ilvl w:val="2"/>
          <w:numId w:val="9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7"/>
        </w:rPr>
        <w:t>现货价：</w:t>
      </w:r>
      <w:r>
        <w:t xml:space="preserve"> 现货价作为边际价格，在DRAM和NAND领域都已出现明显回升（如DDR5 16Gb自4月至今上涨24%），可作为验证合约价趋势的有效指标（招商证券）。</w:t>
      </w:r>
    </w:p>
    <w:p w14:paraId="507FED2D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需求侧信号（需求端确认指标）：头部AI企业的算力需求与资本开支</w:t>
      </w:r>
    </w:p>
    <w:p w14:paraId="2FAAD874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具体指标：</w:t>
      </w:r>
      <w:r>
        <w:t xml:space="preserve"> 关注</w:t>
      </w:r>
      <w:r>
        <w:rPr>
          <w:rStyle w:val="7"/>
        </w:rPr>
        <w:t>Anthropic</w:t>
      </w:r>
      <w:r>
        <w:t>等头部AI公司的ARR增速及算力扩张动作；关注</w:t>
      </w:r>
      <w:r>
        <w:rPr>
          <w:rStyle w:val="7"/>
        </w:rPr>
        <w:t>亚马逊</w:t>
      </w:r>
      <w:r>
        <w:t>等CSP的AI芯片推进计划及资本开支。</w:t>
      </w:r>
    </w:p>
    <w:p w14:paraId="75E8967B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观点出处：</w:t>
      </w:r>
      <w:r>
        <w:t xml:space="preserve"> 国联民生证券</w:t>
      </w:r>
    </w:p>
    <w:p w14:paraId="3D7ED60E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影响逻辑：</w:t>
      </w:r>
      <w:r>
        <w:t xml:space="preserve"> </w:t>
      </w:r>
    </w:p>
    <w:p w14:paraId="35BEEA8A">
      <w:pPr>
        <w:keepNext w:val="0"/>
        <w:keepLines w:val="0"/>
        <w:widowControl/>
        <w:numPr>
          <w:ilvl w:val="2"/>
          <w:numId w:val="11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Anthropic ARR增速放缓被国联民生证券解读为**“供给约束而非需求走弱”**。这意味着只要算力瓶颈持续，其采购存储（如HBM、SSD）的需求仍是刚性的。反之，如果这些企业很容易地解决了算力约束并恢复高速增长，则需求更为强劲；如果他们的大模型需求出现实质性放缓（即需求见顶），才是行业景气度逆转的领先信号。</w:t>
      </w:r>
    </w:p>
    <w:p w14:paraId="297978B9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供给端信号（周期持续性指标）：原厂扩产计划的规模与节奏</w:t>
      </w:r>
    </w:p>
    <w:p w14:paraId="1ACC00E4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具体指标：</w:t>
      </w:r>
      <w:r>
        <w:t xml:space="preserve"> 关注SK海力士、铠侠、三星等原厂的资本开支计划。</w:t>
      </w:r>
    </w:p>
    <w:p w14:paraId="029987CC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观点出处：</w:t>
      </w:r>
      <w:r>
        <w:t xml:space="preserve"> 招商证券、东吴证券</w:t>
      </w:r>
    </w:p>
    <w:p w14:paraId="276FEE6F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影响逻辑：</w:t>
      </w:r>
      <w:r>
        <w:t xml:space="preserve"> </w:t>
      </w:r>
    </w:p>
    <w:p w14:paraId="3230B253">
      <w:pPr>
        <w:keepNext w:val="0"/>
        <w:keepLines w:val="0"/>
        <w:widowControl/>
        <w:numPr>
          <w:ilvl w:val="2"/>
          <w:numId w:val="5"/>
        </w:numPr>
        <w:suppressLineNumbers w:val="0"/>
        <w:spacing w:before="0" w:beforeAutospacing="1" w:after="0" w:afterAutospacing="1"/>
        <w:ind w:left="2160" w:hanging="360"/>
      </w:pPr>
      <w:r>
        <w:rPr>
          <w:rStyle w:val="7"/>
        </w:rPr>
        <w:t>纪律性扩张：</w:t>
      </w:r>
      <w:r>
        <w:t xml:space="preserve"> SK海力士计划2016-2034年DRAM产能CAGR约14%，整体呈现“纪律性扩张”。铠侠FY26-28年平均资本开支仅为FY22的约60%（招商证券）。这意味着未来数年产能供给端增长有限，将支撑存储价格维持在较高水平。</w:t>
      </w:r>
    </w:p>
    <w:p w14:paraId="026C403B">
      <w:pPr>
        <w:keepNext w:val="0"/>
        <w:keepLines w:val="0"/>
        <w:widowControl/>
        <w:numPr>
          <w:ilvl w:val="2"/>
          <w:numId w:val="5"/>
        </w:numPr>
        <w:suppressLineNumbers w:val="0"/>
        <w:spacing w:before="0" w:beforeAutospacing="1" w:after="0" w:afterAutospacing="1"/>
        <w:ind w:left="2160" w:hanging="360"/>
      </w:pPr>
      <w:r>
        <w:rPr>
          <w:rStyle w:val="7"/>
        </w:rPr>
        <w:t>扩产方向：</w:t>
      </w:r>
      <w:r>
        <w:t xml:space="preserve"> 扩产聚焦AI数据中心（HBM、DDR5）和先进制程（如3D NAND 400+层），这进一步挤压了利基型产品产能，构成结构性涨价逻辑（东吴证券）。</w:t>
      </w:r>
    </w:p>
    <w:p w14:paraId="5D189AB5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结论：</w:t>
      </w:r>
      <w:r>
        <w:t xml:space="preserve"> 当上述三个指标（价格环比为正、头部AI需求不减、原厂扩产谨慎）同时成立时，即为确认行业景气度持续向上的领先信号。</w:t>
      </w:r>
    </w:p>
    <w:p w14:paraId="37027553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1BE7AB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</w:rPr>
        <w:t>4. 风险提示</w:t>
      </w:r>
    </w:p>
    <w:p w14:paraId="1A78A35A">
      <w:pPr>
        <w:pStyle w:val="4"/>
        <w:keepNext w:val="0"/>
        <w:keepLines w:val="0"/>
        <w:widowControl/>
        <w:suppressLineNumbers w:val="0"/>
      </w:pPr>
      <w:r>
        <w:t>投资存储板块需关注以下分点具体的风险：</w:t>
      </w:r>
    </w:p>
    <w:p w14:paraId="3C58E3A8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AI需求不及预期风险（核心风险）：</w:t>
      </w:r>
    </w:p>
    <w:p w14:paraId="1A8B85E2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若全球AI算力资本开支及市场预期放缓，或AI大模型训练与推理需求增速低于预期，将直接减少对HBM、大容量NAND等核心存储产品的需求，导致供需格局逆转（资料来源：招商证券、兴业证券、国联民生证券、东北证券）。</w:t>
      </w:r>
    </w:p>
    <w:p w14:paraId="0F71F94F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库存减值风险：</w:t>
      </w:r>
    </w:p>
    <w:p w14:paraId="1960AC12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存储芯片价格进入上涨周期时，产业链公司（尤其是模组厂）通常会积累大量库存。若宏观经济波动或需求骤降导致价格进入下行通道，公司需对高价库存进行减值处理，将严重拖累当期业绩（资料来源：招商证券）。</w:t>
      </w:r>
    </w:p>
    <w:p w14:paraId="6C2126BE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价格下行风险：</w:t>
      </w:r>
    </w:p>
    <w:p w14:paraId="4AB71477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虽然当前普遍看涨，但需注意存储芯片具有强周期属性。若供给端扩产超出预期，或下游需求不及预期，可能导致产品（尤其是现货市场）价格走弱，进而影响行业估值及盈利（资料来源：招商证券、西部证券）。</w:t>
      </w:r>
    </w:p>
    <w:p w14:paraId="702E81D8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国际贸易摩擦与供应链波动风险：</w:t>
      </w:r>
    </w:p>
    <w:p w14:paraId="2678F080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美国、荷兰、日本持续强化对半导体先进制程设备的出口限制，可能影响国内晶圆厂（如长江存储、长鑫科技）的扩产节奏，进而影响国产设备及材料需求（资料来源：招商证券、东吴证券、东北证券）。此外，中美贸易摩擦加剧可能导致全球半导体供应链格局重构，带来不确定性。</w:t>
      </w:r>
    </w:p>
    <w:p w14:paraId="6AA59FBB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行业竞争加剧风险：</w:t>
      </w:r>
    </w:p>
    <w:p w14:paraId="646EFDD3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存储行业高景气吸引更多资本进入，可能导致行业内竞争加剧，压缩毛利率。例如HBM领域，三星与SK海力士的主导权争夺战已正式拉开序幕（国元证券），价格战风险不容忽视（资料来源：招商证券、开源证券）。</w:t>
      </w:r>
    </w:p>
    <w:p w14:paraId="3DBD568C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存储芯片周期转换风险（宏观下行风险）：</w:t>
      </w:r>
    </w:p>
    <w:p w14:paraId="161EB511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存储行业已进入强涨价周期，但历史经验表明，在宏观货币政策收紧或全球经济增速放缓背景下，下游终端需求可能迅速冷却，导致行业进入周期转换，投资逻辑将发生根本性变化（资料来源：艾德证券期货）。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8DE10AB"/>
    <w:multiLevelType w:val="multilevel"/>
    <w:tmpl w:val="68DE10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696EBC02"/>
    <w:multiLevelType w:val="multilevel"/>
    <w:tmpl w:val="696EBC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7927E5FC"/>
    <w:multiLevelType w:val="multilevel"/>
    <w:tmpl w:val="7927E5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7FB6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2026-06-22T10:11:36Z</dcterms:created>
  <dc:creator>17416</dc:creator>
  <cp:lastModifiedBy>Atta</cp:lastModifiedBy>
  <dcterms:modified xsi:type="dcterms:W3CDTF">2026-06-22T10:12:35Z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eyJoZGlkIjoiODM4MTc3NjJkZWQzZmMzYWRlM2QxNjA1MzUwMzg0ZTgiLCJ1c2VySWQiOiI0ODE5MzA3NjIifQ==</vt:lpwstr>
  </property>
  <property fmtid="{D5CDD505-2E9C-101B-9397-08002B2CF9AE}" pid="4" name="ICV">
    <vt:lpwstr>779E6543A03B458ABF28E8818E00B536_12</vt:lpwstr>
  </property>
</Properties>
</file>