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>
        <w:rPr>
          <w:rFonts w:ascii="Segoe UI" w:hAnsi="Segoe UI" w:cs="Segoe UI"/>
          <w:sz w:val="24"/>
          <w:szCs w:val="24"/>
        </w:rPr>
        <w:t>Statechart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>
        <w:rPr>
          <w:rFonts w:ascii="Segoe UI" w:hAnsi="Segoe UI" w:cs="Segoe UI"/>
          <w:sz w:val="24"/>
          <w:szCs w:val="24"/>
        </w:rPr>
        <w:t>Behavioural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BBF907F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8523B">
        <w:rPr>
          <w:rFonts w:ascii="Segoe UI" w:hAnsi="Segoe UI" w:cs="Segoe UI"/>
          <w:noProof/>
          <w:sz w:val="24"/>
          <w:szCs w:val="24"/>
        </w:rPr>
        <w:t xml:space="preserve">The Deployment Diagram consists of nodes.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391F08A6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8523B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47</cp:revision>
  <dcterms:created xsi:type="dcterms:W3CDTF">2020-05-25T08:44:00Z</dcterms:created>
  <dcterms:modified xsi:type="dcterms:W3CDTF">2020-06-14T22:14:00Z</dcterms:modified>
</cp:coreProperties>
</file>