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070AD"/>
          <w:sz w:val="72"/>
          <w:szCs w:val="72"/>
        </w:rPr>
        <w:t xml:space="preserve">CAPGEMINI</w:t>
      </w:r>
    </w:p>
    <w:p>
      <w:pPr>
        <w:spacing w:before="0" w:after="0"/>
        <w:jc w:val="center"/>
      </w:pPr>
      <w:r>
        <w:rPr>
          <w:rFonts w:ascii="Arial" w:cs="Arial" w:eastAsia="Arial" w:hAnsi="Arial"/>
          <w:b w:val="false"/>
          <w:bCs w:val="false"/>
          <w:color w:val="333333"/>
          <w:sz w:val="56"/>
          <w:szCs w:val="56"/>
        </w:rPr>
        <w:t xml:space="preserve">Architecture Core Concepts</w:t>
      </w:r>
    </w:p>
    <w:p>
      <w:pPr>
        <w:pBdr>
          <w:bottom w:val="single" w:color="0070AD" w:sz="8" w:space="12"/>
        </w:pBdr>
        <w:spacing w:before="80" w:after="0"/>
        <w:jc w:val="center"/>
      </w:pPr>
      <w:r>
        <w:rPr>
          <w:rFonts w:ascii="Arial" w:cs="Arial" w:eastAsia="Arial" w:hAnsi="Arial"/>
          <w:sz w:val="24"/>
          <w:szCs w:val="24"/>
        </w:rPr>
        <w:t xml:space="preserve"> </w:t>
      </w:r>
    </w:p>
    <w:p>
      <w:pPr>
        <w:spacing w:before="0" w:after="200"/>
      </w:pPr>
    </w:p>
    <w:p>
      <w:pPr>
        <w:spacing w:before="0" w:after="80"/>
        <w:jc w:val="center"/>
      </w:pPr>
      <w:r>
        <w:rPr>
          <w:rFonts w:ascii="Arial" w:cs="Arial" w:eastAsia="Arial" w:hAnsi="Arial"/>
          <w:i/>
          <w:iCs/>
          <w:color w:val="555555"/>
          <w:sz w:val="26"/>
          <w:szCs w:val="26"/>
        </w:rPr>
        <w:t xml:space="preserve">Enterprise Architecture Knowledge Base</w:t>
      </w:r>
    </w:p>
    <w:p>
      <w:pPr>
        <w:spacing w:before="0" w:after="80"/>
        <w:jc w:val="center"/>
      </w:pPr>
      <w:r>
        <w:rPr>
          <w:rFonts w:ascii="Arial" w:cs="Arial" w:eastAsia="Arial" w:hAnsi="Arial"/>
          <w:color w:val="555555"/>
          <w:sz w:val="24"/>
          <w:szCs w:val="24"/>
        </w:rPr>
        <w:t xml:space="preserve">Internal Training &amp; Reference Document</w:t>
      </w:r>
    </w:p>
    <w:p>
      <w:pPr>
        <w:spacing w:before="0" w:after="400"/>
      </w:pPr>
    </w:p>
    <w:p>
      <w:pPr>
        <w:spacing w:before="0" w:after="60"/>
        <w:jc w:val="center"/>
      </w:pPr>
      <w:r>
        <w:rPr>
          <w:rFonts w:ascii="Arial" w:cs="Arial" w:eastAsia="Arial" w:hAnsi="Arial"/>
          <w:color w:val="555555"/>
          <w:sz w:val="22"/>
          <w:szCs w:val="22"/>
        </w:rPr>
        <w:t xml:space="preserve">Version 1.0  |  March 2026</w:t>
      </w:r>
    </w:p>
    <w:p>
      <w:pPr>
        <w:spacing w:before="0" w:after="60"/>
        <w:jc w:val="center"/>
      </w:pPr>
      <w:r>
        <w:rPr>
          <w:rFonts w:ascii="Arial" w:cs="Arial" w:eastAsia="Arial" w:hAnsi="Arial"/>
          <w:i/>
          <w:iCs/>
          <w:color w:val="555555"/>
          <w:sz w:val="22"/>
          <w:szCs w:val="22"/>
        </w:rPr>
        <w:t xml:space="preserve">Confidential — For Internal Use Only</w:t>
      </w:r>
    </w:p>
    <w:p>
      <w:r>
        <w:br w:type="page"/>
      </w:r>
    </w:p>
    <w:p>
      <w:pPr>
        <w:pBdr>
          <w:bottom w:val="single" w:color="0070AD" w:sz="12" w:space="8"/>
        </w:pBdr>
        <w:spacing w:before="480" w:after="0"/>
      </w:pPr>
      <w:r>
        <w:rPr>
          <w:rFonts w:ascii="Arial" w:cs="Arial" w:eastAsia="Arial" w:hAnsi="Arial"/>
          <w:color w:val="555555"/>
          <w:sz w:val="20"/>
          <w:szCs w:val="20"/>
        </w:rPr>
        <w:t xml:space="preserve">Section 1  </w:t>
      </w:r>
      <w:r>
        <w:rPr>
          <w:rFonts w:ascii="Arial" w:cs="Arial" w:eastAsia="Arial" w:hAnsi="Arial"/>
          <w:b/>
          <w:bCs/>
          <w:color w:val="0070AD"/>
          <w:sz w:val="44"/>
          <w:szCs w:val="44"/>
        </w:rPr>
        <w:t xml:space="preserve">Introduction</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1. Introduction</w:t>
      </w:r>
    </w:p>
    <w:p>
      <w:pPr>
        <w:spacing w:before="80" w:after="120"/>
        <w:jc w:val="both"/>
      </w:pPr>
      <w:r>
        <w:rPr>
          <w:rFonts w:ascii="Arial" w:cs="Arial" w:eastAsia="Arial" w:hAnsi="Arial"/>
          <w:color w:val="333333"/>
          <w:sz w:val="22"/>
          <w:szCs w:val="22"/>
        </w:rPr>
        <w:t xml:space="preserve">Capgemini is a global leader in consulting, technology services, and digital transformation. Across its engagements, Capgemini applies a structured and repeatable approach to enterprise architecture. This approach is grounded in what are known as the Capgemini Architecture Core Concepts.</w:t>
      </w:r>
    </w:p>
    <w:p>
      <w:pPr>
        <w:spacing w:before="0" w:after="120"/>
      </w:pPr>
    </w:p>
    <w:p>
      <w:pPr>
        <w:pStyle w:val="Heading2"/>
        <w:spacing w:before="280" w:after="140"/>
      </w:pPr>
      <w:r>
        <w:rPr>
          <w:rFonts w:ascii="Arial" w:cs="Arial" w:eastAsia="Arial" w:hAnsi="Arial"/>
          <w:b/>
          <w:bCs/>
          <w:color w:val="005A8E"/>
          <w:sz w:val="28"/>
          <w:szCs w:val="28"/>
        </w:rPr>
        <w:t xml:space="preserve">1.1 What Are the Capgemini Architecture Core Concepts?</w:t>
      </w:r>
    </w:p>
    <w:p>
      <w:pPr>
        <w:spacing w:before="80" w:after="120"/>
        <w:jc w:val="both"/>
      </w:pPr>
      <w:r>
        <w:rPr>
          <w:rFonts w:ascii="Arial" w:cs="Arial" w:eastAsia="Arial" w:hAnsi="Arial"/>
          <w:color w:val="333333"/>
          <w:sz w:val="22"/>
          <w:szCs w:val="22"/>
        </w:rPr>
        <w:t xml:space="preserve">The Capgemini Architecture Core Concepts represent a curated set of principles, frameworks, methods, and building blocks that guide how architecture is practised across all client engagements and internal programmes. They define a common language, a shared set of standards, and a consistent approach to designing and governing complex enterprise solutions.</w:t>
      </w:r>
    </w:p>
    <w:p>
      <w:pPr>
        <w:spacing w:before="80" w:after="120"/>
        <w:jc w:val="both"/>
      </w:pPr>
      <w:r>
        <w:rPr>
          <w:rFonts w:ascii="Arial" w:cs="Arial" w:eastAsia="Arial" w:hAnsi="Arial"/>
          <w:color w:val="333333"/>
          <w:sz w:val="22"/>
          <w:szCs w:val="22"/>
        </w:rPr>
        <w:t xml:space="preserve">These concepts draw from internationally recognised frameworks such as TOGAF, as well as from Capgemini's own intellectual property and accumulated delivery experience. They are continuously refined to reflect the evolving landscape of cloud computing, digital platforms, and modern enterprise integration.</w:t>
      </w:r>
    </w:p>
    <w:p>
      <w:pPr>
        <w:spacing w:before="0" w:after="120"/>
      </w:pPr>
    </w:p>
    <w:p>
      <w:pPr>
        <w:pStyle w:val="Heading2"/>
        <w:spacing w:before="280" w:after="140"/>
      </w:pPr>
      <w:r>
        <w:rPr>
          <w:rFonts w:ascii="Arial" w:cs="Arial" w:eastAsia="Arial" w:hAnsi="Arial"/>
          <w:b/>
          <w:bCs/>
          <w:color w:val="005A8E"/>
          <w:sz w:val="28"/>
          <w:szCs w:val="28"/>
        </w:rPr>
        <w:t xml:space="preserve">1.2 Why Do They Exist?</w:t>
      </w:r>
    </w:p>
    <w:p>
      <w:pPr>
        <w:spacing w:before="80" w:after="120"/>
        <w:jc w:val="both"/>
      </w:pPr>
      <w:r>
        <w:rPr>
          <w:rFonts w:ascii="Arial" w:cs="Arial" w:eastAsia="Arial" w:hAnsi="Arial"/>
          <w:color w:val="333333"/>
          <w:sz w:val="22"/>
          <w:szCs w:val="22"/>
        </w:rPr>
        <w:t xml:space="preserve">Enterprise architecture is inherently complex. Without a shared framework, architecture decisions risk becoming inconsistent, poorly aligned with business goals, or difficult to govern. The Capgemini Architecture Core Concepts exist to solve this problem.</w:t>
      </w:r>
    </w:p>
    <w:p>
      <w:pPr>
        <w:spacing w:before="80" w:after="120"/>
        <w:jc w:val="both"/>
      </w:pPr>
      <w:r>
        <w:rPr>
          <w:rFonts w:ascii="Arial" w:cs="Arial" w:eastAsia="Arial" w:hAnsi="Arial"/>
          <w:color w:val="333333"/>
          <w:sz w:val="22"/>
          <w:szCs w:val="22"/>
        </w:rPr>
        <w:t xml:space="preserve">Specifically, they exist to:</w:t>
      </w:r>
    </w:p>
    <w:p>
      <w:pPr>
        <w:pStyle w:val="ListParagraph"/>
        <w:numPr>
          <w:ilvl w:val="0"/>
          <w:numId w:val="2"/>
        </w:numPr>
        <w:spacing w:before="60" w:after="60"/>
      </w:pPr>
      <w:r>
        <w:rPr>
          <w:rFonts w:ascii="Arial" w:cs="Arial" w:eastAsia="Arial" w:hAnsi="Arial"/>
          <w:color w:val="333333"/>
          <w:sz w:val="22"/>
          <w:szCs w:val="22"/>
        </w:rPr>
        <w:t xml:space="preserve">Establish a consistent architecture practice across all Capgemini delivery teams.</w:t>
      </w:r>
    </w:p>
    <w:p>
      <w:pPr>
        <w:pStyle w:val="ListParagraph"/>
        <w:numPr>
          <w:ilvl w:val="0"/>
          <w:numId w:val="2"/>
        </w:numPr>
        <w:spacing w:before="60" w:after="60"/>
      </w:pPr>
      <w:r>
        <w:rPr>
          <w:rFonts w:ascii="Arial" w:cs="Arial" w:eastAsia="Arial" w:hAnsi="Arial"/>
          <w:color w:val="333333"/>
          <w:sz w:val="22"/>
          <w:szCs w:val="22"/>
        </w:rPr>
        <w:t xml:space="preserve">Ensure architecture decisions are traceable, justified, and aligned to business outcomes.</w:t>
      </w:r>
    </w:p>
    <w:p>
      <w:pPr>
        <w:pStyle w:val="ListParagraph"/>
        <w:numPr>
          <w:ilvl w:val="0"/>
          <w:numId w:val="2"/>
        </w:numPr>
        <w:spacing w:before="60" w:after="60"/>
      </w:pPr>
      <w:r>
        <w:rPr>
          <w:rFonts w:ascii="Arial" w:cs="Arial" w:eastAsia="Arial" w:hAnsi="Arial"/>
          <w:color w:val="333333"/>
          <w:sz w:val="22"/>
          <w:szCs w:val="22"/>
        </w:rPr>
        <w:t xml:space="preserve">Reduce duplication of effort through reusable patterns, building blocks, and reference architectures.</w:t>
      </w:r>
    </w:p>
    <w:p>
      <w:pPr>
        <w:pStyle w:val="ListParagraph"/>
        <w:numPr>
          <w:ilvl w:val="0"/>
          <w:numId w:val="2"/>
        </w:numPr>
        <w:spacing w:before="60" w:after="60"/>
      </w:pPr>
      <w:r>
        <w:rPr>
          <w:rFonts w:ascii="Arial" w:cs="Arial" w:eastAsia="Arial" w:hAnsi="Arial"/>
          <w:color w:val="333333"/>
          <w:sz w:val="22"/>
          <w:szCs w:val="22"/>
        </w:rPr>
        <w:t xml:space="preserve">Enable quality governance through clearly defined processes and review mechanisms.</w:t>
      </w:r>
    </w:p>
    <w:p>
      <w:pPr>
        <w:pStyle w:val="ListParagraph"/>
        <w:numPr>
          <w:ilvl w:val="0"/>
          <w:numId w:val="2"/>
        </w:numPr>
        <w:spacing w:before="60" w:after="60"/>
      </w:pPr>
      <w:r>
        <w:rPr>
          <w:rFonts w:ascii="Arial" w:cs="Arial" w:eastAsia="Arial" w:hAnsi="Arial"/>
          <w:color w:val="333333"/>
          <w:sz w:val="22"/>
          <w:szCs w:val="22"/>
        </w:rPr>
        <w:t xml:space="preserve">Accelerate delivery by providing pre-approved standards and design templates.</w:t>
      </w:r>
    </w:p>
    <w:p>
      <w:pPr>
        <w:spacing w:before="0" w:after="120"/>
      </w:pPr>
    </w:p>
    <w:p>
      <w:pPr>
        <w:pStyle w:val="Heading2"/>
        <w:spacing w:before="280" w:after="140"/>
      </w:pPr>
      <w:r>
        <w:rPr>
          <w:rFonts w:ascii="Arial" w:cs="Arial" w:eastAsia="Arial" w:hAnsi="Arial"/>
          <w:b/>
          <w:bCs/>
          <w:color w:val="005A8E"/>
          <w:sz w:val="28"/>
          <w:szCs w:val="28"/>
        </w:rPr>
        <w:t xml:space="preserve">1.3 Their Role in Enterprise Architecture and Digital Transformation</w:t>
      </w:r>
    </w:p>
    <w:p>
      <w:pPr>
        <w:spacing w:before="80" w:after="120"/>
        <w:jc w:val="both"/>
      </w:pPr>
      <w:r>
        <w:rPr>
          <w:rFonts w:ascii="Arial" w:cs="Arial" w:eastAsia="Arial" w:hAnsi="Arial"/>
          <w:color w:val="333333"/>
          <w:sz w:val="22"/>
          <w:szCs w:val="22"/>
        </w:rPr>
        <w:t xml:space="preserve">In the context of enterprise architecture, these concepts serve as the foundational scaffolding upon which all architecture work is constructed. They define how architecture layers relate to one another, how decisions are recorded and reviewed, and how architectural artefacts are produced and maintained.</w:t>
      </w:r>
    </w:p>
    <w:p>
      <w:pPr>
        <w:spacing w:before="80" w:after="120"/>
        <w:jc w:val="both"/>
      </w:pPr>
      <w:r>
        <w:rPr>
          <w:rFonts w:ascii="Arial" w:cs="Arial" w:eastAsia="Arial" w:hAnsi="Arial"/>
          <w:color w:val="333333"/>
          <w:sz w:val="22"/>
          <w:szCs w:val="22"/>
        </w:rPr>
        <w:t xml:space="preserve">In digital transformation programmes, they play an even more strategic role. They ensure that technology choices are grounded in business capability. They enable organisations to adopt cloud, data, and platform technologies in a structured and risk-managed way. And they provide the governance needed to prevent the accumulation of technical debt as organisations transform at pace.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D9EF" w:sz="1"/>
              <w:left w:val="single" w:color="0070AD" w:sz="12"/>
              <w:bottom w:val="single" w:color="B8D9EF" w:sz="1"/>
              <w:right w:val="single" w:color="B8D9EF" w:sz="1"/>
            </w:tcBorders>
            <w:shd w:fill="E6F2FA" w:val="clear"/>
            <w:tcMar>
              <w:top w:type="dxa" w:w="120"/>
              <w:left w:type="dxa" w:w="200"/>
              <w:bottom w:type="dxa" w:w="120"/>
              <w:right w:type="dxa" w:w="200"/>
            </w:tcMar>
          </w:tcPr>
          <w:p>
            <w:pPr>
              <w:spacing w:before="0" w:after="60"/>
            </w:pPr>
            <w:r>
              <w:rPr>
                <w:rFonts w:ascii="Arial" w:cs="Arial" w:eastAsia="Arial" w:hAnsi="Arial"/>
                <w:b/>
                <w:bCs/>
                <w:color w:val="0070AD"/>
                <w:sz w:val="22"/>
                <w:szCs w:val="22"/>
              </w:rPr>
              <w:t xml:space="preserve">Key Insight</w:t>
            </w:r>
          </w:p>
          <w:p>
            <w:pPr>
              <w:spacing w:before="0" w:after="0"/>
            </w:pPr>
            <w:r>
              <w:rPr>
                <w:rFonts w:ascii="Arial" w:cs="Arial" w:eastAsia="Arial" w:hAnsi="Arial"/>
                <w:color w:val="333333"/>
                <w:sz w:val="20"/>
                <w:szCs w:val="20"/>
              </w:rPr>
              <w:t xml:space="preserve">The Capgemini Architecture Core Concepts are not theoretical. They are practical tools. They are used daily by architects to make better decisions, produce better designs, and deliver better outcomes for clients.</w:t>
            </w:r>
          </w:p>
        </w:tc>
      </w:tr>
    </w:tbl>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2  </w:t>
      </w:r>
      <w:r>
        <w:rPr>
          <w:rFonts w:ascii="Arial" w:cs="Arial" w:eastAsia="Arial" w:hAnsi="Arial"/>
          <w:b/>
          <w:bCs/>
          <w:color w:val="0070AD"/>
          <w:sz w:val="44"/>
          <w:szCs w:val="44"/>
        </w:rPr>
        <w:t xml:space="preserve">Architectural Principles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2. Architectural Principles</w:t>
      </w:r>
    </w:p>
    <w:p>
      <w:pPr>
        <w:pStyle w:val="Heading2"/>
        <w:spacing w:before="280" w:after="140"/>
      </w:pPr>
      <w:r>
        <w:rPr>
          <w:rFonts w:ascii="Arial" w:cs="Arial" w:eastAsia="Arial" w:hAnsi="Arial"/>
          <w:b/>
          <w:bCs/>
          <w:color w:val="005A8E"/>
          <w:sz w:val="28"/>
          <w:szCs w:val="28"/>
        </w:rPr>
        <w:t xml:space="preserve">2.1 Definition</w:t>
      </w:r>
    </w:p>
    <w:p>
      <w:pPr>
        <w:spacing w:before="80" w:after="120"/>
        <w:jc w:val="both"/>
      </w:pPr>
      <w:r>
        <w:rPr>
          <w:rFonts w:ascii="Arial" w:cs="Arial" w:eastAsia="Arial" w:hAnsi="Arial"/>
          <w:color w:val="333333"/>
          <w:sz w:val="22"/>
          <w:szCs w:val="22"/>
        </w:rPr>
        <w:t xml:space="preserve">An architectural principle is a fundamental statement that guides and constrains architecture decisions. Principles express what the organisation believes to be true about good architecture. They are durable. They remain stable even as technology and business context evolve.</w:t>
      </w:r>
    </w:p>
    <w:p>
      <w:pPr>
        <w:spacing w:before="80" w:after="120"/>
        <w:jc w:val="both"/>
      </w:pPr>
      <w:r>
        <w:rPr>
          <w:rFonts w:ascii="Arial" w:cs="Arial" w:eastAsia="Arial" w:hAnsi="Arial"/>
          <w:color w:val="333333"/>
          <w:sz w:val="22"/>
          <w:szCs w:val="22"/>
        </w:rPr>
        <w:t xml:space="preserve">A well-formed principle includes four components:</w:t>
      </w:r>
    </w:p>
    <w:p>
      <w:pPr>
        <w:pStyle w:val="ListParagraph"/>
        <w:numPr>
          <w:ilvl w:val="0"/>
          <w:numId w:val="2"/>
        </w:numPr>
        <w:spacing w:before="60" w:after="60"/>
      </w:pPr>
      <w:r>
        <w:rPr>
          <w:rFonts w:ascii="Arial" w:cs="Arial" w:eastAsia="Arial" w:hAnsi="Arial"/>
          <w:b/>
          <w:bCs/>
          <w:color w:val="0070AD"/>
          <w:sz w:val="22"/>
          <w:szCs w:val="22"/>
        </w:rPr>
        <w:t xml:space="preserve">Name: </w:t>
      </w:r>
      <w:r>
        <w:rPr>
          <w:rFonts w:ascii="Arial" w:cs="Arial" w:eastAsia="Arial" w:hAnsi="Arial"/>
          <w:color w:val="333333"/>
          <w:sz w:val="22"/>
          <w:szCs w:val="22"/>
        </w:rPr>
        <w:t xml:space="preserve">A short, memorable label, such as "Design for Reuse."</w:t>
      </w:r>
    </w:p>
    <w:p>
      <w:pPr>
        <w:pStyle w:val="ListParagraph"/>
        <w:numPr>
          <w:ilvl w:val="0"/>
          <w:numId w:val="2"/>
        </w:numPr>
        <w:spacing w:before="60" w:after="60"/>
      </w:pPr>
      <w:r>
        <w:rPr>
          <w:rFonts w:ascii="Arial" w:cs="Arial" w:eastAsia="Arial" w:hAnsi="Arial"/>
          <w:b/>
          <w:bCs/>
          <w:color w:val="0070AD"/>
          <w:sz w:val="22"/>
          <w:szCs w:val="22"/>
        </w:rPr>
        <w:t xml:space="preserve">Statement: </w:t>
      </w:r>
      <w:r>
        <w:rPr>
          <w:rFonts w:ascii="Arial" w:cs="Arial" w:eastAsia="Arial" w:hAnsi="Arial"/>
          <w:color w:val="333333"/>
          <w:sz w:val="22"/>
          <w:szCs w:val="22"/>
        </w:rPr>
        <w:t xml:space="preserve">A clear, concise declaration of the principle.</w:t>
      </w:r>
    </w:p>
    <w:p>
      <w:pPr>
        <w:pStyle w:val="ListParagraph"/>
        <w:numPr>
          <w:ilvl w:val="0"/>
          <w:numId w:val="2"/>
        </w:numPr>
        <w:spacing w:before="60" w:after="60"/>
      </w:pPr>
      <w:r>
        <w:rPr>
          <w:rFonts w:ascii="Arial" w:cs="Arial" w:eastAsia="Arial" w:hAnsi="Arial"/>
          <w:b/>
          <w:bCs/>
          <w:color w:val="0070AD"/>
          <w:sz w:val="22"/>
          <w:szCs w:val="22"/>
        </w:rPr>
        <w:t xml:space="preserve">Rationale: </w:t>
      </w:r>
      <w:r>
        <w:rPr>
          <w:rFonts w:ascii="Arial" w:cs="Arial" w:eastAsia="Arial" w:hAnsi="Arial"/>
          <w:color w:val="333333"/>
          <w:sz w:val="22"/>
          <w:szCs w:val="22"/>
        </w:rPr>
        <w:t xml:space="preserve">The business or technical reasoning that justifies the principle.</w:t>
      </w:r>
    </w:p>
    <w:p>
      <w:pPr>
        <w:pStyle w:val="ListParagraph"/>
        <w:numPr>
          <w:ilvl w:val="0"/>
          <w:numId w:val="2"/>
        </w:numPr>
        <w:spacing w:before="60" w:after="60"/>
      </w:pPr>
      <w:r>
        <w:rPr>
          <w:rFonts w:ascii="Arial" w:cs="Arial" w:eastAsia="Arial" w:hAnsi="Arial"/>
          <w:b/>
          <w:bCs/>
          <w:color w:val="0070AD"/>
          <w:sz w:val="22"/>
          <w:szCs w:val="22"/>
        </w:rPr>
        <w:t xml:space="preserve">Implications: </w:t>
      </w:r>
      <w:r>
        <w:rPr>
          <w:rFonts w:ascii="Arial" w:cs="Arial" w:eastAsia="Arial" w:hAnsi="Arial"/>
          <w:color w:val="333333"/>
          <w:sz w:val="22"/>
          <w:szCs w:val="22"/>
        </w:rPr>
        <w:t xml:space="preserve">The practical consequences of applying the principle in design decisions.</w:t>
      </w:r>
    </w:p>
    <w:p>
      <w:pPr>
        <w:spacing w:before="0" w:after="120"/>
      </w:pPr>
    </w:p>
    <w:p>
      <w:pPr>
        <w:pStyle w:val="Heading2"/>
        <w:spacing w:before="280" w:after="140"/>
      </w:pPr>
      <w:r>
        <w:rPr>
          <w:rFonts w:ascii="Arial" w:cs="Arial" w:eastAsia="Arial" w:hAnsi="Arial"/>
          <w:b/>
          <w:bCs/>
          <w:color w:val="005A8E"/>
          <w:sz w:val="28"/>
          <w:szCs w:val="28"/>
        </w:rPr>
        <w:t xml:space="preserve">2.2 Purpose</w:t>
      </w:r>
    </w:p>
    <w:p>
      <w:pPr>
        <w:spacing w:before="80" w:after="120"/>
        <w:jc w:val="both"/>
      </w:pPr>
      <w:r>
        <w:rPr>
          <w:rFonts w:ascii="Arial" w:cs="Arial" w:eastAsia="Arial" w:hAnsi="Arial"/>
          <w:color w:val="333333"/>
          <w:sz w:val="22"/>
          <w:szCs w:val="22"/>
        </w:rPr>
        <w:t xml:space="preserve">Architectural principles serve several important purposes within a Capgemini engagement.</w:t>
      </w:r>
    </w:p>
    <w:p>
      <w:pPr>
        <w:pStyle w:val="ListParagraph"/>
        <w:numPr>
          <w:ilvl w:val="0"/>
          <w:numId w:val="2"/>
        </w:numPr>
        <w:spacing w:before="60" w:after="60"/>
      </w:pPr>
      <w:r>
        <w:rPr>
          <w:rFonts w:ascii="Arial" w:cs="Arial" w:eastAsia="Arial" w:hAnsi="Arial"/>
          <w:color w:val="333333"/>
          <w:sz w:val="22"/>
          <w:szCs w:val="22"/>
        </w:rPr>
        <w:t xml:space="preserve">They create a shared basis for decision-making across architects, delivery teams, and business stakeholders.</w:t>
      </w:r>
    </w:p>
    <w:p>
      <w:pPr>
        <w:pStyle w:val="ListParagraph"/>
        <w:numPr>
          <w:ilvl w:val="0"/>
          <w:numId w:val="2"/>
        </w:numPr>
        <w:spacing w:before="60" w:after="60"/>
      </w:pPr>
      <w:r>
        <w:rPr>
          <w:rFonts w:ascii="Arial" w:cs="Arial" w:eastAsia="Arial" w:hAnsi="Arial"/>
          <w:color w:val="333333"/>
          <w:sz w:val="22"/>
          <w:szCs w:val="22"/>
        </w:rPr>
        <w:t xml:space="preserve">They prevent ad hoc or inconsistent design choices that introduce risk or complexity.</w:t>
      </w:r>
    </w:p>
    <w:p>
      <w:pPr>
        <w:pStyle w:val="ListParagraph"/>
        <w:numPr>
          <w:ilvl w:val="0"/>
          <w:numId w:val="2"/>
        </w:numPr>
        <w:spacing w:before="60" w:after="60"/>
      </w:pPr>
      <w:r>
        <w:rPr>
          <w:rFonts w:ascii="Arial" w:cs="Arial" w:eastAsia="Arial" w:hAnsi="Arial"/>
          <w:color w:val="333333"/>
          <w:sz w:val="22"/>
          <w:szCs w:val="22"/>
        </w:rPr>
        <w:t xml:space="preserve">They support governance by providing a reference point against which architecture proposals can be assessed.</w:t>
      </w:r>
    </w:p>
    <w:p>
      <w:pPr>
        <w:pStyle w:val="ListParagraph"/>
        <w:numPr>
          <w:ilvl w:val="0"/>
          <w:numId w:val="2"/>
        </w:numPr>
        <w:spacing w:before="60" w:after="60"/>
      </w:pPr>
      <w:r>
        <w:rPr>
          <w:rFonts w:ascii="Arial" w:cs="Arial" w:eastAsia="Arial" w:hAnsi="Arial"/>
          <w:color w:val="333333"/>
          <w:sz w:val="22"/>
          <w:szCs w:val="22"/>
        </w:rPr>
        <w:t xml:space="preserve">They communicate the architecture stance of the organisation to a broad audience, including non-technical stakeholders.</w:t>
      </w:r>
    </w:p>
    <w:p>
      <w:pPr>
        <w:spacing w:before="0" w:after="120"/>
      </w:pPr>
    </w:p>
    <w:p>
      <w:pPr>
        <w:pStyle w:val="Heading2"/>
        <w:spacing w:before="280" w:after="140"/>
      </w:pPr>
      <w:r>
        <w:rPr>
          <w:rFonts w:ascii="Arial" w:cs="Arial" w:eastAsia="Arial" w:hAnsi="Arial"/>
          <w:b/>
          <w:bCs/>
          <w:color w:val="005A8E"/>
          <w:sz w:val="28"/>
          <w:szCs w:val="28"/>
        </w:rPr>
        <w:t xml:space="preserve">2.3 Examples of Architectural Principles</w:t>
      </w:r>
    </w:p>
    <w:p>
      <w:pPr>
        <w:spacing w:before="80" w:after="120"/>
        <w:jc w:val="both"/>
      </w:pPr>
      <w:r>
        <w:rPr>
          <w:rFonts w:ascii="Arial" w:cs="Arial" w:eastAsia="Arial" w:hAnsi="Arial"/>
          <w:color w:val="333333"/>
          <w:sz w:val="22"/>
          <w:szCs w:val="22"/>
        </w:rPr>
        <w:t xml:space="preserve">The following examples represent commonly applied principles within Capgemini architecture engagements.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Principle</w:t>
            </w:r>
          </w:p>
        </w:tc>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Statement</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Design for Reuse</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Architecture components should be designed to be reused across multiple solutions, reducing duplication and cost.</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Cloud First</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Cloud-based solutions are the default choice unless a clear justification exists for on-premises deployment.</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Security by Design</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Security controls are embedded into the architecture from the outset, not added retrospectively.</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Loose Coupling</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Components should interact through well-defined interfaces, minimising dependencies that restrict change.</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Data as an Asset</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Data is treated as a strategic asset of the organisation, governed, managed, and made accessible appropriately.</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Separation of Concerns</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Architecture layers and components should have clearly defined responsibilities with minimal overlap.</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Interoperability</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Solutions must be designed to integrate with existing and future systems using open standards.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Business Alignment</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Every architectural decision must be traceable to a business capability or business outcome.</w:t>
            </w:r>
          </w:p>
        </w:tc>
      </w:tr>
    </w:tbl>
    <w:p>
      <w:pPr>
        <w:spacing w:before="0" w:after="120"/>
      </w:pPr>
    </w:p>
    <w:p>
      <w:pPr>
        <w:pStyle w:val="Heading2"/>
        <w:spacing w:before="280" w:after="140"/>
      </w:pPr>
      <w:r>
        <w:rPr>
          <w:rFonts w:ascii="Arial" w:cs="Arial" w:eastAsia="Arial" w:hAnsi="Arial"/>
          <w:b/>
          <w:bCs/>
          <w:color w:val="005A8E"/>
          <w:sz w:val="28"/>
          <w:szCs w:val="28"/>
        </w:rPr>
        <w:t xml:space="preserve">2.4 How Principles Guide Architecture Decisions</w:t>
      </w:r>
    </w:p>
    <w:p>
      <w:pPr>
        <w:spacing w:before="80" w:after="120"/>
        <w:jc w:val="both"/>
      </w:pPr>
      <w:r>
        <w:rPr>
          <w:rFonts w:ascii="Arial" w:cs="Arial" w:eastAsia="Arial" w:hAnsi="Arial"/>
          <w:color w:val="333333"/>
          <w:sz w:val="22"/>
          <w:szCs w:val="22"/>
        </w:rPr>
        <w:t xml:space="preserve">During architecture design, principles are applied as a filter. When evaluating competing design options, the architecture team assesses each option against the applicable principles. Options that violate core principles are either rejected or require a formal exception to be raised through the architecture governance process.</w:t>
      </w:r>
    </w:p>
    <w:p>
      <w:pPr>
        <w:spacing w:before="80" w:after="120"/>
        <w:jc w:val="both"/>
      </w:pPr>
      <w:r>
        <w:rPr>
          <w:rFonts w:ascii="Arial" w:cs="Arial" w:eastAsia="Arial" w:hAnsi="Arial"/>
          <w:color w:val="333333"/>
          <w:sz w:val="22"/>
          <w:szCs w:val="22"/>
        </w:rPr>
        <w:t xml:space="preserve">Principles also play a role in architecture reviews. Reviewers use the principles as a checklist to assess whether a proposed design is consistent with the agreed architecture stance. This makes principles a governance instrument as much as a design tool.</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3  </w:t>
      </w:r>
      <w:r>
        <w:rPr>
          <w:rFonts w:ascii="Arial" w:cs="Arial" w:eastAsia="Arial" w:hAnsi="Arial"/>
          <w:b/>
          <w:bCs/>
          <w:color w:val="0070AD"/>
          <w:sz w:val="44"/>
          <w:szCs w:val="44"/>
        </w:rPr>
        <w:t xml:space="preserve">Architecture Layers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3. Architecture Layers</w:t>
      </w:r>
    </w:p>
    <w:p>
      <w:pPr>
        <w:spacing w:before="80" w:after="120"/>
        <w:jc w:val="both"/>
      </w:pPr>
      <w:r>
        <w:rPr>
          <w:rFonts w:ascii="Arial" w:cs="Arial" w:eastAsia="Arial" w:hAnsi="Arial"/>
          <w:color w:val="333333"/>
          <w:sz w:val="22"/>
          <w:szCs w:val="22"/>
        </w:rPr>
        <w:t xml:space="preserve">Capgemini organises enterprise architecture into distinct layers. Each layer addresses a different aspect of the enterprise. Together, they form a comprehensive and coherent view of the organisation from business strategy down to physical infrastructure.</w:t>
      </w:r>
    </w:p>
    <w:p>
      <w:pPr>
        <w:spacing w:before="0" w:after="120"/>
      </w:pPr>
    </w:p>
    <w:p>
      <w:pPr>
        <w:pStyle w:val="Heading2"/>
        <w:spacing w:before="280" w:after="140"/>
      </w:pPr>
      <w:r>
        <w:rPr>
          <w:rFonts w:ascii="Arial" w:cs="Arial" w:eastAsia="Arial" w:hAnsi="Arial"/>
          <w:b/>
          <w:bCs/>
          <w:color w:val="005A8E"/>
          <w:sz w:val="28"/>
          <w:szCs w:val="28"/>
        </w:rPr>
        <w:t xml:space="preserve">3.1 Business Architecture</w:t>
      </w:r>
    </w:p>
    <w:p>
      <w:pPr>
        <w:spacing w:before="80" w:after="120"/>
        <w:jc w:val="both"/>
      </w:pPr>
      <w:r>
        <w:rPr>
          <w:rFonts w:ascii="Arial" w:cs="Arial" w:eastAsia="Arial" w:hAnsi="Arial"/>
          <w:color w:val="333333"/>
          <w:sz w:val="22"/>
          <w:szCs w:val="22"/>
        </w:rPr>
        <w:t xml:space="preserve">Business Architecture describes the structure and operation of the enterprise from a business perspective. It focuses on capabilities, processes, roles, and organisational structures.</w:t>
      </w:r>
    </w:p>
    <w:p>
      <w:pPr>
        <w:spacing w:before="80" w:after="120"/>
        <w:jc w:val="both"/>
      </w:pPr>
      <w:r>
        <w:rPr>
          <w:rFonts w:ascii="Arial" w:cs="Arial" w:eastAsia="Arial" w:hAnsi="Arial"/>
          <w:color w:val="333333"/>
          <w:sz w:val="22"/>
          <w:szCs w:val="22"/>
        </w:rPr>
        <w:t xml:space="preserve">Key components include:</w:t>
      </w:r>
    </w:p>
    <w:p>
      <w:pPr>
        <w:pStyle w:val="ListParagraph"/>
        <w:numPr>
          <w:ilvl w:val="0"/>
          <w:numId w:val="2"/>
        </w:numPr>
        <w:spacing w:before="60" w:after="60"/>
      </w:pPr>
      <w:r>
        <w:rPr>
          <w:rFonts w:ascii="Arial" w:cs="Arial" w:eastAsia="Arial" w:hAnsi="Arial"/>
          <w:color w:val="333333"/>
          <w:sz w:val="22"/>
          <w:szCs w:val="22"/>
        </w:rPr>
        <w:t xml:space="preserve">Business Capability Maps, which define what the organisation does, independent of how it does it.</w:t>
      </w:r>
    </w:p>
    <w:p>
      <w:pPr>
        <w:pStyle w:val="ListParagraph"/>
        <w:numPr>
          <w:ilvl w:val="0"/>
          <w:numId w:val="2"/>
        </w:numPr>
        <w:spacing w:before="60" w:after="60"/>
      </w:pPr>
      <w:r>
        <w:rPr>
          <w:rFonts w:ascii="Arial" w:cs="Arial" w:eastAsia="Arial" w:hAnsi="Arial"/>
          <w:color w:val="333333"/>
          <w:sz w:val="22"/>
          <w:szCs w:val="22"/>
        </w:rPr>
        <w:t xml:space="preserve">Value Streams, which trace how value is created for customers from end to end.</w:t>
      </w:r>
    </w:p>
    <w:p>
      <w:pPr>
        <w:pStyle w:val="ListParagraph"/>
        <w:numPr>
          <w:ilvl w:val="0"/>
          <w:numId w:val="2"/>
        </w:numPr>
        <w:spacing w:before="60" w:after="60"/>
      </w:pPr>
      <w:r>
        <w:rPr>
          <w:rFonts w:ascii="Arial" w:cs="Arial" w:eastAsia="Arial" w:hAnsi="Arial"/>
          <w:color w:val="333333"/>
          <w:sz w:val="22"/>
          <w:szCs w:val="22"/>
        </w:rPr>
        <w:t xml:space="preserve">Business Process Models, which describe how work flows within and between organisational units.</w:t>
      </w:r>
    </w:p>
    <w:p>
      <w:pPr>
        <w:pStyle w:val="ListParagraph"/>
        <w:numPr>
          <w:ilvl w:val="0"/>
          <w:numId w:val="2"/>
        </w:numPr>
        <w:spacing w:before="60" w:after="60"/>
      </w:pPr>
      <w:r>
        <w:rPr>
          <w:rFonts w:ascii="Arial" w:cs="Arial" w:eastAsia="Arial" w:hAnsi="Arial"/>
          <w:color w:val="333333"/>
          <w:sz w:val="22"/>
          <w:szCs w:val="22"/>
        </w:rPr>
        <w:t xml:space="preserve">Organisational Structures, which define roles, responsibilities, and reporting relationships.</w:t>
      </w:r>
    </w:p>
    <w:p>
      <w:pPr>
        <w:spacing w:before="80" w:after="120"/>
        <w:jc w:val="both"/>
      </w:pPr>
      <w:r>
        <w:rPr>
          <w:rFonts w:ascii="Arial" w:cs="Arial" w:eastAsia="Arial" w:hAnsi="Arial"/>
          <w:color w:val="333333"/>
          <w:sz w:val="22"/>
          <w:szCs w:val="22"/>
        </w:rPr>
        <w:t xml:space="preserve">Business Architecture serves as the foundation upon which all other architecture layers are built. It ensures that technology solutions are designed to support genuine business needs rather than assumed technical requirements.</w:t>
      </w:r>
    </w:p>
    <w:p>
      <w:pPr>
        <w:spacing w:before="0" w:after="120"/>
      </w:pPr>
    </w:p>
    <w:p>
      <w:pPr>
        <w:pStyle w:val="Heading2"/>
        <w:spacing w:before="280" w:after="140"/>
      </w:pPr>
      <w:r>
        <w:rPr>
          <w:rFonts w:ascii="Arial" w:cs="Arial" w:eastAsia="Arial" w:hAnsi="Arial"/>
          <w:b/>
          <w:bCs/>
          <w:color w:val="005A8E"/>
          <w:sz w:val="28"/>
          <w:szCs w:val="28"/>
        </w:rPr>
        <w:t xml:space="preserve">3.2 Information and Data Architecture</w:t>
      </w:r>
    </w:p>
    <w:p>
      <w:pPr>
        <w:spacing w:before="80" w:after="120"/>
        <w:jc w:val="both"/>
      </w:pPr>
      <w:r>
        <w:rPr>
          <w:rFonts w:ascii="Arial" w:cs="Arial" w:eastAsia="Arial" w:hAnsi="Arial"/>
          <w:color w:val="333333"/>
          <w:sz w:val="22"/>
          <w:szCs w:val="22"/>
        </w:rPr>
        <w:t xml:space="preserve">Information and Data Architecture defines how data is structured, stored, managed, and used across the enterprise. In an era of digital transformation, this layer is increasingly strategic.</w:t>
      </w:r>
    </w:p>
    <w:p>
      <w:pPr>
        <w:spacing w:before="80" w:after="120"/>
        <w:jc w:val="both"/>
      </w:pPr>
      <w:r>
        <w:rPr>
          <w:rFonts w:ascii="Arial" w:cs="Arial" w:eastAsia="Arial" w:hAnsi="Arial"/>
          <w:color w:val="333333"/>
          <w:sz w:val="22"/>
          <w:szCs w:val="22"/>
        </w:rPr>
        <w:t xml:space="preserve">Key components include:</w:t>
      </w:r>
    </w:p>
    <w:p>
      <w:pPr>
        <w:pStyle w:val="ListParagraph"/>
        <w:numPr>
          <w:ilvl w:val="0"/>
          <w:numId w:val="2"/>
        </w:numPr>
        <w:spacing w:before="60" w:after="60"/>
      </w:pPr>
      <w:r>
        <w:rPr>
          <w:rFonts w:ascii="Arial" w:cs="Arial" w:eastAsia="Arial" w:hAnsi="Arial"/>
          <w:color w:val="333333"/>
          <w:sz w:val="22"/>
          <w:szCs w:val="22"/>
        </w:rPr>
        <w:t xml:space="preserve">Data Models, which describe the structure and relationships of data entities.</w:t>
      </w:r>
    </w:p>
    <w:p>
      <w:pPr>
        <w:pStyle w:val="ListParagraph"/>
        <w:numPr>
          <w:ilvl w:val="0"/>
          <w:numId w:val="2"/>
        </w:numPr>
        <w:spacing w:before="60" w:after="60"/>
      </w:pPr>
      <w:r>
        <w:rPr>
          <w:rFonts w:ascii="Arial" w:cs="Arial" w:eastAsia="Arial" w:hAnsi="Arial"/>
          <w:color w:val="333333"/>
          <w:sz w:val="22"/>
          <w:szCs w:val="22"/>
        </w:rPr>
        <w:t xml:space="preserve">Data Governance Frameworks, which define policies for data ownership, quality, and access.</w:t>
      </w:r>
    </w:p>
    <w:p>
      <w:pPr>
        <w:pStyle w:val="ListParagraph"/>
        <w:numPr>
          <w:ilvl w:val="0"/>
          <w:numId w:val="2"/>
        </w:numPr>
        <w:spacing w:before="60" w:after="60"/>
      </w:pPr>
      <w:r>
        <w:rPr>
          <w:rFonts w:ascii="Arial" w:cs="Arial" w:eastAsia="Arial" w:hAnsi="Arial"/>
          <w:color w:val="333333"/>
          <w:sz w:val="22"/>
          <w:szCs w:val="22"/>
        </w:rPr>
        <w:t xml:space="preserve">Master Data Management strategies, which ensure that critical data entities have a single, authoritative source.</w:t>
      </w:r>
    </w:p>
    <w:p>
      <w:pPr>
        <w:pStyle w:val="ListParagraph"/>
        <w:numPr>
          <w:ilvl w:val="0"/>
          <w:numId w:val="2"/>
        </w:numPr>
        <w:spacing w:before="60" w:after="60"/>
      </w:pPr>
      <w:r>
        <w:rPr>
          <w:rFonts w:ascii="Arial" w:cs="Arial" w:eastAsia="Arial" w:hAnsi="Arial"/>
          <w:color w:val="333333"/>
          <w:sz w:val="22"/>
          <w:szCs w:val="22"/>
        </w:rPr>
        <w:t xml:space="preserve">Data Platform Architectures, including data warehouses, data lakes, and data mesh designs.</w:t>
      </w:r>
    </w:p>
    <w:p>
      <w:pPr>
        <w:pStyle w:val="ListParagraph"/>
        <w:numPr>
          <w:ilvl w:val="0"/>
          <w:numId w:val="2"/>
        </w:numPr>
        <w:spacing w:before="60" w:after="60"/>
      </w:pPr>
      <w:r>
        <w:rPr>
          <w:rFonts w:ascii="Arial" w:cs="Arial" w:eastAsia="Arial" w:hAnsi="Arial"/>
          <w:color w:val="333333"/>
          <w:sz w:val="22"/>
          <w:szCs w:val="22"/>
        </w:rPr>
        <w:t xml:space="preserve">Data Lineage documentation, which traces the origin, movement, and transformation of data across systems.</w:t>
      </w:r>
    </w:p>
    <w:p>
      <w:pPr>
        <w:spacing w:before="80" w:after="120"/>
        <w:jc w:val="both"/>
      </w:pPr>
      <w:r>
        <w:rPr>
          <w:rFonts w:ascii="Arial" w:cs="Arial" w:eastAsia="Arial" w:hAnsi="Arial"/>
          <w:color w:val="333333"/>
          <w:sz w:val="22"/>
          <w:szCs w:val="22"/>
        </w:rPr>
        <w:t xml:space="preserve">This layer directly supports analytics, artificial intelligence, and regulatory compliance initiatives.</w:t>
      </w:r>
    </w:p>
    <w:p>
      <w:pPr>
        <w:spacing w:before="0" w:after="120"/>
      </w:pPr>
    </w:p>
    <w:p>
      <w:pPr>
        <w:pStyle w:val="Heading2"/>
        <w:spacing w:before="280" w:after="140"/>
      </w:pPr>
      <w:r>
        <w:rPr>
          <w:rFonts w:ascii="Arial" w:cs="Arial" w:eastAsia="Arial" w:hAnsi="Arial"/>
          <w:b/>
          <w:bCs/>
          <w:color w:val="005A8E"/>
          <w:sz w:val="28"/>
          <w:szCs w:val="28"/>
        </w:rPr>
        <w:t xml:space="preserve">3.3 Application Architecture</w:t>
      </w:r>
    </w:p>
    <w:p>
      <w:pPr>
        <w:spacing w:before="80" w:after="120"/>
        <w:jc w:val="both"/>
      </w:pPr>
      <w:r>
        <w:rPr>
          <w:rFonts w:ascii="Arial" w:cs="Arial" w:eastAsia="Arial" w:hAnsi="Arial"/>
          <w:color w:val="333333"/>
          <w:sz w:val="22"/>
          <w:szCs w:val="22"/>
        </w:rPr>
        <w:t xml:space="preserve">Application Architecture describes the structure, behaviour, and interaction of the software applications that support business processes. It bridges the gap between business requirements and technology implementation.</w:t>
      </w:r>
    </w:p>
    <w:p>
      <w:pPr>
        <w:spacing w:before="80" w:after="120"/>
        <w:jc w:val="both"/>
      </w:pPr>
      <w:r>
        <w:rPr>
          <w:rFonts w:ascii="Arial" w:cs="Arial" w:eastAsia="Arial" w:hAnsi="Arial"/>
          <w:color w:val="333333"/>
          <w:sz w:val="22"/>
          <w:szCs w:val="22"/>
        </w:rPr>
        <w:t xml:space="preserve">Key components include:</w:t>
      </w:r>
    </w:p>
    <w:p>
      <w:pPr>
        <w:pStyle w:val="ListParagraph"/>
        <w:numPr>
          <w:ilvl w:val="0"/>
          <w:numId w:val="2"/>
        </w:numPr>
        <w:spacing w:before="60" w:after="60"/>
      </w:pPr>
      <w:r>
        <w:rPr>
          <w:rFonts w:ascii="Arial" w:cs="Arial" w:eastAsia="Arial" w:hAnsi="Arial"/>
          <w:color w:val="333333"/>
          <w:sz w:val="22"/>
          <w:szCs w:val="22"/>
        </w:rPr>
        <w:t xml:space="preserve">Application Portfolio Maps, which provide an inventory of all applications and their capabilities.</w:t>
      </w:r>
    </w:p>
    <w:p>
      <w:pPr>
        <w:pStyle w:val="ListParagraph"/>
        <w:numPr>
          <w:ilvl w:val="0"/>
          <w:numId w:val="2"/>
        </w:numPr>
        <w:spacing w:before="60" w:after="60"/>
      </w:pPr>
      <w:r>
        <w:rPr>
          <w:rFonts w:ascii="Arial" w:cs="Arial" w:eastAsia="Arial" w:hAnsi="Arial"/>
          <w:color w:val="333333"/>
          <w:sz w:val="22"/>
          <w:szCs w:val="22"/>
        </w:rPr>
        <w:t xml:space="preserve">Application Interaction Diagrams, which show how applications exchange data and invoke services.</w:t>
      </w:r>
    </w:p>
    <w:p>
      <w:pPr>
        <w:pStyle w:val="ListParagraph"/>
        <w:numPr>
          <w:ilvl w:val="0"/>
          <w:numId w:val="2"/>
        </w:numPr>
        <w:spacing w:before="60" w:after="60"/>
      </w:pPr>
      <w:r>
        <w:rPr>
          <w:rFonts w:ascii="Arial" w:cs="Arial" w:eastAsia="Arial" w:hAnsi="Arial"/>
          <w:color w:val="333333"/>
          <w:sz w:val="22"/>
          <w:szCs w:val="22"/>
        </w:rPr>
        <w:t xml:space="preserve">Component Diagrams, which illustrate the internal structure of complex applications.</w:t>
      </w:r>
    </w:p>
    <w:p>
      <w:pPr>
        <w:pStyle w:val="ListParagraph"/>
        <w:numPr>
          <w:ilvl w:val="0"/>
          <w:numId w:val="2"/>
        </w:numPr>
        <w:spacing w:before="60" w:after="60"/>
      </w:pPr>
      <w:r>
        <w:rPr>
          <w:rFonts w:ascii="Arial" w:cs="Arial" w:eastAsia="Arial" w:hAnsi="Arial"/>
          <w:color w:val="333333"/>
          <w:sz w:val="22"/>
          <w:szCs w:val="22"/>
        </w:rPr>
        <w:t xml:space="preserve">API Catalogues, which document the interfaces through which applications expose and consume services.</w:t>
      </w:r>
    </w:p>
    <w:p>
      <w:pPr>
        <w:spacing w:before="80" w:after="120"/>
        <w:jc w:val="both"/>
      </w:pPr>
      <w:r>
        <w:rPr>
          <w:rFonts w:ascii="Arial" w:cs="Arial" w:eastAsia="Arial" w:hAnsi="Arial"/>
          <w:color w:val="333333"/>
          <w:sz w:val="22"/>
          <w:szCs w:val="22"/>
        </w:rPr>
        <w:t xml:space="preserve">Modern Application Architecture increasingly favours microservices, event-driven designs, and API-first approaches that support agility and scalability.</w:t>
      </w:r>
    </w:p>
    <w:p>
      <w:pPr>
        <w:spacing w:before="0" w:after="120"/>
      </w:pPr>
    </w:p>
    <w:p>
      <w:pPr>
        <w:pStyle w:val="Heading2"/>
        <w:spacing w:before="280" w:after="140"/>
      </w:pPr>
      <w:r>
        <w:rPr>
          <w:rFonts w:ascii="Arial" w:cs="Arial" w:eastAsia="Arial" w:hAnsi="Arial"/>
          <w:b/>
          <w:bCs/>
          <w:color w:val="005A8E"/>
          <w:sz w:val="28"/>
          <w:szCs w:val="28"/>
        </w:rPr>
        <w:t xml:space="preserve">3.4 Technology and Infrastructure Architecture</w:t>
      </w:r>
    </w:p>
    <w:p>
      <w:pPr>
        <w:spacing w:before="80" w:after="120"/>
        <w:jc w:val="both"/>
      </w:pPr>
      <w:r>
        <w:rPr>
          <w:rFonts w:ascii="Arial" w:cs="Arial" w:eastAsia="Arial" w:hAnsi="Arial"/>
          <w:color w:val="333333"/>
          <w:sz w:val="22"/>
          <w:szCs w:val="22"/>
        </w:rPr>
        <w:t xml:space="preserve">Technology and Infrastructure Architecture defines the physical and virtual infrastructure on which applications and data platforms run. This includes compute, storage, network, and platform services.</w:t>
      </w:r>
    </w:p>
    <w:p>
      <w:pPr>
        <w:spacing w:before="80" w:after="120"/>
        <w:jc w:val="both"/>
      </w:pPr>
      <w:r>
        <w:rPr>
          <w:rFonts w:ascii="Arial" w:cs="Arial" w:eastAsia="Arial" w:hAnsi="Arial"/>
          <w:color w:val="333333"/>
          <w:sz w:val="22"/>
          <w:szCs w:val="22"/>
        </w:rPr>
        <w:t xml:space="preserve">Key components include:</w:t>
      </w:r>
    </w:p>
    <w:p>
      <w:pPr>
        <w:pStyle w:val="ListParagraph"/>
        <w:numPr>
          <w:ilvl w:val="0"/>
          <w:numId w:val="2"/>
        </w:numPr>
        <w:spacing w:before="60" w:after="60"/>
      </w:pPr>
      <w:r>
        <w:rPr>
          <w:rFonts w:ascii="Arial" w:cs="Arial" w:eastAsia="Arial" w:hAnsi="Arial"/>
          <w:color w:val="333333"/>
          <w:sz w:val="22"/>
          <w:szCs w:val="22"/>
        </w:rPr>
        <w:t xml:space="preserve">Infrastructure Topology Diagrams, which show the physical and logical layout of compute, storage, and network resources.</w:t>
      </w:r>
    </w:p>
    <w:p>
      <w:pPr>
        <w:pStyle w:val="ListParagraph"/>
        <w:numPr>
          <w:ilvl w:val="0"/>
          <w:numId w:val="2"/>
        </w:numPr>
        <w:spacing w:before="60" w:after="60"/>
      </w:pPr>
      <w:r>
        <w:rPr>
          <w:rFonts w:ascii="Arial" w:cs="Arial" w:eastAsia="Arial" w:hAnsi="Arial"/>
          <w:color w:val="333333"/>
          <w:sz w:val="22"/>
          <w:szCs w:val="22"/>
        </w:rPr>
        <w:t xml:space="preserve">Cloud Architecture Blueprints, which define how cloud services are consumed, managed, and governed.</w:t>
      </w:r>
    </w:p>
    <w:p>
      <w:pPr>
        <w:pStyle w:val="ListParagraph"/>
        <w:numPr>
          <w:ilvl w:val="0"/>
          <w:numId w:val="2"/>
        </w:numPr>
        <w:spacing w:before="60" w:after="60"/>
      </w:pPr>
      <w:r>
        <w:rPr>
          <w:rFonts w:ascii="Arial" w:cs="Arial" w:eastAsia="Arial" w:hAnsi="Arial"/>
          <w:color w:val="333333"/>
          <w:sz w:val="22"/>
          <w:szCs w:val="22"/>
        </w:rPr>
        <w:t xml:space="preserve">Platform Standards, which specify approved operating systems, database engines, and middleware products.</w:t>
      </w:r>
    </w:p>
    <w:p>
      <w:pPr>
        <w:pStyle w:val="ListParagraph"/>
        <w:numPr>
          <w:ilvl w:val="0"/>
          <w:numId w:val="2"/>
        </w:numPr>
        <w:spacing w:before="60" w:after="60"/>
      </w:pPr>
      <w:r>
        <w:rPr>
          <w:rFonts w:ascii="Arial" w:cs="Arial" w:eastAsia="Arial" w:hAnsi="Arial"/>
          <w:color w:val="333333"/>
          <w:sz w:val="22"/>
          <w:szCs w:val="22"/>
        </w:rPr>
        <w:t xml:space="preserve">Capacity and Resilience Models, which ensure that infrastructure meets performance and availability requirements.</w:t>
      </w:r>
    </w:p>
    <w:p>
      <w:pPr>
        <w:spacing w:before="0" w:after="120"/>
      </w:pPr>
    </w:p>
    <w:p>
      <w:pPr>
        <w:pStyle w:val="Heading2"/>
        <w:spacing w:before="280" w:after="140"/>
      </w:pPr>
      <w:r>
        <w:rPr>
          <w:rFonts w:ascii="Arial" w:cs="Arial" w:eastAsia="Arial" w:hAnsi="Arial"/>
          <w:b/>
          <w:bCs/>
          <w:color w:val="005A8E"/>
          <w:sz w:val="28"/>
          <w:szCs w:val="28"/>
        </w:rPr>
        <w:t xml:space="preserve">3.5 Security Architecture</w:t>
      </w:r>
    </w:p>
    <w:p>
      <w:pPr>
        <w:spacing w:before="80" w:after="120"/>
        <w:jc w:val="both"/>
      </w:pPr>
      <w:r>
        <w:rPr>
          <w:rFonts w:ascii="Arial" w:cs="Arial" w:eastAsia="Arial" w:hAnsi="Arial"/>
          <w:color w:val="333333"/>
          <w:sz w:val="22"/>
          <w:szCs w:val="22"/>
        </w:rPr>
        <w:t xml:space="preserve">Security Architecture defines the controls, mechanisms, and patterns that protect the enterprise's information assets and technology resources. It is not a separate concern but is embedded across all other architecture layers.</w:t>
      </w:r>
    </w:p>
    <w:p>
      <w:pPr>
        <w:spacing w:before="80" w:after="120"/>
        <w:jc w:val="both"/>
      </w:pPr>
      <w:r>
        <w:rPr>
          <w:rFonts w:ascii="Arial" w:cs="Arial" w:eastAsia="Arial" w:hAnsi="Arial"/>
          <w:color w:val="333333"/>
          <w:sz w:val="22"/>
          <w:szCs w:val="22"/>
        </w:rPr>
        <w:t xml:space="preserve">Key components include:</w:t>
      </w:r>
    </w:p>
    <w:p>
      <w:pPr>
        <w:pStyle w:val="ListParagraph"/>
        <w:numPr>
          <w:ilvl w:val="0"/>
          <w:numId w:val="2"/>
        </w:numPr>
        <w:spacing w:before="60" w:after="60"/>
      </w:pPr>
      <w:r>
        <w:rPr>
          <w:rFonts w:ascii="Arial" w:cs="Arial" w:eastAsia="Arial" w:hAnsi="Arial"/>
          <w:color w:val="333333"/>
          <w:sz w:val="22"/>
          <w:szCs w:val="22"/>
        </w:rPr>
        <w:t xml:space="preserve">Identity and Access Management designs, which control who can access which resources under what conditions.</w:t>
      </w:r>
    </w:p>
    <w:p>
      <w:pPr>
        <w:pStyle w:val="ListParagraph"/>
        <w:numPr>
          <w:ilvl w:val="0"/>
          <w:numId w:val="2"/>
        </w:numPr>
        <w:spacing w:before="60" w:after="60"/>
      </w:pPr>
      <w:r>
        <w:rPr>
          <w:rFonts w:ascii="Arial" w:cs="Arial" w:eastAsia="Arial" w:hAnsi="Arial"/>
          <w:color w:val="333333"/>
          <w:sz w:val="22"/>
          <w:szCs w:val="22"/>
        </w:rPr>
        <w:t xml:space="preserve">Network Security Architecture, including firewalls, segmentation, and zero-trust network designs.</w:t>
      </w:r>
    </w:p>
    <w:p>
      <w:pPr>
        <w:pStyle w:val="ListParagraph"/>
        <w:numPr>
          <w:ilvl w:val="0"/>
          <w:numId w:val="2"/>
        </w:numPr>
        <w:spacing w:before="60" w:after="60"/>
      </w:pPr>
      <w:r>
        <w:rPr>
          <w:rFonts w:ascii="Arial" w:cs="Arial" w:eastAsia="Arial" w:hAnsi="Arial"/>
          <w:color w:val="333333"/>
          <w:sz w:val="22"/>
          <w:szCs w:val="22"/>
        </w:rPr>
        <w:t xml:space="preserve">Data Security Controls, including encryption standards, data masking, and data residency policies.</w:t>
      </w:r>
    </w:p>
    <w:p>
      <w:pPr>
        <w:pStyle w:val="ListParagraph"/>
        <w:numPr>
          <w:ilvl w:val="0"/>
          <w:numId w:val="2"/>
        </w:numPr>
        <w:spacing w:before="60" w:after="60"/>
      </w:pPr>
      <w:r>
        <w:rPr>
          <w:rFonts w:ascii="Arial" w:cs="Arial" w:eastAsia="Arial" w:hAnsi="Arial"/>
          <w:color w:val="333333"/>
          <w:sz w:val="22"/>
          <w:szCs w:val="22"/>
        </w:rPr>
        <w:t xml:space="preserve">Threat Models, which identify and prioritise potential security risks in the architecture.</w:t>
      </w:r>
    </w:p>
    <w:p>
      <w:pPr>
        <w:pStyle w:val="ListParagraph"/>
        <w:numPr>
          <w:ilvl w:val="0"/>
          <w:numId w:val="2"/>
        </w:numPr>
        <w:spacing w:before="60" w:after="60"/>
      </w:pPr>
      <w:r>
        <w:rPr>
          <w:rFonts w:ascii="Arial" w:cs="Arial" w:eastAsia="Arial" w:hAnsi="Arial"/>
          <w:color w:val="333333"/>
          <w:sz w:val="22"/>
          <w:szCs w:val="22"/>
        </w:rPr>
        <w:t xml:space="preserve">Security Reference Architectures, which provide pre-approved patterns for common security use cases.</w:t>
      </w:r>
    </w:p>
    <w:p>
      <w:pPr>
        <w:spacing w:before="80" w:after="120"/>
        <w:jc w:val="both"/>
      </w:pPr>
      <w:r>
        <w:rPr>
          <w:rFonts w:ascii="Arial" w:cs="Arial" w:eastAsia="Arial" w:hAnsi="Arial"/>
          <w:color w:val="333333"/>
          <w:sz w:val="22"/>
          <w:szCs w:val="22"/>
        </w:rPr>
        <w:t xml:space="preserve">Capgemini applies a Security by Design approach, meaning security requirements are identified and addressed during architecture design, not as an afterthought.</w:t>
      </w:r>
    </w:p>
    <w:p>
      <w:pPr>
        <w:spacing w:before="0" w:after="120"/>
      </w:pPr>
    </w:p>
    <w:p>
      <w:pPr>
        <w:pStyle w:val="Heading2"/>
        <w:spacing w:before="280" w:after="140"/>
      </w:pPr>
      <w:r>
        <w:rPr>
          <w:rFonts w:ascii="Arial" w:cs="Arial" w:eastAsia="Arial" w:hAnsi="Arial"/>
          <w:b/>
          <w:bCs/>
          <w:color w:val="005A8E"/>
          <w:sz w:val="28"/>
          <w:szCs w:val="28"/>
        </w:rPr>
        <w:t xml:space="preserve">3.6 Integration Architecture</w:t>
      </w:r>
    </w:p>
    <w:p>
      <w:pPr>
        <w:spacing w:before="80" w:after="120"/>
        <w:jc w:val="both"/>
      </w:pPr>
      <w:r>
        <w:rPr>
          <w:rFonts w:ascii="Arial" w:cs="Arial" w:eastAsia="Arial" w:hAnsi="Arial"/>
          <w:color w:val="333333"/>
          <w:sz w:val="22"/>
          <w:szCs w:val="22"/>
        </w:rPr>
        <w:t xml:space="preserve">Integration Architecture defines how applications, data sources, and external systems communicate with one another. In complex enterprise environments, integration is often one of the most challenging architectural concerns.</w:t>
      </w:r>
    </w:p>
    <w:p>
      <w:pPr>
        <w:spacing w:before="80" w:after="120"/>
        <w:jc w:val="both"/>
      </w:pPr>
      <w:r>
        <w:rPr>
          <w:rFonts w:ascii="Arial" w:cs="Arial" w:eastAsia="Arial" w:hAnsi="Arial"/>
          <w:color w:val="333333"/>
          <w:sz w:val="22"/>
          <w:szCs w:val="22"/>
        </w:rPr>
        <w:t xml:space="preserve">Key components include:</w:t>
      </w:r>
    </w:p>
    <w:p>
      <w:pPr>
        <w:pStyle w:val="ListParagraph"/>
        <w:numPr>
          <w:ilvl w:val="0"/>
          <w:numId w:val="2"/>
        </w:numPr>
        <w:spacing w:before="60" w:after="60"/>
      </w:pPr>
      <w:r>
        <w:rPr>
          <w:rFonts w:ascii="Arial" w:cs="Arial" w:eastAsia="Arial" w:hAnsi="Arial"/>
          <w:color w:val="333333"/>
          <w:sz w:val="22"/>
          <w:szCs w:val="22"/>
        </w:rPr>
        <w:t xml:space="preserve">Integration Patterns, such as point-to-point, hub-and-spoke, and event-driven architectures.</w:t>
      </w:r>
    </w:p>
    <w:p>
      <w:pPr>
        <w:pStyle w:val="ListParagraph"/>
        <w:numPr>
          <w:ilvl w:val="0"/>
          <w:numId w:val="2"/>
        </w:numPr>
        <w:spacing w:before="60" w:after="60"/>
      </w:pPr>
      <w:r>
        <w:rPr>
          <w:rFonts w:ascii="Arial" w:cs="Arial" w:eastAsia="Arial" w:hAnsi="Arial"/>
          <w:color w:val="333333"/>
          <w:sz w:val="22"/>
          <w:szCs w:val="22"/>
        </w:rPr>
        <w:t xml:space="preserve">API Management Platforms, which govern the exposure and consumption of APIs across the enterprise.</w:t>
      </w:r>
    </w:p>
    <w:p>
      <w:pPr>
        <w:pStyle w:val="ListParagraph"/>
        <w:numPr>
          <w:ilvl w:val="0"/>
          <w:numId w:val="2"/>
        </w:numPr>
        <w:spacing w:before="60" w:after="60"/>
      </w:pPr>
      <w:r>
        <w:rPr>
          <w:rFonts w:ascii="Arial" w:cs="Arial" w:eastAsia="Arial" w:hAnsi="Arial"/>
          <w:color w:val="333333"/>
          <w:sz w:val="22"/>
          <w:szCs w:val="22"/>
        </w:rPr>
        <w:t xml:space="preserve">Message Brokers and Event Streaming Platforms, which decouple producers and consumers of data.</w:t>
      </w:r>
    </w:p>
    <w:p>
      <w:pPr>
        <w:pStyle w:val="ListParagraph"/>
        <w:numPr>
          <w:ilvl w:val="0"/>
          <w:numId w:val="2"/>
        </w:numPr>
        <w:spacing w:before="60" w:after="60"/>
      </w:pPr>
      <w:r>
        <w:rPr>
          <w:rFonts w:ascii="Arial" w:cs="Arial" w:eastAsia="Arial" w:hAnsi="Arial"/>
          <w:color w:val="333333"/>
          <w:sz w:val="22"/>
          <w:szCs w:val="22"/>
        </w:rPr>
        <w:t xml:space="preserve">Enterprise Service Bus designs, where applicable for legacy environments.</w:t>
      </w:r>
    </w:p>
    <w:p>
      <w:pPr>
        <w:pStyle w:val="ListParagraph"/>
        <w:numPr>
          <w:ilvl w:val="0"/>
          <w:numId w:val="2"/>
        </w:numPr>
        <w:spacing w:before="60" w:after="60"/>
      </w:pPr>
      <w:r>
        <w:rPr>
          <w:rFonts w:ascii="Arial" w:cs="Arial" w:eastAsia="Arial" w:hAnsi="Arial"/>
          <w:color w:val="333333"/>
          <w:sz w:val="22"/>
          <w:szCs w:val="22"/>
        </w:rPr>
        <w:t xml:space="preserve">Integration Standards, which define protocols, message formats, and data transformation rules.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4  </w:t>
      </w:r>
      <w:r>
        <w:rPr>
          <w:rFonts w:ascii="Arial" w:cs="Arial" w:eastAsia="Arial" w:hAnsi="Arial"/>
          <w:b/>
          <w:bCs/>
          <w:color w:val="0070AD"/>
          <w:sz w:val="44"/>
          <w:szCs w:val="44"/>
        </w:rPr>
        <w:t xml:space="preserve">Architecture Building Blocks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4. Architecture Building Blocks</w:t>
      </w:r>
    </w:p>
    <w:p>
      <w:pPr>
        <w:pStyle w:val="Heading2"/>
        <w:spacing w:before="280" w:after="140"/>
      </w:pPr>
      <w:r>
        <w:rPr>
          <w:rFonts w:ascii="Arial" w:cs="Arial" w:eastAsia="Arial" w:hAnsi="Arial"/>
          <w:b/>
          <w:bCs/>
          <w:color w:val="005A8E"/>
          <w:sz w:val="28"/>
          <w:szCs w:val="28"/>
        </w:rPr>
        <w:t xml:space="preserve">4.1 Definition</w:t>
      </w:r>
    </w:p>
    <w:p>
      <w:pPr>
        <w:spacing w:before="80" w:after="120"/>
        <w:jc w:val="both"/>
      </w:pPr>
      <w:r>
        <w:rPr>
          <w:rFonts w:ascii="Arial" w:cs="Arial" w:eastAsia="Arial" w:hAnsi="Arial"/>
          <w:color w:val="333333"/>
          <w:sz w:val="22"/>
          <w:szCs w:val="22"/>
        </w:rPr>
        <w:t xml:space="preserve">An Architecture Building Block, commonly abbreviated as ABB, is a reusable component of architecture that represents a defined capability, function, or piece of infrastructure. Building blocks are the modular units from which complex enterprise architectures are assembled.</w:t>
      </w:r>
    </w:p>
    <w:p>
      <w:pPr>
        <w:spacing w:before="80" w:after="120"/>
        <w:jc w:val="both"/>
      </w:pPr>
      <w:r>
        <w:rPr>
          <w:rFonts w:ascii="Arial" w:cs="Arial" w:eastAsia="Arial" w:hAnsi="Arial"/>
          <w:color w:val="333333"/>
          <w:sz w:val="22"/>
          <w:szCs w:val="22"/>
        </w:rPr>
        <w:t xml:space="preserve">The concept of building blocks is central to the TOGAF framework, which distinguishes between Architecture Building Blocks that describe capabilities and Solution Building Blocks that represent specific implementations. Capgemini applies this distinction in practice.</w:t>
      </w:r>
    </w:p>
    <w:p>
      <w:pPr>
        <w:spacing w:before="0" w:after="120"/>
      </w:pPr>
    </w:p>
    <w:p>
      <w:pPr>
        <w:pStyle w:val="Heading2"/>
        <w:spacing w:before="280" w:after="140"/>
      </w:pPr>
      <w:r>
        <w:rPr>
          <w:rFonts w:ascii="Arial" w:cs="Arial" w:eastAsia="Arial" w:hAnsi="Arial"/>
          <w:b/>
          <w:bCs/>
          <w:color w:val="005A8E"/>
          <w:sz w:val="28"/>
          <w:szCs w:val="28"/>
        </w:rPr>
        <w:t xml:space="preserve">4.2 Types of Building Blocks</w:t>
      </w:r>
    </w:p>
    <w:p>
      <w:pPr>
        <w:pStyle w:val="Heading3"/>
        <w:spacing w:before="200" w:after="100"/>
      </w:pPr>
      <w:r>
        <w:rPr>
          <w:rFonts w:ascii="Arial" w:cs="Arial" w:eastAsia="Arial" w:hAnsi="Arial"/>
          <w:b/>
          <w:bCs/>
          <w:color w:val="333333"/>
          <w:sz w:val="24"/>
          <w:szCs w:val="24"/>
        </w:rPr>
        <w:t xml:space="preserve">Logical Building Blocks</w:t>
      </w:r>
    </w:p>
    <w:p>
      <w:pPr>
        <w:spacing w:before="80" w:after="120"/>
        <w:jc w:val="both"/>
      </w:pPr>
      <w:r>
        <w:rPr>
          <w:rFonts w:ascii="Arial" w:cs="Arial" w:eastAsia="Arial" w:hAnsi="Arial"/>
          <w:color w:val="333333"/>
          <w:sz w:val="22"/>
          <w:szCs w:val="22"/>
        </w:rPr>
        <w:t xml:space="preserve">Logical Building Blocks describe what a component does without specifying how it is implemented. They exist at the conceptual or logical level of the architecture. They are technology-agnostic and stable across technology generations.</w:t>
      </w:r>
    </w:p>
    <w:p>
      <w:pPr>
        <w:spacing w:before="80" w:after="120"/>
        <w:jc w:val="both"/>
      </w:pPr>
      <w:r>
        <w:rPr>
          <w:rFonts w:ascii="Arial" w:cs="Arial" w:eastAsia="Arial" w:hAnsi="Arial"/>
          <w:color w:val="333333"/>
          <w:sz w:val="22"/>
          <w:szCs w:val="22"/>
        </w:rPr>
        <w:t xml:space="preserve">Examples of Logical Building Blocks include:</w:t>
      </w:r>
    </w:p>
    <w:p>
      <w:pPr>
        <w:pStyle w:val="ListParagraph"/>
        <w:numPr>
          <w:ilvl w:val="0"/>
          <w:numId w:val="2"/>
        </w:numPr>
        <w:spacing w:before="60" w:after="60"/>
      </w:pPr>
      <w:r>
        <w:rPr>
          <w:rFonts w:ascii="Arial" w:cs="Arial" w:eastAsia="Arial" w:hAnsi="Arial"/>
          <w:color w:val="333333"/>
          <w:sz w:val="22"/>
          <w:szCs w:val="22"/>
        </w:rPr>
        <w:t xml:space="preserve">Identity Provider: A component that authenticates users and issues credentials.</w:t>
      </w:r>
    </w:p>
    <w:p>
      <w:pPr>
        <w:pStyle w:val="ListParagraph"/>
        <w:numPr>
          <w:ilvl w:val="0"/>
          <w:numId w:val="2"/>
        </w:numPr>
        <w:spacing w:before="60" w:after="60"/>
      </w:pPr>
      <w:r>
        <w:rPr>
          <w:rFonts w:ascii="Arial" w:cs="Arial" w:eastAsia="Arial" w:hAnsi="Arial"/>
          <w:color w:val="333333"/>
          <w:sz w:val="22"/>
          <w:szCs w:val="22"/>
        </w:rPr>
        <w:t xml:space="preserve">Message Broker: A component that receives, routes, and delivers messages between systems.</w:t>
      </w:r>
    </w:p>
    <w:p>
      <w:pPr>
        <w:pStyle w:val="ListParagraph"/>
        <w:numPr>
          <w:ilvl w:val="0"/>
          <w:numId w:val="2"/>
        </w:numPr>
        <w:spacing w:before="60" w:after="60"/>
      </w:pPr>
      <w:r>
        <w:rPr>
          <w:rFonts w:ascii="Arial" w:cs="Arial" w:eastAsia="Arial" w:hAnsi="Arial"/>
          <w:color w:val="333333"/>
          <w:sz w:val="22"/>
          <w:szCs w:val="22"/>
        </w:rPr>
        <w:t xml:space="preserve">API Gateway: A component that manages, secures, and routes API calls.</w:t>
      </w:r>
    </w:p>
    <w:p>
      <w:pPr>
        <w:spacing w:before="0" w:after="120"/>
      </w:pPr>
    </w:p>
    <w:p>
      <w:pPr>
        <w:pStyle w:val="Heading3"/>
        <w:spacing w:before="200" w:after="100"/>
      </w:pPr>
      <w:r>
        <w:rPr>
          <w:rFonts w:ascii="Arial" w:cs="Arial" w:eastAsia="Arial" w:hAnsi="Arial"/>
          <w:b/>
          <w:bCs/>
          <w:color w:val="333333"/>
          <w:sz w:val="24"/>
          <w:szCs w:val="24"/>
        </w:rPr>
        <w:t xml:space="preserve">Physical Building Blocks</w:t>
      </w:r>
    </w:p>
    <w:p>
      <w:pPr>
        <w:spacing w:before="80" w:after="120"/>
        <w:jc w:val="both"/>
      </w:pPr>
      <w:r>
        <w:rPr>
          <w:rFonts w:ascii="Arial" w:cs="Arial" w:eastAsia="Arial" w:hAnsi="Arial"/>
          <w:color w:val="333333"/>
          <w:sz w:val="22"/>
          <w:szCs w:val="22"/>
        </w:rPr>
        <w:t xml:space="preserve">Physical Building Blocks are specific implementations of logical building blocks. They name actual products, platforms, or technology choices that fulfil the logical capability.</w:t>
      </w:r>
    </w:p>
    <w:p>
      <w:pPr>
        <w:spacing w:before="80" w:after="120"/>
        <w:jc w:val="both"/>
      </w:pPr>
      <w:r>
        <w:rPr>
          <w:rFonts w:ascii="Arial" w:cs="Arial" w:eastAsia="Arial" w:hAnsi="Arial"/>
          <w:color w:val="333333"/>
          <w:sz w:val="22"/>
          <w:szCs w:val="22"/>
        </w:rPr>
        <w:t xml:space="preserve">Examples of Physical Building Blocks include:</w:t>
      </w:r>
    </w:p>
    <w:p>
      <w:pPr>
        <w:pStyle w:val="ListParagraph"/>
        <w:numPr>
          <w:ilvl w:val="0"/>
          <w:numId w:val="2"/>
        </w:numPr>
        <w:spacing w:before="60" w:after="60"/>
      </w:pPr>
      <w:r>
        <w:rPr>
          <w:rFonts w:ascii="Arial" w:cs="Arial" w:eastAsia="Arial" w:hAnsi="Arial"/>
          <w:color w:val="333333"/>
          <w:sz w:val="22"/>
          <w:szCs w:val="22"/>
        </w:rPr>
        <w:t xml:space="preserve">Microsoft Azure Active Directory as the physical implementation of an Identity Provider.</w:t>
      </w:r>
    </w:p>
    <w:p>
      <w:pPr>
        <w:pStyle w:val="ListParagraph"/>
        <w:numPr>
          <w:ilvl w:val="0"/>
          <w:numId w:val="2"/>
        </w:numPr>
        <w:spacing w:before="60" w:after="60"/>
      </w:pPr>
      <w:r>
        <w:rPr>
          <w:rFonts w:ascii="Arial" w:cs="Arial" w:eastAsia="Arial" w:hAnsi="Arial"/>
          <w:color w:val="333333"/>
          <w:sz w:val="22"/>
          <w:szCs w:val="22"/>
        </w:rPr>
        <w:t xml:space="preserve">Apache Kafka as the physical implementation of a Message Broker.</w:t>
      </w:r>
    </w:p>
    <w:p>
      <w:pPr>
        <w:pStyle w:val="ListParagraph"/>
        <w:numPr>
          <w:ilvl w:val="0"/>
          <w:numId w:val="2"/>
        </w:numPr>
        <w:spacing w:before="60" w:after="60"/>
      </w:pPr>
      <w:r>
        <w:rPr>
          <w:rFonts w:ascii="Arial" w:cs="Arial" w:eastAsia="Arial" w:hAnsi="Arial"/>
          <w:color w:val="333333"/>
          <w:sz w:val="22"/>
          <w:szCs w:val="22"/>
        </w:rPr>
        <w:t xml:space="preserve">AWS API Gateway or Kong as physical implementations of an API Gateway.</w:t>
      </w:r>
    </w:p>
    <w:p>
      <w:pPr>
        <w:spacing w:before="0" w:after="120"/>
      </w:pPr>
    </w:p>
    <w:p>
      <w:pPr>
        <w:pStyle w:val="Heading2"/>
        <w:spacing w:before="280" w:after="140"/>
      </w:pPr>
      <w:r>
        <w:rPr>
          <w:rFonts w:ascii="Arial" w:cs="Arial" w:eastAsia="Arial" w:hAnsi="Arial"/>
          <w:b/>
          <w:bCs/>
          <w:color w:val="005A8E"/>
          <w:sz w:val="28"/>
          <w:szCs w:val="28"/>
        </w:rPr>
        <w:t xml:space="preserve">4.3 How Building Blocks Are Reused</w:t>
      </w:r>
    </w:p>
    <w:p>
      <w:pPr>
        <w:spacing w:before="80" w:after="120"/>
        <w:jc w:val="both"/>
      </w:pPr>
      <w:r>
        <w:rPr>
          <w:rFonts w:ascii="Arial" w:cs="Arial" w:eastAsia="Arial" w:hAnsi="Arial"/>
          <w:color w:val="333333"/>
          <w:sz w:val="22"/>
          <w:szCs w:val="22"/>
        </w:rPr>
        <w:t xml:space="preserve">The power of building blocks lies in their reusability. Once a building block has been designed, validated, and approved through governance, it can be drawn upon by multiple solution teams across different programmes. This produces several benefits.</w:t>
      </w:r>
    </w:p>
    <w:p>
      <w:pPr>
        <w:pStyle w:val="ListParagraph"/>
        <w:numPr>
          <w:ilvl w:val="0"/>
          <w:numId w:val="2"/>
        </w:numPr>
        <w:spacing w:before="60" w:after="60"/>
      </w:pPr>
      <w:r>
        <w:rPr>
          <w:rFonts w:ascii="Arial" w:cs="Arial" w:eastAsia="Arial" w:hAnsi="Arial"/>
          <w:color w:val="333333"/>
          <w:sz w:val="22"/>
          <w:szCs w:val="22"/>
        </w:rPr>
        <w:t xml:space="preserve">Consistency across solutions that use the same capability.</w:t>
      </w:r>
    </w:p>
    <w:p>
      <w:pPr>
        <w:pStyle w:val="ListParagraph"/>
        <w:numPr>
          <w:ilvl w:val="0"/>
          <w:numId w:val="2"/>
        </w:numPr>
        <w:spacing w:before="60" w:after="60"/>
      </w:pPr>
      <w:r>
        <w:rPr>
          <w:rFonts w:ascii="Arial" w:cs="Arial" w:eastAsia="Arial" w:hAnsi="Arial"/>
          <w:color w:val="333333"/>
          <w:sz w:val="22"/>
          <w:szCs w:val="22"/>
        </w:rPr>
        <w:t xml:space="preserve">Reduced design time because architects do not need to design the same component from scratch.</w:t>
      </w:r>
    </w:p>
    <w:p>
      <w:pPr>
        <w:pStyle w:val="ListParagraph"/>
        <w:numPr>
          <w:ilvl w:val="0"/>
          <w:numId w:val="2"/>
        </w:numPr>
        <w:spacing w:before="60" w:after="60"/>
      </w:pPr>
      <w:r>
        <w:rPr>
          <w:rFonts w:ascii="Arial" w:cs="Arial" w:eastAsia="Arial" w:hAnsi="Arial"/>
          <w:color w:val="333333"/>
          <w:sz w:val="22"/>
          <w:szCs w:val="22"/>
        </w:rPr>
        <w:t xml:space="preserve">Lower risk because approved building blocks have been tested and validated.</w:t>
      </w:r>
    </w:p>
    <w:p>
      <w:pPr>
        <w:pStyle w:val="ListParagraph"/>
        <w:numPr>
          <w:ilvl w:val="0"/>
          <w:numId w:val="2"/>
        </w:numPr>
        <w:spacing w:before="60" w:after="60"/>
      </w:pPr>
      <w:r>
        <w:rPr>
          <w:rFonts w:ascii="Arial" w:cs="Arial" w:eastAsia="Arial" w:hAnsi="Arial"/>
          <w:color w:val="333333"/>
          <w:sz w:val="22"/>
          <w:szCs w:val="22"/>
        </w:rPr>
        <w:t xml:space="preserve">Improved governance because the set of approved building blocks forms a controlled catalogue.</w:t>
      </w:r>
    </w:p>
    <w:p>
      <w:pPr>
        <w:spacing w:before="80" w:after="120"/>
        <w:jc w:val="both"/>
      </w:pPr>
      <w:r>
        <w:rPr>
          <w:rFonts w:ascii="Arial" w:cs="Arial" w:eastAsia="Arial" w:hAnsi="Arial"/>
          <w:color w:val="333333"/>
          <w:sz w:val="22"/>
          <w:szCs w:val="22"/>
        </w:rPr>
        <w:t xml:space="preserve">Capgemini maintains a curated catalogue of approved building blocks for common enterprise capabilities. This catalogue is reviewed and updated as part of the ongoing architecture governance process.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5  </w:t>
      </w:r>
      <w:r>
        <w:rPr>
          <w:rFonts w:ascii="Arial" w:cs="Arial" w:eastAsia="Arial" w:hAnsi="Arial"/>
          <w:b/>
          <w:bCs/>
          <w:color w:val="0070AD"/>
          <w:sz w:val="44"/>
          <w:szCs w:val="44"/>
        </w:rPr>
        <w:t xml:space="preserve">Architecture Governance</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5. Architecture Governance</w:t>
      </w:r>
    </w:p>
    <w:p>
      <w:pPr>
        <w:pStyle w:val="Heading2"/>
        <w:spacing w:before="280" w:after="140"/>
      </w:pPr>
      <w:r>
        <w:rPr>
          <w:rFonts w:ascii="Arial" w:cs="Arial" w:eastAsia="Arial" w:hAnsi="Arial"/>
          <w:b/>
          <w:bCs/>
          <w:color w:val="005A8E"/>
          <w:sz w:val="28"/>
          <w:szCs w:val="28"/>
        </w:rPr>
        <w:t xml:space="preserve">5.1 Purpose of Governance</w:t>
      </w:r>
    </w:p>
    <w:p>
      <w:pPr>
        <w:spacing w:before="80" w:after="120"/>
        <w:jc w:val="both"/>
      </w:pPr>
      <w:r>
        <w:rPr>
          <w:rFonts w:ascii="Arial" w:cs="Arial" w:eastAsia="Arial" w:hAnsi="Arial"/>
          <w:color w:val="333333"/>
          <w:sz w:val="22"/>
          <w:szCs w:val="22"/>
        </w:rPr>
        <w:t xml:space="preserve">Architecture Governance is the practice of monitoring, controlling, and guiding architectural decisions to ensure they remain aligned with agreed principles, standards, and strategic direction. Without governance, architecture tends to drift. Solutions deviate from standards. Technical debt accumulates. Integration becomes increasingly complex and costly.</w:t>
      </w:r>
    </w:p>
    <w:p>
      <w:pPr>
        <w:spacing w:before="80" w:after="120"/>
        <w:jc w:val="both"/>
      </w:pPr>
      <w:r>
        <w:rPr>
          <w:rFonts w:ascii="Arial" w:cs="Arial" w:eastAsia="Arial" w:hAnsi="Arial"/>
          <w:color w:val="333333"/>
          <w:sz w:val="22"/>
          <w:szCs w:val="22"/>
        </w:rPr>
        <w:t xml:space="preserve">Governance serves four primary purposes.</w:t>
      </w:r>
    </w:p>
    <w:p>
      <w:pPr>
        <w:pStyle w:val="ListParagraph"/>
        <w:numPr>
          <w:ilvl w:val="0"/>
          <w:numId w:val="3"/>
        </w:numPr>
        <w:spacing w:before="60" w:after="60"/>
      </w:pPr>
      <w:r>
        <w:rPr>
          <w:rFonts w:ascii="Arial" w:cs="Arial" w:eastAsia="Arial" w:hAnsi="Arial"/>
          <w:color w:val="333333"/>
          <w:sz w:val="22"/>
          <w:szCs w:val="22"/>
        </w:rPr>
        <w:t xml:space="preserve">It ensures compliance with architecture principles and standards.</w:t>
      </w:r>
    </w:p>
    <w:p>
      <w:pPr>
        <w:pStyle w:val="ListParagraph"/>
        <w:numPr>
          <w:ilvl w:val="0"/>
          <w:numId w:val="3"/>
        </w:numPr>
        <w:spacing w:before="60" w:after="60"/>
      </w:pPr>
      <w:r>
        <w:rPr>
          <w:rFonts w:ascii="Arial" w:cs="Arial" w:eastAsia="Arial" w:hAnsi="Arial"/>
          <w:color w:val="333333"/>
          <w:sz w:val="22"/>
          <w:szCs w:val="22"/>
        </w:rPr>
        <w:t xml:space="preserve">It provides a formal mechanism for managing exceptions and deviations.</w:t>
      </w:r>
    </w:p>
    <w:p>
      <w:pPr>
        <w:pStyle w:val="ListParagraph"/>
        <w:numPr>
          <w:ilvl w:val="0"/>
          <w:numId w:val="3"/>
        </w:numPr>
        <w:spacing w:before="60" w:after="60"/>
      </w:pPr>
      <w:r>
        <w:rPr>
          <w:rFonts w:ascii="Arial" w:cs="Arial" w:eastAsia="Arial" w:hAnsi="Arial"/>
          <w:color w:val="333333"/>
          <w:sz w:val="22"/>
          <w:szCs w:val="22"/>
        </w:rPr>
        <w:t xml:space="preserve">It creates traceability between architecture decisions and business outcomes.</w:t>
      </w:r>
    </w:p>
    <w:p>
      <w:pPr>
        <w:pStyle w:val="ListParagraph"/>
        <w:numPr>
          <w:ilvl w:val="0"/>
          <w:numId w:val="3"/>
        </w:numPr>
        <w:spacing w:before="60" w:after="60"/>
      </w:pPr>
      <w:r>
        <w:rPr>
          <w:rFonts w:ascii="Arial" w:cs="Arial" w:eastAsia="Arial" w:hAnsi="Arial"/>
          <w:color w:val="333333"/>
          <w:sz w:val="22"/>
          <w:szCs w:val="22"/>
        </w:rPr>
        <w:t xml:space="preserve">It promotes the reuse of approved patterns and building blocks.</w:t>
      </w:r>
    </w:p>
    <w:p>
      <w:pPr>
        <w:spacing w:before="0" w:after="120"/>
      </w:pPr>
    </w:p>
    <w:p>
      <w:pPr>
        <w:pStyle w:val="Heading2"/>
        <w:spacing w:before="280" w:after="140"/>
      </w:pPr>
      <w:r>
        <w:rPr>
          <w:rFonts w:ascii="Arial" w:cs="Arial" w:eastAsia="Arial" w:hAnsi="Arial"/>
          <w:b/>
          <w:bCs/>
          <w:color w:val="005A8E"/>
          <w:sz w:val="28"/>
          <w:szCs w:val="28"/>
        </w:rPr>
        <w:t xml:space="preserve">5.2 Architecture Review Boards</w:t>
      </w:r>
    </w:p>
    <w:p>
      <w:pPr>
        <w:spacing w:before="80" w:after="120"/>
        <w:jc w:val="both"/>
      </w:pPr>
      <w:r>
        <w:rPr>
          <w:rFonts w:ascii="Arial" w:cs="Arial" w:eastAsia="Arial" w:hAnsi="Arial"/>
          <w:color w:val="333333"/>
          <w:sz w:val="22"/>
          <w:szCs w:val="22"/>
        </w:rPr>
        <w:t xml:space="preserve">The Architecture Review Board, or ARB, is the primary governance body for architecture decisions. It provides oversight of significant architecture choices and ensures that proposed solutions are consistent with the enterprise architecture.</w:t>
      </w:r>
    </w:p>
    <w:p>
      <w:pPr>
        <w:spacing w:before="80" w:after="120"/>
        <w:jc w:val="both"/>
      </w:pPr>
      <w:r>
        <w:rPr>
          <w:rFonts w:ascii="Arial" w:cs="Arial" w:eastAsia="Arial" w:hAnsi="Arial"/>
          <w:color w:val="333333"/>
          <w:sz w:val="22"/>
          <w:szCs w:val="22"/>
        </w:rPr>
        <w:t xml:space="preserve">A typical ARB includes the following participants.</w:t>
      </w:r>
    </w:p>
    <w:p>
      <w:pPr>
        <w:pStyle w:val="ListParagraph"/>
        <w:numPr>
          <w:ilvl w:val="0"/>
          <w:numId w:val="2"/>
        </w:numPr>
        <w:spacing w:before="60" w:after="60"/>
      </w:pPr>
      <w:r>
        <w:rPr>
          <w:rFonts w:ascii="Arial" w:cs="Arial" w:eastAsia="Arial" w:hAnsi="Arial"/>
          <w:color w:val="333333"/>
          <w:sz w:val="22"/>
          <w:szCs w:val="22"/>
        </w:rPr>
        <w:t xml:space="preserve">Chief Architect or Enterprise Architect, who chairs the board.</w:t>
      </w:r>
    </w:p>
    <w:p>
      <w:pPr>
        <w:pStyle w:val="ListParagraph"/>
        <w:numPr>
          <w:ilvl w:val="0"/>
          <w:numId w:val="2"/>
        </w:numPr>
        <w:spacing w:before="60" w:after="60"/>
      </w:pPr>
      <w:r>
        <w:rPr>
          <w:rFonts w:ascii="Arial" w:cs="Arial" w:eastAsia="Arial" w:hAnsi="Arial"/>
          <w:color w:val="333333"/>
          <w:sz w:val="22"/>
          <w:szCs w:val="22"/>
        </w:rPr>
        <w:t xml:space="preserve">Domain Architects, who represent specific architecture layers such as security, data, and application.</w:t>
      </w:r>
    </w:p>
    <w:p>
      <w:pPr>
        <w:pStyle w:val="ListParagraph"/>
        <w:numPr>
          <w:ilvl w:val="0"/>
          <w:numId w:val="2"/>
        </w:numPr>
        <w:spacing w:before="60" w:after="60"/>
      </w:pPr>
      <w:r>
        <w:rPr>
          <w:rFonts w:ascii="Arial" w:cs="Arial" w:eastAsia="Arial" w:hAnsi="Arial"/>
          <w:color w:val="333333"/>
          <w:sz w:val="22"/>
          <w:szCs w:val="22"/>
        </w:rPr>
        <w:t xml:space="preserve">Solution Architects, who present proposals for review.</w:t>
      </w:r>
    </w:p>
    <w:p>
      <w:pPr>
        <w:pStyle w:val="ListParagraph"/>
        <w:numPr>
          <w:ilvl w:val="0"/>
          <w:numId w:val="2"/>
        </w:numPr>
        <w:spacing w:before="60" w:after="60"/>
      </w:pPr>
      <w:r>
        <w:rPr>
          <w:rFonts w:ascii="Arial" w:cs="Arial" w:eastAsia="Arial" w:hAnsi="Arial"/>
          <w:color w:val="333333"/>
          <w:sz w:val="22"/>
          <w:szCs w:val="22"/>
        </w:rPr>
        <w:t xml:space="preserve">Business Representatives, who provide business context and priority.</w:t>
      </w:r>
    </w:p>
    <w:p>
      <w:pPr>
        <w:pStyle w:val="ListParagraph"/>
        <w:numPr>
          <w:ilvl w:val="0"/>
          <w:numId w:val="2"/>
        </w:numPr>
        <w:spacing w:before="60" w:after="60"/>
      </w:pPr>
      <w:r>
        <w:rPr>
          <w:rFonts w:ascii="Arial" w:cs="Arial" w:eastAsia="Arial" w:hAnsi="Arial"/>
          <w:color w:val="333333"/>
          <w:sz w:val="22"/>
          <w:szCs w:val="22"/>
        </w:rPr>
        <w:t xml:space="preserve">Technology Leaders, who advise on technology strategy and capability.</w:t>
      </w:r>
    </w:p>
    <w:p>
      <w:pPr>
        <w:spacing w:before="80" w:after="120"/>
        <w:jc w:val="both"/>
      </w:pPr>
      <w:r>
        <w:rPr>
          <w:rFonts w:ascii="Arial" w:cs="Arial" w:eastAsia="Arial" w:hAnsi="Arial"/>
          <w:color w:val="333333"/>
          <w:sz w:val="22"/>
          <w:szCs w:val="22"/>
        </w:rPr>
        <w:t xml:space="preserve">ARB meetings follow a structured agenda. Solution proposals are presented against a set of defined review criteria. Decisions are recorded, including the rationale for approval, conditional approval, or rejection. All ARB decisions are maintained as a formal record.</w:t>
      </w:r>
    </w:p>
    <w:p>
      <w:pPr>
        <w:spacing w:before="0" w:after="120"/>
      </w:pPr>
    </w:p>
    <w:p>
      <w:pPr>
        <w:pStyle w:val="Heading2"/>
        <w:spacing w:before="280" w:after="140"/>
      </w:pPr>
      <w:r>
        <w:rPr>
          <w:rFonts w:ascii="Arial" w:cs="Arial" w:eastAsia="Arial" w:hAnsi="Arial"/>
          <w:b/>
          <w:bCs/>
          <w:color w:val="005A8E"/>
          <w:sz w:val="28"/>
          <w:szCs w:val="28"/>
        </w:rPr>
        <w:t xml:space="preserve">5.3 Compliance Processes</w:t>
      </w:r>
    </w:p>
    <w:p>
      <w:pPr>
        <w:spacing w:before="80" w:after="120"/>
        <w:jc w:val="both"/>
      </w:pPr>
      <w:r>
        <w:rPr>
          <w:rFonts w:ascii="Arial" w:cs="Arial" w:eastAsia="Arial" w:hAnsi="Arial"/>
          <w:color w:val="333333"/>
          <w:sz w:val="22"/>
          <w:szCs w:val="22"/>
        </w:rPr>
        <w:t xml:space="preserve">Architecture compliance is assessed at defined points in the delivery lifecycle. Typically, compliance checkpoints occur at the following stages.</w:t>
      </w:r>
    </w:p>
    <w:p>
      <w:pPr>
        <w:pStyle w:val="ListParagraph"/>
        <w:numPr>
          <w:ilvl w:val="0"/>
          <w:numId w:val="2"/>
        </w:numPr>
        <w:spacing w:before="60" w:after="60"/>
      </w:pPr>
      <w:r>
        <w:rPr>
          <w:rFonts w:ascii="Arial" w:cs="Arial" w:eastAsia="Arial" w:hAnsi="Arial"/>
          <w:color w:val="333333"/>
          <w:sz w:val="22"/>
          <w:szCs w:val="22"/>
        </w:rPr>
        <w:t xml:space="preserve">Architecture Definition: When the initial design is proposed and reviewed.</w:t>
      </w:r>
    </w:p>
    <w:p>
      <w:pPr>
        <w:pStyle w:val="ListParagraph"/>
        <w:numPr>
          <w:ilvl w:val="0"/>
          <w:numId w:val="2"/>
        </w:numPr>
        <w:spacing w:before="60" w:after="60"/>
      </w:pPr>
      <w:r>
        <w:rPr>
          <w:rFonts w:ascii="Arial" w:cs="Arial" w:eastAsia="Arial" w:hAnsi="Arial"/>
          <w:color w:val="333333"/>
          <w:sz w:val="22"/>
          <w:szCs w:val="22"/>
        </w:rPr>
        <w:t xml:space="preserve">Design Authority: Before significant development or procurement decisions are made.</w:t>
      </w:r>
    </w:p>
    <w:p>
      <w:pPr>
        <w:pStyle w:val="ListParagraph"/>
        <w:numPr>
          <w:ilvl w:val="0"/>
          <w:numId w:val="2"/>
        </w:numPr>
        <w:spacing w:before="60" w:after="60"/>
      </w:pPr>
      <w:r>
        <w:rPr>
          <w:rFonts w:ascii="Arial" w:cs="Arial" w:eastAsia="Arial" w:hAnsi="Arial"/>
          <w:color w:val="333333"/>
          <w:sz w:val="22"/>
          <w:szCs w:val="22"/>
        </w:rPr>
        <w:t xml:space="preserve">Pre-deployment: Before a solution is deployed into a production environment.</w:t>
      </w:r>
    </w:p>
    <w:p>
      <w:pPr>
        <w:pStyle w:val="ListParagraph"/>
        <w:numPr>
          <w:ilvl w:val="0"/>
          <w:numId w:val="2"/>
        </w:numPr>
        <w:spacing w:before="60" w:after="60"/>
      </w:pPr>
      <w:r>
        <w:rPr>
          <w:rFonts w:ascii="Arial" w:cs="Arial" w:eastAsia="Arial" w:hAnsi="Arial"/>
          <w:color w:val="333333"/>
          <w:sz w:val="22"/>
          <w:szCs w:val="22"/>
        </w:rPr>
        <w:t xml:space="preserve">Post-implementation Review: After deployment, to assess whether the solution meets its architecture commitments.</w:t>
      </w:r>
    </w:p>
    <w:p>
      <w:pPr>
        <w:spacing w:before="80" w:after="120"/>
        <w:jc w:val="both"/>
      </w:pPr>
      <w:r>
        <w:rPr>
          <w:rFonts w:ascii="Arial" w:cs="Arial" w:eastAsia="Arial" w:hAnsi="Arial"/>
          <w:color w:val="333333"/>
          <w:sz w:val="22"/>
          <w:szCs w:val="22"/>
        </w:rPr>
        <w:t xml:space="preserve">Compliance is assessed against a compliance checklist derived from the approved architecture principles, standards, and reference architectures. Non-compliant decisions are escalated to the ARB for a formal exception decision.</w:t>
      </w:r>
    </w:p>
    <w:p>
      <w:pPr>
        <w:spacing w:before="0" w:after="120"/>
      </w:pPr>
    </w:p>
    <w:p>
      <w:pPr>
        <w:pStyle w:val="Heading2"/>
        <w:spacing w:before="280" w:after="140"/>
      </w:pPr>
      <w:r>
        <w:rPr>
          <w:rFonts w:ascii="Arial" w:cs="Arial" w:eastAsia="Arial" w:hAnsi="Arial"/>
          <w:b/>
          <w:bCs/>
          <w:color w:val="005A8E"/>
          <w:sz w:val="28"/>
          <w:szCs w:val="28"/>
        </w:rPr>
        <w:t xml:space="preserve">5.4 Decision Authority</w:t>
      </w:r>
    </w:p>
    <w:p>
      <w:pPr>
        <w:spacing w:before="80" w:after="120"/>
        <w:jc w:val="both"/>
      </w:pPr>
      <w:r>
        <w:rPr>
          <w:rFonts w:ascii="Arial" w:cs="Arial" w:eastAsia="Arial" w:hAnsi="Arial"/>
          <w:color w:val="333333"/>
          <w:sz w:val="22"/>
          <w:szCs w:val="22"/>
        </w:rPr>
        <w:t xml:space="preserve">Not all architecture decisions require ARB review. A decision authority matrix defines which decisions can be made by whom. This prevents governance from becoming a bottleneck while ensuring that high-impact decisions receive appropriate oversight.</w:t>
      </w:r>
    </w:p>
    <w:p>
      <w:pPr>
        <w:spacing w:before="80" w:after="120"/>
        <w:jc w:val="both"/>
      </w:pPr>
      <w:r>
        <w:rPr>
          <w:rFonts w:ascii="Arial" w:cs="Arial" w:eastAsia="Arial" w:hAnsi="Arial"/>
          <w:color w:val="333333"/>
          <w:sz w:val="22"/>
          <w:szCs w:val="22"/>
        </w:rPr>
        <w:t xml:space="preserve">A typical decision authority matrix distinguishes between:</w:t>
      </w:r>
    </w:p>
    <w:p>
      <w:pPr>
        <w:pStyle w:val="ListParagraph"/>
        <w:numPr>
          <w:ilvl w:val="0"/>
          <w:numId w:val="2"/>
        </w:numPr>
        <w:spacing w:before="60" w:after="60"/>
      </w:pPr>
      <w:r>
        <w:rPr>
          <w:rFonts w:ascii="Arial" w:cs="Arial" w:eastAsia="Arial" w:hAnsi="Arial"/>
          <w:b/>
          <w:bCs/>
          <w:color w:val="0070AD"/>
          <w:sz w:val="22"/>
          <w:szCs w:val="22"/>
        </w:rPr>
        <w:t xml:space="preserve">Solution Architect authority: </w:t>
      </w:r>
      <w:r>
        <w:rPr>
          <w:rFonts w:ascii="Arial" w:cs="Arial" w:eastAsia="Arial" w:hAnsi="Arial"/>
          <w:color w:val="333333"/>
          <w:sz w:val="22"/>
          <w:szCs w:val="22"/>
        </w:rPr>
        <w:t xml:space="preserve">Low-impact decisions within pre-approved standards that do not deviate from approved patterns.</w:t>
      </w:r>
    </w:p>
    <w:p>
      <w:pPr>
        <w:pStyle w:val="ListParagraph"/>
        <w:numPr>
          <w:ilvl w:val="0"/>
          <w:numId w:val="2"/>
        </w:numPr>
        <w:spacing w:before="60" w:after="60"/>
      </w:pPr>
      <w:r>
        <w:rPr>
          <w:rFonts w:ascii="Arial" w:cs="Arial" w:eastAsia="Arial" w:hAnsi="Arial"/>
          <w:b/>
          <w:bCs/>
          <w:color w:val="0070AD"/>
          <w:sz w:val="22"/>
          <w:szCs w:val="22"/>
        </w:rPr>
        <w:t xml:space="preserve">Domain Architect authority: </w:t>
      </w:r>
      <w:r>
        <w:rPr>
          <w:rFonts w:ascii="Arial" w:cs="Arial" w:eastAsia="Arial" w:hAnsi="Arial"/>
          <w:color w:val="333333"/>
          <w:sz w:val="22"/>
          <w:szCs w:val="22"/>
        </w:rPr>
        <w:t xml:space="preserve">Medium-impact decisions that affect a specific architecture domain but do not cross domain boundaries.</w:t>
      </w:r>
    </w:p>
    <w:p>
      <w:pPr>
        <w:pStyle w:val="ListParagraph"/>
        <w:numPr>
          <w:ilvl w:val="0"/>
          <w:numId w:val="2"/>
        </w:numPr>
        <w:spacing w:before="60" w:after="60"/>
      </w:pPr>
      <w:r>
        <w:rPr>
          <w:rFonts w:ascii="Arial" w:cs="Arial" w:eastAsia="Arial" w:hAnsi="Arial"/>
          <w:b/>
          <w:bCs/>
          <w:color w:val="0070AD"/>
          <w:sz w:val="22"/>
          <w:szCs w:val="22"/>
        </w:rPr>
        <w:t xml:space="preserve">ARB authority: </w:t>
      </w:r>
      <w:r>
        <w:rPr>
          <w:rFonts w:ascii="Arial" w:cs="Arial" w:eastAsia="Arial" w:hAnsi="Arial"/>
          <w:color w:val="333333"/>
          <w:sz w:val="22"/>
          <w:szCs w:val="22"/>
        </w:rPr>
        <w:t xml:space="preserve">High-impact decisions that deviate from approved standards, cross multiple domains, or carry significant financial or risk implications.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6  </w:t>
      </w:r>
      <w:r>
        <w:rPr>
          <w:rFonts w:ascii="Arial" w:cs="Arial" w:eastAsia="Arial" w:hAnsi="Arial"/>
          <w:b/>
          <w:bCs/>
          <w:color w:val="0070AD"/>
          <w:sz w:val="44"/>
          <w:szCs w:val="44"/>
        </w:rPr>
        <w:t xml:space="preserve">Architecture Lifecycle</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6. Architecture Lifecycle</w:t>
      </w:r>
    </w:p>
    <w:p>
      <w:pPr>
        <w:pStyle w:val="Heading2"/>
        <w:spacing w:before="280" w:after="140"/>
      </w:pPr>
      <w:r>
        <w:rPr>
          <w:rFonts w:ascii="Arial" w:cs="Arial" w:eastAsia="Arial" w:hAnsi="Arial"/>
          <w:b/>
          <w:bCs/>
          <w:color w:val="005A8E"/>
          <w:sz w:val="28"/>
          <w:szCs w:val="28"/>
        </w:rPr>
        <w:t xml:space="preserve">6.1 Typical Lifecycle Stages</w:t>
      </w:r>
    </w:p>
    <w:p>
      <w:pPr>
        <w:spacing w:before="80" w:after="120"/>
        <w:jc w:val="both"/>
      </w:pPr>
      <w:r>
        <w:rPr>
          <w:rFonts w:ascii="Arial" w:cs="Arial" w:eastAsia="Arial" w:hAnsi="Arial"/>
          <w:color w:val="333333"/>
          <w:sz w:val="22"/>
          <w:szCs w:val="22"/>
        </w:rPr>
        <w:t xml:space="preserve">The Architecture Lifecycle describes the stages through which architecture passes from initial conception to ongoing operation. Capgemini's architecture lifecycle is informed by TOGAF's Architecture Development Method, adapted to reflect modern delivery practices including agile and scaled agile frameworks.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Stage</w:t>
            </w:r>
          </w:p>
        </w:tc>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Preliminary</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Establish the architecture capability, define principles, and agree the governance framework.</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Architecture Vision</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Define the target state and gain stakeholder commitment to the transformation direction.</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Business Architecture</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Model the business capabilities, processes, and organisational structures needed to achieve the vision.</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Information Architecture</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Define the data entities, data flows, and information management policies.</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Application Architecture</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Design the application landscape, including integration and migration strategies.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Technology Architecture</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Define the infrastructure, platform, and security architecture that supports the solution.</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Opportunities and Solutions</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Identify work packages and transition architectures to close the gap between current and target state.</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Migration Planning</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Develop a prioritised and sequenced roadmap for delivering the architecture.</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Implementation Governance</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Oversee delivery and ensure compliance with the target architecture.</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Architecture Change Management</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Monitor the architecture, manage change requests, and adapt the architecture as needed.</w:t>
            </w:r>
          </w:p>
        </w:tc>
      </w:tr>
    </w:tbl>
    <w:p>
      <w:pPr>
        <w:spacing w:before="0" w:after="120"/>
      </w:pPr>
    </w:p>
    <w:p>
      <w:pPr>
        <w:pStyle w:val="Heading2"/>
        <w:spacing w:before="280" w:after="140"/>
      </w:pPr>
      <w:r>
        <w:rPr>
          <w:rFonts w:ascii="Arial" w:cs="Arial" w:eastAsia="Arial" w:hAnsi="Arial"/>
          <w:b/>
          <w:bCs/>
          <w:color w:val="005A8E"/>
          <w:sz w:val="28"/>
          <w:szCs w:val="28"/>
        </w:rPr>
        <w:t xml:space="preserve">6.2 Relationship to Enterprise Transformation</w:t>
      </w:r>
    </w:p>
    <w:p>
      <w:pPr>
        <w:spacing w:before="80" w:after="120"/>
        <w:jc w:val="both"/>
      </w:pPr>
      <w:r>
        <w:rPr>
          <w:rFonts w:ascii="Arial" w:cs="Arial" w:eastAsia="Arial" w:hAnsi="Arial"/>
          <w:color w:val="333333"/>
          <w:sz w:val="22"/>
          <w:szCs w:val="22"/>
        </w:rPr>
        <w:t xml:space="preserve">The architecture lifecycle does not operate in isolation. It is tightly coupled to the enterprise transformation programme. Architecture activities are sequenced to inform and shape delivery decisions. Architecture artefacts, such as capability maps and transition architectures, are used as inputs to programme planning, investment prioritisation, and change management.</w:t>
      </w:r>
    </w:p>
    <w:p>
      <w:pPr>
        <w:spacing w:before="80" w:after="120"/>
        <w:jc w:val="both"/>
      </w:pPr>
      <w:r>
        <w:rPr>
          <w:rFonts w:ascii="Arial" w:cs="Arial" w:eastAsia="Arial" w:hAnsi="Arial"/>
          <w:color w:val="333333"/>
          <w:sz w:val="22"/>
          <w:szCs w:val="22"/>
        </w:rPr>
        <w:t xml:space="preserve">In agile transformation programmes, architecture activities are integrated into delivery sprints and programme increments rather than being completed in a single, sequential phase. This approach, known as Agile Architecture, ensures that architecture remains relevant and responsive to changing business needs.</w:t>
      </w:r>
    </w:p>
    <w:p>
      <w:pPr>
        <w:spacing w:before="0" w:after="120"/>
      </w:pPr>
    </w:p>
    <w:p>
      <w:pPr>
        <w:pStyle w:val="Heading2"/>
        <w:spacing w:before="280" w:after="140"/>
      </w:pPr>
      <w:r>
        <w:rPr>
          <w:rFonts w:ascii="Arial" w:cs="Arial" w:eastAsia="Arial" w:hAnsi="Arial"/>
          <w:b/>
          <w:bCs/>
          <w:color w:val="005A8E"/>
          <w:sz w:val="28"/>
          <w:szCs w:val="28"/>
        </w:rPr>
        <w:t xml:space="preserve">6.3 Architecture Evolution and Iteration</w:t>
      </w:r>
    </w:p>
    <w:p>
      <w:pPr>
        <w:spacing w:before="80" w:after="120"/>
        <w:jc w:val="both"/>
      </w:pPr>
      <w:r>
        <w:rPr>
          <w:rFonts w:ascii="Arial" w:cs="Arial" w:eastAsia="Arial" w:hAnsi="Arial"/>
          <w:color w:val="333333"/>
          <w:sz w:val="22"/>
          <w:szCs w:val="22"/>
        </w:rPr>
        <w:t xml:space="preserve">Architecture is not a one-time deliverable. It is a living discipline that evolves as the business and technology landscape changes. Capgemini promotes an iterative approach to architecture in which the current state is regularly assessed, the target state is updated to reflect new priorities, and the transition roadmap is adjusted accordingly.</w:t>
      </w:r>
    </w:p>
    <w:p>
      <w:pPr>
        <w:spacing w:before="80" w:after="120"/>
        <w:jc w:val="both"/>
      </w:pPr>
      <w:r>
        <w:rPr>
          <w:rFonts w:ascii="Arial" w:cs="Arial" w:eastAsia="Arial" w:hAnsi="Arial"/>
          <w:color w:val="333333"/>
          <w:sz w:val="22"/>
          <w:szCs w:val="22"/>
        </w:rPr>
        <w:t xml:space="preserve">Architecture evolution is triggered by several events, including:</w:t>
      </w:r>
    </w:p>
    <w:p>
      <w:pPr>
        <w:pStyle w:val="ListParagraph"/>
        <w:numPr>
          <w:ilvl w:val="0"/>
          <w:numId w:val="2"/>
        </w:numPr>
        <w:spacing w:before="60" w:after="60"/>
      </w:pPr>
      <w:r>
        <w:rPr>
          <w:rFonts w:ascii="Arial" w:cs="Arial" w:eastAsia="Arial" w:hAnsi="Arial"/>
          <w:color w:val="333333"/>
          <w:sz w:val="22"/>
          <w:szCs w:val="22"/>
        </w:rPr>
        <w:t xml:space="preserve">Significant changes in business strategy or operating model.</w:t>
      </w:r>
    </w:p>
    <w:p>
      <w:pPr>
        <w:pStyle w:val="ListParagraph"/>
        <w:numPr>
          <w:ilvl w:val="0"/>
          <w:numId w:val="2"/>
        </w:numPr>
        <w:spacing w:before="60" w:after="60"/>
      </w:pPr>
      <w:r>
        <w:rPr>
          <w:rFonts w:ascii="Arial" w:cs="Arial" w:eastAsia="Arial" w:hAnsi="Arial"/>
          <w:color w:val="333333"/>
          <w:sz w:val="22"/>
          <w:szCs w:val="22"/>
        </w:rPr>
        <w:t xml:space="preserve">Emergence of new technology capabilities, such as generative AI platforms or new cloud services.</w:t>
      </w:r>
    </w:p>
    <w:p>
      <w:pPr>
        <w:pStyle w:val="ListParagraph"/>
        <w:numPr>
          <w:ilvl w:val="0"/>
          <w:numId w:val="2"/>
        </w:numPr>
        <w:spacing w:before="60" w:after="60"/>
      </w:pPr>
      <w:r>
        <w:rPr>
          <w:rFonts w:ascii="Arial" w:cs="Arial" w:eastAsia="Arial" w:hAnsi="Arial"/>
          <w:color w:val="333333"/>
          <w:sz w:val="22"/>
          <w:szCs w:val="22"/>
        </w:rPr>
        <w:t xml:space="preserve">Changes in the regulatory environment that affect data management, security, or sovereignty requirements.</w:t>
      </w:r>
    </w:p>
    <w:p>
      <w:pPr>
        <w:pStyle w:val="ListParagraph"/>
        <w:numPr>
          <w:ilvl w:val="0"/>
          <w:numId w:val="2"/>
        </w:numPr>
        <w:spacing w:before="60" w:after="60"/>
      </w:pPr>
      <w:r>
        <w:rPr>
          <w:rFonts w:ascii="Arial" w:cs="Arial" w:eastAsia="Arial" w:hAnsi="Arial"/>
          <w:color w:val="333333"/>
          <w:sz w:val="22"/>
          <w:szCs w:val="22"/>
        </w:rPr>
        <w:t xml:space="preserve">Lessons learned from delivery, including post-implementation reviews that reveal architectural weaknesses.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7  </w:t>
      </w:r>
      <w:r>
        <w:rPr>
          <w:rFonts w:ascii="Arial" w:cs="Arial" w:eastAsia="Arial" w:hAnsi="Arial"/>
          <w:b/>
          <w:bCs/>
          <w:color w:val="0070AD"/>
          <w:sz w:val="44"/>
          <w:szCs w:val="44"/>
        </w:rPr>
        <w:t xml:space="preserve">Architecture Artefacts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7. Architecture Artefacts</w:t>
      </w:r>
    </w:p>
    <w:p>
      <w:pPr>
        <w:spacing w:before="80" w:after="120"/>
        <w:jc w:val="both"/>
      </w:pPr>
      <w:r>
        <w:rPr>
          <w:rFonts w:ascii="Arial" w:cs="Arial" w:eastAsia="Arial" w:hAnsi="Arial"/>
          <w:color w:val="333333"/>
          <w:sz w:val="22"/>
          <w:szCs w:val="22"/>
        </w:rPr>
        <w:t xml:space="preserve">Architecture artefacts are the documented outputs of architecture work. They communicate architecture decisions, designs, and guidance to a range of stakeholders. A well-maintained set of artefacts is essential for effective governance, delivery, and knowledge management.</w:t>
      </w:r>
    </w:p>
    <w:p>
      <w:pPr>
        <w:spacing w:before="0" w:after="120"/>
      </w:pPr>
    </w:p>
    <w:p>
      <w:pPr>
        <w:pStyle w:val="Heading2"/>
        <w:spacing w:before="280" w:after="140"/>
      </w:pPr>
      <w:r>
        <w:rPr>
          <w:rFonts w:ascii="Arial" w:cs="Arial" w:eastAsia="Arial" w:hAnsi="Arial"/>
          <w:b/>
          <w:bCs/>
          <w:color w:val="005A8E"/>
          <w:sz w:val="28"/>
          <w:szCs w:val="28"/>
        </w:rPr>
        <w:t xml:space="preserve">7.1 Architecture Diagrams</w:t>
      </w:r>
    </w:p>
    <w:p>
      <w:pPr>
        <w:spacing w:before="80" w:after="120"/>
        <w:jc w:val="both"/>
      </w:pPr>
      <w:r>
        <w:rPr>
          <w:rFonts w:ascii="Arial" w:cs="Arial" w:eastAsia="Arial" w:hAnsi="Arial"/>
          <w:color w:val="333333"/>
          <w:sz w:val="22"/>
          <w:szCs w:val="22"/>
        </w:rPr>
        <w:t xml:space="preserve">Architecture diagrams are visual representations of the architecture. They translate complex architectural structures into forms that can be understood by technical and non-technical audiences alike. Common diagram types include:</w:t>
      </w:r>
    </w:p>
    <w:p>
      <w:pPr>
        <w:pStyle w:val="ListParagraph"/>
        <w:numPr>
          <w:ilvl w:val="0"/>
          <w:numId w:val="2"/>
        </w:numPr>
        <w:spacing w:before="60" w:after="60"/>
      </w:pPr>
      <w:r>
        <w:rPr>
          <w:rFonts w:ascii="Arial" w:cs="Arial" w:eastAsia="Arial" w:hAnsi="Arial"/>
          <w:color w:val="333333"/>
          <w:sz w:val="22"/>
          <w:szCs w:val="22"/>
        </w:rPr>
        <w:t xml:space="preserve">Context Diagrams, which show the system in relation to its external environment.</w:t>
      </w:r>
    </w:p>
    <w:p>
      <w:pPr>
        <w:pStyle w:val="ListParagraph"/>
        <w:numPr>
          <w:ilvl w:val="0"/>
          <w:numId w:val="2"/>
        </w:numPr>
        <w:spacing w:before="60" w:after="60"/>
      </w:pPr>
      <w:r>
        <w:rPr>
          <w:rFonts w:ascii="Arial" w:cs="Arial" w:eastAsia="Arial" w:hAnsi="Arial"/>
          <w:color w:val="333333"/>
          <w:sz w:val="22"/>
          <w:szCs w:val="22"/>
        </w:rPr>
        <w:t xml:space="preserve">Component Diagrams, which illustrate the internal structure of an application or platform.</w:t>
      </w:r>
    </w:p>
    <w:p>
      <w:pPr>
        <w:pStyle w:val="ListParagraph"/>
        <w:numPr>
          <w:ilvl w:val="0"/>
          <w:numId w:val="2"/>
        </w:numPr>
        <w:spacing w:before="60" w:after="60"/>
      </w:pPr>
      <w:r>
        <w:rPr>
          <w:rFonts w:ascii="Arial" w:cs="Arial" w:eastAsia="Arial" w:hAnsi="Arial"/>
          <w:color w:val="333333"/>
          <w:sz w:val="22"/>
          <w:szCs w:val="22"/>
        </w:rPr>
        <w:t xml:space="preserve">Integration Diagrams, which map the flows of data and messages between systems.</w:t>
      </w:r>
    </w:p>
    <w:p>
      <w:pPr>
        <w:pStyle w:val="ListParagraph"/>
        <w:numPr>
          <w:ilvl w:val="0"/>
          <w:numId w:val="2"/>
        </w:numPr>
        <w:spacing w:before="60" w:after="60"/>
      </w:pPr>
      <w:r>
        <w:rPr>
          <w:rFonts w:ascii="Arial" w:cs="Arial" w:eastAsia="Arial" w:hAnsi="Arial"/>
          <w:color w:val="333333"/>
          <w:sz w:val="22"/>
          <w:szCs w:val="22"/>
        </w:rPr>
        <w:t xml:space="preserve">Infrastructure Diagrams, which show the physical and logical layout of compute, storage, and network resources.</w:t>
      </w:r>
    </w:p>
    <w:p>
      <w:pPr>
        <w:pStyle w:val="ListParagraph"/>
        <w:numPr>
          <w:ilvl w:val="0"/>
          <w:numId w:val="2"/>
        </w:numPr>
        <w:spacing w:before="60" w:after="60"/>
      </w:pPr>
      <w:r>
        <w:rPr>
          <w:rFonts w:ascii="Arial" w:cs="Arial" w:eastAsia="Arial" w:hAnsi="Arial"/>
          <w:color w:val="333333"/>
          <w:sz w:val="22"/>
          <w:szCs w:val="22"/>
        </w:rPr>
        <w:t xml:space="preserve">Sequence Diagrams, which trace the sequence of interactions in a business process or technical flow.</w:t>
      </w:r>
    </w:p>
    <w:p>
      <w:pPr>
        <w:spacing w:before="80" w:after="120"/>
        <w:jc w:val="both"/>
      </w:pPr>
      <w:r>
        <w:rPr>
          <w:rFonts w:ascii="Arial" w:cs="Arial" w:eastAsia="Arial" w:hAnsi="Arial"/>
          <w:color w:val="333333"/>
          <w:sz w:val="22"/>
          <w:szCs w:val="22"/>
        </w:rPr>
        <w:t xml:space="preserve">Diagrams are typically produced using standardised notation. Capgemini commonly applies Archimate notation for enterprise architecture diagrams and UML for more detailed technical designs.</w:t>
      </w:r>
    </w:p>
    <w:p>
      <w:pPr>
        <w:spacing w:before="0" w:after="120"/>
      </w:pPr>
    </w:p>
    <w:p>
      <w:pPr>
        <w:pStyle w:val="Heading2"/>
        <w:spacing w:before="280" w:after="140"/>
      </w:pPr>
      <w:r>
        <w:rPr>
          <w:rFonts w:ascii="Arial" w:cs="Arial" w:eastAsia="Arial" w:hAnsi="Arial"/>
          <w:b/>
          <w:bCs/>
          <w:color w:val="005A8E"/>
          <w:sz w:val="28"/>
          <w:szCs w:val="28"/>
        </w:rPr>
        <w:t xml:space="preserve">7.2 Capability Maps</w:t>
      </w:r>
    </w:p>
    <w:p>
      <w:pPr>
        <w:spacing w:before="80" w:after="120"/>
        <w:jc w:val="both"/>
      </w:pPr>
      <w:r>
        <w:rPr>
          <w:rFonts w:ascii="Arial" w:cs="Arial" w:eastAsia="Arial" w:hAnsi="Arial"/>
          <w:color w:val="333333"/>
          <w:sz w:val="22"/>
          <w:szCs w:val="22"/>
        </w:rPr>
        <w:t xml:space="preserve">A Capability Map is a structured representation of the business capabilities of an organisation. It presents capabilities hierarchically, grouping related capabilities and indicating their current maturity or investment priority. Capability maps are used to:</w:t>
      </w:r>
    </w:p>
    <w:p>
      <w:pPr>
        <w:pStyle w:val="ListParagraph"/>
        <w:numPr>
          <w:ilvl w:val="0"/>
          <w:numId w:val="2"/>
        </w:numPr>
        <w:spacing w:before="60" w:after="60"/>
      </w:pPr>
      <w:r>
        <w:rPr>
          <w:rFonts w:ascii="Arial" w:cs="Arial" w:eastAsia="Arial" w:hAnsi="Arial"/>
          <w:color w:val="333333"/>
          <w:sz w:val="22"/>
          <w:szCs w:val="22"/>
        </w:rPr>
        <w:t xml:space="preserve">Identify gaps between the current and target capability state.</w:t>
      </w:r>
    </w:p>
    <w:p>
      <w:pPr>
        <w:pStyle w:val="ListParagraph"/>
        <w:numPr>
          <w:ilvl w:val="0"/>
          <w:numId w:val="2"/>
        </w:numPr>
        <w:spacing w:before="60" w:after="60"/>
      </w:pPr>
      <w:r>
        <w:rPr>
          <w:rFonts w:ascii="Arial" w:cs="Arial" w:eastAsia="Arial" w:hAnsi="Arial"/>
          <w:color w:val="333333"/>
          <w:sz w:val="22"/>
          <w:szCs w:val="22"/>
        </w:rPr>
        <w:t xml:space="preserve">Prioritise technology investments based on capability needs.</w:t>
      </w:r>
    </w:p>
    <w:p>
      <w:pPr>
        <w:pStyle w:val="ListParagraph"/>
        <w:numPr>
          <w:ilvl w:val="0"/>
          <w:numId w:val="2"/>
        </w:numPr>
        <w:spacing w:before="60" w:after="60"/>
      </w:pPr>
      <w:r>
        <w:rPr>
          <w:rFonts w:ascii="Arial" w:cs="Arial" w:eastAsia="Arial" w:hAnsi="Arial"/>
          <w:color w:val="333333"/>
          <w:sz w:val="22"/>
          <w:szCs w:val="22"/>
        </w:rPr>
        <w:t xml:space="preserve">Communicate transformation scope to senior stakeholders in business language.</w:t>
      </w:r>
    </w:p>
    <w:p>
      <w:pPr>
        <w:pStyle w:val="ListParagraph"/>
        <w:numPr>
          <w:ilvl w:val="0"/>
          <w:numId w:val="2"/>
        </w:numPr>
        <w:spacing w:before="60" w:after="60"/>
      </w:pPr>
      <w:r>
        <w:rPr>
          <w:rFonts w:ascii="Arial" w:cs="Arial" w:eastAsia="Arial" w:hAnsi="Arial"/>
          <w:color w:val="333333"/>
          <w:sz w:val="22"/>
          <w:szCs w:val="22"/>
        </w:rPr>
        <w:t xml:space="preserve">Provide a stable reference frame for the application portfolio, independent of organisational structure.</w:t>
      </w:r>
    </w:p>
    <w:p>
      <w:pPr>
        <w:spacing w:before="0" w:after="120"/>
      </w:pPr>
    </w:p>
    <w:p>
      <w:pPr>
        <w:pStyle w:val="Heading2"/>
        <w:spacing w:before="280" w:after="140"/>
      </w:pPr>
      <w:r>
        <w:rPr>
          <w:rFonts w:ascii="Arial" w:cs="Arial" w:eastAsia="Arial" w:hAnsi="Arial"/>
          <w:b/>
          <w:bCs/>
          <w:color w:val="005A8E"/>
          <w:sz w:val="28"/>
          <w:szCs w:val="28"/>
        </w:rPr>
        <w:t xml:space="preserve">7.3 Architecture Roadmaps</w:t>
      </w:r>
    </w:p>
    <w:p>
      <w:pPr>
        <w:spacing w:before="80" w:after="120"/>
        <w:jc w:val="both"/>
      </w:pPr>
      <w:r>
        <w:rPr>
          <w:rFonts w:ascii="Arial" w:cs="Arial" w:eastAsia="Arial" w:hAnsi="Arial"/>
          <w:color w:val="333333"/>
          <w:sz w:val="22"/>
          <w:szCs w:val="22"/>
        </w:rPr>
        <w:t xml:space="preserve">An Architecture Roadmap defines the sequence and timing of architecture initiatives required to move from the current state to the target state. It links architecture changes to business outcomes and delivery programmes. A well-constructed roadmap includes:</w:t>
      </w:r>
    </w:p>
    <w:p>
      <w:pPr>
        <w:pStyle w:val="ListParagraph"/>
        <w:numPr>
          <w:ilvl w:val="0"/>
          <w:numId w:val="2"/>
        </w:numPr>
        <w:spacing w:before="60" w:after="60"/>
      </w:pPr>
      <w:r>
        <w:rPr>
          <w:rFonts w:ascii="Arial" w:cs="Arial" w:eastAsia="Arial" w:hAnsi="Arial"/>
          <w:color w:val="333333"/>
          <w:sz w:val="22"/>
          <w:szCs w:val="22"/>
        </w:rPr>
        <w:t xml:space="preserve">A clear depiction of the current state architecture.</w:t>
      </w:r>
    </w:p>
    <w:p>
      <w:pPr>
        <w:pStyle w:val="ListParagraph"/>
        <w:numPr>
          <w:ilvl w:val="0"/>
          <w:numId w:val="2"/>
        </w:numPr>
        <w:spacing w:before="60" w:after="60"/>
      </w:pPr>
      <w:r>
        <w:rPr>
          <w:rFonts w:ascii="Arial" w:cs="Arial" w:eastAsia="Arial" w:hAnsi="Arial"/>
          <w:color w:val="333333"/>
          <w:sz w:val="22"/>
          <w:szCs w:val="22"/>
        </w:rPr>
        <w:t xml:space="preserve">A clearly defined target state architecture.</w:t>
      </w:r>
    </w:p>
    <w:p>
      <w:pPr>
        <w:pStyle w:val="ListParagraph"/>
        <w:numPr>
          <w:ilvl w:val="0"/>
          <w:numId w:val="2"/>
        </w:numPr>
        <w:spacing w:before="60" w:after="60"/>
      </w:pPr>
      <w:r>
        <w:rPr>
          <w:rFonts w:ascii="Arial" w:cs="Arial" w:eastAsia="Arial" w:hAnsi="Arial"/>
          <w:color w:val="333333"/>
          <w:sz w:val="22"/>
          <w:szCs w:val="22"/>
        </w:rPr>
        <w:t xml:space="preserve">Transition architectures that represent intermediate states along the journey.</w:t>
      </w:r>
    </w:p>
    <w:p>
      <w:pPr>
        <w:pStyle w:val="ListParagraph"/>
        <w:numPr>
          <w:ilvl w:val="0"/>
          <w:numId w:val="2"/>
        </w:numPr>
        <w:spacing w:before="60" w:after="60"/>
      </w:pPr>
      <w:r>
        <w:rPr>
          <w:rFonts w:ascii="Arial" w:cs="Arial" w:eastAsia="Arial" w:hAnsi="Arial"/>
          <w:color w:val="333333"/>
          <w:sz w:val="22"/>
          <w:szCs w:val="22"/>
        </w:rPr>
        <w:t xml:space="preserve">Work packages that group related architecture changes into deliverable units.</w:t>
      </w:r>
    </w:p>
    <w:p>
      <w:pPr>
        <w:pStyle w:val="ListParagraph"/>
        <w:numPr>
          <w:ilvl w:val="0"/>
          <w:numId w:val="2"/>
        </w:numPr>
        <w:spacing w:before="60" w:after="60"/>
      </w:pPr>
      <w:r>
        <w:rPr>
          <w:rFonts w:ascii="Arial" w:cs="Arial" w:eastAsia="Arial" w:hAnsi="Arial"/>
          <w:color w:val="333333"/>
          <w:sz w:val="22"/>
          <w:szCs w:val="22"/>
        </w:rPr>
        <w:t xml:space="preserve">Dependencies between work packages that inform sequencing and prioritisation.</w:t>
      </w:r>
    </w:p>
    <w:p>
      <w:pPr>
        <w:spacing w:before="0" w:after="120"/>
      </w:pPr>
    </w:p>
    <w:p>
      <w:pPr>
        <w:pStyle w:val="Heading2"/>
        <w:spacing w:before="280" w:after="140"/>
      </w:pPr>
      <w:r>
        <w:rPr>
          <w:rFonts w:ascii="Arial" w:cs="Arial" w:eastAsia="Arial" w:hAnsi="Arial"/>
          <w:b/>
          <w:bCs/>
          <w:color w:val="005A8E"/>
          <w:sz w:val="28"/>
          <w:szCs w:val="28"/>
        </w:rPr>
        <w:t xml:space="preserve">7.4 Reference Architectures</w:t>
      </w:r>
    </w:p>
    <w:p>
      <w:pPr>
        <w:spacing w:before="80" w:after="120"/>
        <w:jc w:val="both"/>
      </w:pPr>
      <w:r>
        <w:rPr>
          <w:rFonts w:ascii="Arial" w:cs="Arial" w:eastAsia="Arial" w:hAnsi="Arial"/>
          <w:color w:val="333333"/>
          <w:sz w:val="22"/>
          <w:szCs w:val="22"/>
        </w:rPr>
        <w:t xml:space="preserve">A Reference Architecture is a pre-defined, reusable architecture template for a specific class of solution or technology domain. It embodies proven design patterns and approved technology choices. Reference architectures reduce design time and promote consistency across programmes. Common examples in Capgemini engagements include:</w:t>
      </w:r>
    </w:p>
    <w:p>
      <w:pPr>
        <w:pStyle w:val="ListParagraph"/>
        <w:numPr>
          <w:ilvl w:val="0"/>
          <w:numId w:val="2"/>
        </w:numPr>
        <w:spacing w:before="60" w:after="60"/>
      </w:pPr>
      <w:r>
        <w:rPr>
          <w:rFonts w:ascii="Arial" w:cs="Arial" w:eastAsia="Arial" w:hAnsi="Arial"/>
          <w:color w:val="333333"/>
          <w:sz w:val="22"/>
          <w:szCs w:val="22"/>
        </w:rPr>
        <w:t xml:space="preserve">Cloud Landing Zone Reference Architecture, defining the foundational structure for deploying workloads in public cloud environments.</w:t>
      </w:r>
    </w:p>
    <w:p>
      <w:pPr>
        <w:pStyle w:val="ListParagraph"/>
        <w:numPr>
          <w:ilvl w:val="0"/>
          <w:numId w:val="2"/>
        </w:numPr>
        <w:spacing w:before="60" w:after="60"/>
      </w:pPr>
      <w:r>
        <w:rPr>
          <w:rFonts w:ascii="Arial" w:cs="Arial" w:eastAsia="Arial" w:hAnsi="Arial"/>
          <w:color w:val="333333"/>
          <w:sz w:val="22"/>
          <w:szCs w:val="22"/>
        </w:rPr>
        <w:t xml:space="preserve">Data Platform Reference Architecture, providing a standard design for ingesting, storing, processing, and consuming data.</w:t>
      </w:r>
    </w:p>
    <w:p>
      <w:pPr>
        <w:pStyle w:val="ListParagraph"/>
        <w:numPr>
          <w:ilvl w:val="0"/>
          <w:numId w:val="2"/>
        </w:numPr>
        <w:spacing w:before="60" w:after="60"/>
      </w:pPr>
      <w:r>
        <w:rPr>
          <w:rFonts w:ascii="Arial" w:cs="Arial" w:eastAsia="Arial" w:hAnsi="Arial"/>
          <w:color w:val="333333"/>
          <w:sz w:val="22"/>
          <w:szCs w:val="22"/>
        </w:rPr>
        <w:t xml:space="preserve">Integration Reference Architecture, defining patterns and platforms for connecting applications across the enterprise.</w:t>
      </w:r>
    </w:p>
    <w:p>
      <w:pPr>
        <w:spacing w:before="0" w:after="120"/>
      </w:pPr>
    </w:p>
    <w:p>
      <w:pPr>
        <w:pStyle w:val="Heading2"/>
        <w:spacing w:before="280" w:after="140"/>
      </w:pPr>
      <w:r>
        <w:rPr>
          <w:rFonts w:ascii="Arial" w:cs="Arial" w:eastAsia="Arial" w:hAnsi="Arial"/>
          <w:b/>
          <w:bCs/>
          <w:color w:val="005A8E"/>
          <w:sz w:val="28"/>
          <w:szCs w:val="28"/>
        </w:rPr>
        <w:t xml:space="preserve">7.5 Standards and Guidelines</w:t>
      </w:r>
    </w:p>
    <w:p>
      <w:pPr>
        <w:spacing w:before="80" w:after="120"/>
        <w:jc w:val="both"/>
      </w:pPr>
      <w:r>
        <w:rPr>
          <w:rFonts w:ascii="Arial" w:cs="Arial" w:eastAsia="Arial" w:hAnsi="Arial"/>
          <w:color w:val="333333"/>
          <w:sz w:val="22"/>
          <w:szCs w:val="22"/>
        </w:rPr>
        <w:t xml:space="preserve">Architecture Standards define mandatory technical requirements that all solutions must comply with. Architecture Guidelines provide recommended approaches that should be followed unless there is a compelling reason to deviate. Together, standards and guidelines form the basis for architecture compliance assessment. They cover areas such as:</w:t>
      </w:r>
    </w:p>
    <w:p>
      <w:pPr>
        <w:pStyle w:val="ListParagraph"/>
        <w:numPr>
          <w:ilvl w:val="0"/>
          <w:numId w:val="2"/>
        </w:numPr>
        <w:spacing w:before="60" w:after="60"/>
      </w:pPr>
      <w:r>
        <w:rPr>
          <w:rFonts w:ascii="Arial" w:cs="Arial" w:eastAsia="Arial" w:hAnsi="Arial"/>
          <w:color w:val="333333"/>
          <w:sz w:val="22"/>
          <w:szCs w:val="22"/>
        </w:rPr>
        <w:t xml:space="preserve">Coding standards and development practices.</w:t>
      </w:r>
    </w:p>
    <w:p>
      <w:pPr>
        <w:pStyle w:val="ListParagraph"/>
        <w:numPr>
          <w:ilvl w:val="0"/>
          <w:numId w:val="2"/>
        </w:numPr>
        <w:spacing w:before="60" w:after="60"/>
      </w:pPr>
      <w:r>
        <w:rPr>
          <w:rFonts w:ascii="Arial" w:cs="Arial" w:eastAsia="Arial" w:hAnsi="Arial"/>
          <w:color w:val="333333"/>
          <w:sz w:val="22"/>
          <w:szCs w:val="22"/>
        </w:rPr>
        <w:t xml:space="preserve">API design standards, including naming conventions and versioning policies.</w:t>
      </w:r>
    </w:p>
    <w:p>
      <w:pPr>
        <w:pStyle w:val="ListParagraph"/>
        <w:numPr>
          <w:ilvl w:val="0"/>
          <w:numId w:val="2"/>
        </w:numPr>
        <w:spacing w:before="60" w:after="60"/>
      </w:pPr>
      <w:r>
        <w:rPr>
          <w:rFonts w:ascii="Arial" w:cs="Arial" w:eastAsia="Arial" w:hAnsi="Arial"/>
          <w:color w:val="333333"/>
          <w:sz w:val="22"/>
          <w:szCs w:val="22"/>
        </w:rPr>
        <w:t xml:space="preserve">Data classification and handling standards.</w:t>
      </w:r>
    </w:p>
    <w:p>
      <w:pPr>
        <w:pStyle w:val="ListParagraph"/>
        <w:numPr>
          <w:ilvl w:val="0"/>
          <w:numId w:val="2"/>
        </w:numPr>
        <w:spacing w:before="60" w:after="60"/>
      </w:pPr>
      <w:r>
        <w:rPr>
          <w:rFonts w:ascii="Arial" w:cs="Arial" w:eastAsia="Arial" w:hAnsi="Arial"/>
          <w:color w:val="333333"/>
          <w:sz w:val="22"/>
          <w:szCs w:val="22"/>
        </w:rPr>
        <w:t xml:space="preserve">Security standards for authentication, authorisation, and data protection.</w:t>
      </w:r>
    </w:p>
    <w:p>
      <w:pPr>
        <w:pStyle w:val="ListParagraph"/>
        <w:numPr>
          <w:ilvl w:val="0"/>
          <w:numId w:val="2"/>
        </w:numPr>
        <w:spacing w:before="60" w:after="60"/>
      </w:pPr>
      <w:r>
        <w:rPr>
          <w:rFonts w:ascii="Arial" w:cs="Arial" w:eastAsia="Arial" w:hAnsi="Arial"/>
          <w:color w:val="333333"/>
          <w:sz w:val="22"/>
          <w:szCs w:val="22"/>
        </w:rPr>
        <w:t xml:space="preserve">Cloud resource naming and tagging conventions.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8  </w:t>
      </w:r>
      <w:r>
        <w:rPr>
          <w:rFonts w:ascii="Arial" w:cs="Arial" w:eastAsia="Arial" w:hAnsi="Arial"/>
          <w:b/>
          <w:bCs/>
          <w:color w:val="0070AD"/>
          <w:sz w:val="44"/>
          <w:szCs w:val="44"/>
        </w:rPr>
        <w:t xml:space="preserve">Architecture Patterns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8. Architecture Patterns and Reference Architectures</w:t>
      </w:r>
    </w:p>
    <w:p>
      <w:pPr>
        <w:pStyle w:val="Heading2"/>
        <w:spacing w:before="280" w:after="140"/>
      </w:pPr>
      <w:r>
        <w:rPr>
          <w:rFonts w:ascii="Arial" w:cs="Arial" w:eastAsia="Arial" w:hAnsi="Arial"/>
          <w:b/>
          <w:bCs/>
          <w:color w:val="005A8E"/>
          <w:sz w:val="28"/>
          <w:szCs w:val="28"/>
        </w:rPr>
        <w:t xml:space="preserve">8.1 Definition</w:t>
      </w:r>
    </w:p>
    <w:p>
      <w:pPr>
        <w:spacing w:before="80" w:after="120"/>
        <w:jc w:val="both"/>
      </w:pPr>
      <w:r>
        <w:rPr>
          <w:rFonts w:ascii="Arial" w:cs="Arial" w:eastAsia="Arial" w:hAnsi="Arial"/>
          <w:color w:val="333333"/>
          <w:sz w:val="22"/>
          <w:szCs w:val="22"/>
        </w:rPr>
        <w:t xml:space="preserve">An Architecture Pattern is a general, reusable solution to a commonly occurring problem in a given context. Patterns describe the structure of a solution, the components involved, and the relationships between them. They do not prescribe a specific implementation but provide a template that can be adapted to specific circumstances.</w:t>
      </w:r>
    </w:p>
    <w:p>
      <w:pPr>
        <w:spacing w:before="80" w:after="120"/>
        <w:jc w:val="both"/>
      </w:pPr>
      <w:r>
        <w:rPr>
          <w:rFonts w:ascii="Arial" w:cs="Arial" w:eastAsia="Arial" w:hAnsi="Arial"/>
          <w:color w:val="333333"/>
          <w:sz w:val="22"/>
          <w:szCs w:val="22"/>
        </w:rPr>
        <w:t xml:space="preserve">Patterns differ from reference architectures in scope. A pattern addresses a specific design problem, such as how to implement asynchronous messaging between microservices. A reference architecture is a more comprehensive template that addresses the full architecture of a solution domain.</w:t>
      </w:r>
    </w:p>
    <w:p>
      <w:pPr>
        <w:spacing w:before="0" w:after="120"/>
      </w:pPr>
    </w:p>
    <w:p>
      <w:pPr>
        <w:pStyle w:val="Heading2"/>
        <w:spacing w:before="280" w:after="140"/>
      </w:pPr>
      <w:r>
        <w:rPr>
          <w:rFonts w:ascii="Arial" w:cs="Arial" w:eastAsia="Arial" w:hAnsi="Arial"/>
          <w:b/>
          <w:bCs/>
          <w:color w:val="005A8E"/>
          <w:sz w:val="28"/>
          <w:szCs w:val="28"/>
        </w:rPr>
        <w:t xml:space="preserve">8.2 Benefits of Using Architecture Patterns</w:t>
      </w:r>
    </w:p>
    <w:p>
      <w:pPr>
        <w:pStyle w:val="ListParagraph"/>
        <w:numPr>
          <w:ilvl w:val="0"/>
          <w:numId w:val="2"/>
        </w:numPr>
        <w:spacing w:before="60" w:after="60"/>
      </w:pPr>
      <w:r>
        <w:rPr>
          <w:rFonts w:ascii="Arial" w:cs="Arial" w:eastAsia="Arial" w:hAnsi="Arial"/>
          <w:color w:val="333333"/>
          <w:sz w:val="22"/>
          <w:szCs w:val="22"/>
        </w:rPr>
        <w:t xml:space="preserve">Reduced design time, because architects build on proven solutions rather than starting from scratch.</w:t>
      </w:r>
    </w:p>
    <w:p>
      <w:pPr>
        <w:pStyle w:val="ListParagraph"/>
        <w:numPr>
          <w:ilvl w:val="0"/>
          <w:numId w:val="2"/>
        </w:numPr>
        <w:spacing w:before="60" w:after="60"/>
      </w:pPr>
      <w:r>
        <w:rPr>
          <w:rFonts w:ascii="Arial" w:cs="Arial" w:eastAsia="Arial" w:hAnsi="Arial"/>
          <w:color w:val="333333"/>
          <w:sz w:val="22"/>
          <w:szCs w:val="22"/>
        </w:rPr>
        <w:t xml:space="preserve">Lower risk, because patterns have been validated through repeated application.</w:t>
      </w:r>
    </w:p>
    <w:p>
      <w:pPr>
        <w:pStyle w:val="ListParagraph"/>
        <w:numPr>
          <w:ilvl w:val="0"/>
          <w:numId w:val="2"/>
        </w:numPr>
        <w:spacing w:before="60" w:after="60"/>
      </w:pPr>
      <w:r>
        <w:rPr>
          <w:rFonts w:ascii="Arial" w:cs="Arial" w:eastAsia="Arial" w:hAnsi="Arial"/>
          <w:color w:val="333333"/>
          <w:sz w:val="22"/>
          <w:szCs w:val="22"/>
        </w:rPr>
        <w:t xml:space="preserve">Improved communication, because patterns provide a shared vocabulary that architects and developers can use.</w:t>
      </w:r>
    </w:p>
    <w:p>
      <w:pPr>
        <w:pStyle w:val="ListParagraph"/>
        <w:numPr>
          <w:ilvl w:val="0"/>
          <w:numId w:val="2"/>
        </w:numPr>
        <w:spacing w:before="60" w:after="60"/>
      </w:pPr>
      <w:r>
        <w:rPr>
          <w:rFonts w:ascii="Arial" w:cs="Arial" w:eastAsia="Arial" w:hAnsi="Arial"/>
          <w:color w:val="333333"/>
          <w:sz w:val="22"/>
          <w:szCs w:val="22"/>
        </w:rPr>
        <w:t xml:space="preserve">Consistency across solutions that address similar problems.</w:t>
      </w:r>
    </w:p>
    <w:p>
      <w:pPr>
        <w:pStyle w:val="ListParagraph"/>
        <w:numPr>
          <w:ilvl w:val="0"/>
          <w:numId w:val="2"/>
        </w:numPr>
        <w:spacing w:before="60" w:after="60"/>
      </w:pPr>
      <w:r>
        <w:rPr>
          <w:rFonts w:ascii="Arial" w:cs="Arial" w:eastAsia="Arial" w:hAnsi="Arial"/>
          <w:color w:val="333333"/>
          <w:sz w:val="22"/>
          <w:szCs w:val="22"/>
        </w:rPr>
        <w:t xml:space="preserve">Easier governance, because solutions that follow approved patterns are easier to review and validate.</w:t>
      </w:r>
    </w:p>
    <w:p>
      <w:pPr>
        <w:spacing w:before="0" w:after="120"/>
      </w:pPr>
    </w:p>
    <w:p>
      <w:pPr>
        <w:pStyle w:val="Heading2"/>
        <w:spacing w:before="280" w:after="140"/>
      </w:pPr>
      <w:r>
        <w:rPr>
          <w:rFonts w:ascii="Arial" w:cs="Arial" w:eastAsia="Arial" w:hAnsi="Arial"/>
          <w:b/>
          <w:bCs/>
          <w:color w:val="005A8E"/>
          <w:sz w:val="28"/>
          <w:szCs w:val="28"/>
        </w:rPr>
        <w:t xml:space="preserve">8.3 Examples Used in Enterprise Environments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Pattern</w:t>
            </w:r>
          </w:p>
        </w:tc>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Event Sourcing</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Rather than storing current state, all changes are stored as a sequence of events. This enables full auditability and the ability to reconstruct any past state.</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CQRS (Command Query Responsibility Segregation)</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Read and write operations are handled by separate models, allowing each to be optimised independently.</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Strangler Fig</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 legacy system is gradually replaced by routing new functionality to a new system while the old system continues to handle remaining workloads.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API Gateway Pattern</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 single entry point manages, secures, and routes all API traffic, abstracting consumers from the complexity of the underlying services.</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Sidecar Pattern</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Supporting functions such as logging, monitoring, and security are deployed as separate processes alongside the main application component.</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Data Mesh</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Data ownership is decentralised to domain teams, each of which is responsible for publishing data as products via a shared infrastructure.</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Hub and Spoke Integration</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 central integration hub manages all data exchange between spoke systems, reducing the number of point-to-point connections.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Zero Trust Security</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No user, device, or network is trusted by default. Every access request is verified regardless of its origin.</w:t>
            </w:r>
          </w:p>
        </w:tc>
      </w:tr>
    </w:tbl>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9  </w:t>
      </w:r>
      <w:r>
        <w:rPr>
          <w:rFonts w:ascii="Arial" w:cs="Arial" w:eastAsia="Arial" w:hAnsi="Arial"/>
          <w:b/>
          <w:bCs/>
          <w:color w:val="0070AD"/>
          <w:sz w:val="44"/>
          <w:szCs w:val="44"/>
        </w:rPr>
        <w:t xml:space="preserve">Decision Management</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9. Architecture Decision Management</w:t>
      </w:r>
    </w:p>
    <w:p>
      <w:pPr>
        <w:pStyle w:val="Heading2"/>
        <w:spacing w:before="280" w:after="140"/>
      </w:pPr>
      <w:r>
        <w:rPr>
          <w:rFonts w:ascii="Arial" w:cs="Arial" w:eastAsia="Arial" w:hAnsi="Arial"/>
          <w:b/>
          <w:bCs/>
          <w:color w:val="005A8E"/>
          <w:sz w:val="28"/>
          <w:szCs w:val="28"/>
        </w:rPr>
        <w:t xml:space="preserve">9.1 Architecture Decision Records</w:t>
      </w:r>
    </w:p>
    <w:p>
      <w:pPr>
        <w:spacing w:before="80" w:after="120"/>
        <w:jc w:val="both"/>
      </w:pPr>
      <w:r>
        <w:rPr>
          <w:rFonts w:ascii="Arial" w:cs="Arial" w:eastAsia="Arial" w:hAnsi="Arial"/>
          <w:color w:val="333333"/>
          <w:sz w:val="22"/>
          <w:szCs w:val="22"/>
        </w:rPr>
        <w:t xml:space="preserve">An Architecture Decision Record, or ADR, is a document that captures an important architecture decision, together with its context, the options considered, and the rationale for the chosen option. ADRs are the primary instrument for recording architecture decisions in a structured and traceable way.</w:t>
      </w:r>
    </w:p>
    <w:p>
      <w:pPr>
        <w:spacing w:before="80" w:after="120"/>
        <w:jc w:val="both"/>
      </w:pPr>
      <w:r>
        <w:rPr>
          <w:rFonts w:ascii="Arial" w:cs="Arial" w:eastAsia="Arial" w:hAnsi="Arial"/>
          <w:color w:val="333333"/>
          <w:sz w:val="22"/>
          <w:szCs w:val="22"/>
        </w:rPr>
        <w:t xml:space="preserve">A well-structured ADR contains the following fields.</w:t>
      </w:r>
    </w:p>
    <w:p>
      <w:pPr>
        <w:pStyle w:val="ListParagraph"/>
        <w:numPr>
          <w:ilvl w:val="0"/>
          <w:numId w:val="2"/>
        </w:numPr>
        <w:spacing w:before="60" w:after="60"/>
      </w:pPr>
      <w:r>
        <w:rPr>
          <w:rFonts w:ascii="Arial" w:cs="Arial" w:eastAsia="Arial" w:hAnsi="Arial"/>
          <w:b/>
          <w:bCs/>
          <w:color w:val="0070AD"/>
          <w:sz w:val="22"/>
          <w:szCs w:val="22"/>
        </w:rPr>
        <w:t xml:space="preserve">Title: </w:t>
      </w:r>
      <w:r>
        <w:rPr>
          <w:rFonts w:ascii="Arial" w:cs="Arial" w:eastAsia="Arial" w:hAnsi="Arial"/>
          <w:color w:val="333333"/>
          <w:sz w:val="22"/>
          <w:szCs w:val="22"/>
        </w:rPr>
        <w:t xml:space="preserve">A short, descriptive name for the decision.</w:t>
      </w:r>
    </w:p>
    <w:p>
      <w:pPr>
        <w:pStyle w:val="ListParagraph"/>
        <w:numPr>
          <w:ilvl w:val="0"/>
          <w:numId w:val="2"/>
        </w:numPr>
        <w:spacing w:before="60" w:after="60"/>
      </w:pPr>
      <w:r>
        <w:rPr>
          <w:rFonts w:ascii="Arial" w:cs="Arial" w:eastAsia="Arial" w:hAnsi="Arial"/>
          <w:b/>
          <w:bCs/>
          <w:color w:val="0070AD"/>
          <w:sz w:val="22"/>
          <w:szCs w:val="22"/>
        </w:rPr>
        <w:t xml:space="preserve">Status: </w:t>
      </w:r>
      <w:r>
        <w:rPr>
          <w:rFonts w:ascii="Arial" w:cs="Arial" w:eastAsia="Arial" w:hAnsi="Arial"/>
          <w:color w:val="333333"/>
          <w:sz w:val="22"/>
          <w:szCs w:val="22"/>
        </w:rPr>
        <w:t xml:space="preserve">The current state of the decision: Proposed, Accepted, Deprecated, or Superseded.</w:t>
      </w:r>
    </w:p>
    <w:p>
      <w:pPr>
        <w:pStyle w:val="ListParagraph"/>
        <w:numPr>
          <w:ilvl w:val="0"/>
          <w:numId w:val="2"/>
        </w:numPr>
        <w:spacing w:before="60" w:after="60"/>
      </w:pPr>
      <w:r>
        <w:rPr>
          <w:rFonts w:ascii="Arial" w:cs="Arial" w:eastAsia="Arial" w:hAnsi="Arial"/>
          <w:b/>
          <w:bCs/>
          <w:color w:val="0070AD"/>
          <w:sz w:val="22"/>
          <w:szCs w:val="22"/>
        </w:rPr>
        <w:t xml:space="preserve">Context: </w:t>
      </w:r>
      <w:r>
        <w:rPr>
          <w:rFonts w:ascii="Arial" w:cs="Arial" w:eastAsia="Arial" w:hAnsi="Arial"/>
          <w:color w:val="333333"/>
          <w:sz w:val="22"/>
          <w:szCs w:val="22"/>
        </w:rPr>
        <w:t xml:space="preserve">The problem or situation that prompted the decision.</w:t>
      </w:r>
    </w:p>
    <w:p>
      <w:pPr>
        <w:pStyle w:val="ListParagraph"/>
        <w:numPr>
          <w:ilvl w:val="0"/>
          <w:numId w:val="2"/>
        </w:numPr>
        <w:spacing w:before="60" w:after="60"/>
      </w:pPr>
      <w:r>
        <w:rPr>
          <w:rFonts w:ascii="Arial" w:cs="Arial" w:eastAsia="Arial" w:hAnsi="Arial"/>
          <w:b/>
          <w:bCs/>
          <w:color w:val="0070AD"/>
          <w:sz w:val="22"/>
          <w:szCs w:val="22"/>
        </w:rPr>
        <w:t xml:space="preserve">Options Considered: </w:t>
      </w:r>
      <w:r>
        <w:rPr>
          <w:rFonts w:ascii="Arial" w:cs="Arial" w:eastAsia="Arial" w:hAnsi="Arial"/>
          <w:color w:val="333333"/>
          <w:sz w:val="22"/>
          <w:szCs w:val="22"/>
        </w:rPr>
        <w:t xml:space="preserve">A list of the alternatives that were evaluated.</w:t>
      </w:r>
    </w:p>
    <w:p>
      <w:pPr>
        <w:pStyle w:val="ListParagraph"/>
        <w:numPr>
          <w:ilvl w:val="0"/>
          <w:numId w:val="2"/>
        </w:numPr>
        <w:spacing w:before="60" w:after="60"/>
      </w:pPr>
      <w:r>
        <w:rPr>
          <w:rFonts w:ascii="Arial" w:cs="Arial" w:eastAsia="Arial" w:hAnsi="Arial"/>
          <w:b/>
          <w:bCs/>
          <w:color w:val="0070AD"/>
          <w:sz w:val="22"/>
          <w:szCs w:val="22"/>
        </w:rPr>
        <w:t xml:space="preserve">Decision: </w:t>
      </w:r>
      <w:r>
        <w:rPr>
          <w:rFonts w:ascii="Arial" w:cs="Arial" w:eastAsia="Arial" w:hAnsi="Arial"/>
          <w:color w:val="333333"/>
          <w:sz w:val="22"/>
          <w:szCs w:val="22"/>
        </w:rPr>
        <w:t xml:space="preserve">The option that was selected.</w:t>
      </w:r>
    </w:p>
    <w:p>
      <w:pPr>
        <w:pStyle w:val="ListParagraph"/>
        <w:numPr>
          <w:ilvl w:val="0"/>
          <w:numId w:val="2"/>
        </w:numPr>
        <w:spacing w:before="60" w:after="60"/>
      </w:pPr>
      <w:r>
        <w:rPr>
          <w:rFonts w:ascii="Arial" w:cs="Arial" w:eastAsia="Arial" w:hAnsi="Arial"/>
          <w:b/>
          <w:bCs/>
          <w:color w:val="0070AD"/>
          <w:sz w:val="22"/>
          <w:szCs w:val="22"/>
        </w:rPr>
        <w:t xml:space="preserve">Rationale: </w:t>
      </w:r>
      <w:r>
        <w:rPr>
          <w:rFonts w:ascii="Arial" w:cs="Arial" w:eastAsia="Arial" w:hAnsi="Arial"/>
          <w:color w:val="333333"/>
          <w:sz w:val="22"/>
          <w:szCs w:val="22"/>
        </w:rPr>
        <w:t xml:space="preserve">The reasons why the chosen option was selected over the alternatives.</w:t>
      </w:r>
    </w:p>
    <w:p>
      <w:pPr>
        <w:pStyle w:val="ListParagraph"/>
        <w:numPr>
          <w:ilvl w:val="0"/>
          <w:numId w:val="2"/>
        </w:numPr>
        <w:spacing w:before="60" w:after="60"/>
      </w:pPr>
      <w:r>
        <w:rPr>
          <w:rFonts w:ascii="Arial" w:cs="Arial" w:eastAsia="Arial" w:hAnsi="Arial"/>
          <w:b/>
          <w:bCs/>
          <w:color w:val="0070AD"/>
          <w:sz w:val="22"/>
          <w:szCs w:val="22"/>
        </w:rPr>
        <w:t xml:space="preserve">Consequences: </w:t>
      </w:r>
      <w:r>
        <w:rPr>
          <w:rFonts w:ascii="Arial" w:cs="Arial" w:eastAsia="Arial" w:hAnsi="Arial"/>
          <w:color w:val="333333"/>
          <w:sz w:val="22"/>
          <w:szCs w:val="22"/>
        </w:rPr>
        <w:t xml:space="preserve">The expected outcomes and implications of the decision, including trade-offs and risks.</w:t>
      </w:r>
    </w:p>
    <w:p>
      <w:pPr>
        <w:pStyle w:val="ListParagraph"/>
        <w:numPr>
          <w:ilvl w:val="0"/>
          <w:numId w:val="2"/>
        </w:numPr>
        <w:spacing w:before="60" w:after="60"/>
      </w:pPr>
      <w:r>
        <w:rPr>
          <w:rFonts w:ascii="Arial" w:cs="Arial" w:eastAsia="Arial" w:hAnsi="Arial"/>
          <w:b/>
          <w:bCs/>
          <w:color w:val="0070AD"/>
          <w:sz w:val="22"/>
          <w:szCs w:val="22"/>
        </w:rPr>
        <w:t xml:space="preserve">Related Decisions: </w:t>
      </w:r>
      <w:r>
        <w:rPr>
          <w:rFonts w:ascii="Arial" w:cs="Arial" w:eastAsia="Arial" w:hAnsi="Arial"/>
          <w:color w:val="333333"/>
          <w:sz w:val="22"/>
          <w:szCs w:val="22"/>
        </w:rPr>
        <w:t xml:space="preserve">Links to related ADRs that influenced or are influenced by this decision.</w:t>
      </w:r>
    </w:p>
    <w:p>
      <w:pPr>
        <w:spacing w:before="0" w:after="120"/>
      </w:pPr>
    </w:p>
    <w:p>
      <w:pPr>
        <w:pStyle w:val="Heading2"/>
        <w:spacing w:before="280" w:after="140"/>
      </w:pPr>
      <w:r>
        <w:rPr>
          <w:rFonts w:ascii="Arial" w:cs="Arial" w:eastAsia="Arial" w:hAnsi="Arial"/>
          <w:b/>
          <w:bCs/>
          <w:color w:val="005A8E"/>
          <w:sz w:val="28"/>
          <w:szCs w:val="28"/>
        </w:rPr>
        <w:t xml:space="preserve">9.2 Decision Traceability</w:t>
      </w:r>
    </w:p>
    <w:p>
      <w:pPr>
        <w:spacing w:before="80" w:after="120"/>
        <w:jc w:val="both"/>
      </w:pPr>
      <w:r>
        <w:rPr>
          <w:rFonts w:ascii="Arial" w:cs="Arial" w:eastAsia="Arial" w:hAnsi="Arial"/>
          <w:color w:val="333333"/>
          <w:sz w:val="22"/>
          <w:szCs w:val="22"/>
        </w:rPr>
        <w:t xml:space="preserve">Decision traceability means that every architecture decision can be traced back to the business requirement or strategic objective it was made to address. This is essential for several reasons.</w:t>
      </w:r>
    </w:p>
    <w:p>
      <w:pPr>
        <w:pStyle w:val="ListParagraph"/>
        <w:numPr>
          <w:ilvl w:val="0"/>
          <w:numId w:val="2"/>
        </w:numPr>
        <w:spacing w:before="60" w:after="60"/>
      </w:pPr>
      <w:r>
        <w:rPr>
          <w:rFonts w:ascii="Arial" w:cs="Arial" w:eastAsia="Arial" w:hAnsi="Arial"/>
          <w:color w:val="333333"/>
          <w:sz w:val="22"/>
          <w:szCs w:val="22"/>
        </w:rPr>
        <w:t xml:space="preserve">It allows stakeholders to understand why a particular design choice was made.</w:t>
      </w:r>
    </w:p>
    <w:p>
      <w:pPr>
        <w:pStyle w:val="ListParagraph"/>
        <w:numPr>
          <w:ilvl w:val="0"/>
          <w:numId w:val="2"/>
        </w:numPr>
        <w:spacing w:before="60" w:after="60"/>
      </w:pPr>
      <w:r>
        <w:rPr>
          <w:rFonts w:ascii="Arial" w:cs="Arial" w:eastAsia="Arial" w:hAnsi="Arial"/>
          <w:color w:val="333333"/>
          <w:sz w:val="22"/>
          <w:szCs w:val="22"/>
        </w:rPr>
        <w:t xml:space="preserve">It supports impact analysis when business requirements change, by identifying which decisions may need to be revisited.</w:t>
      </w:r>
    </w:p>
    <w:p>
      <w:pPr>
        <w:pStyle w:val="ListParagraph"/>
        <w:numPr>
          <w:ilvl w:val="0"/>
          <w:numId w:val="2"/>
        </w:numPr>
        <w:spacing w:before="60" w:after="60"/>
      </w:pPr>
      <w:r>
        <w:rPr>
          <w:rFonts w:ascii="Arial" w:cs="Arial" w:eastAsia="Arial" w:hAnsi="Arial"/>
          <w:color w:val="333333"/>
          <w:sz w:val="22"/>
          <w:szCs w:val="22"/>
        </w:rPr>
        <w:t xml:space="preserve">It provides evidence of governance compliance during audits or assurance reviews.</w:t>
      </w:r>
    </w:p>
    <w:p>
      <w:pPr>
        <w:pStyle w:val="ListParagraph"/>
        <w:numPr>
          <w:ilvl w:val="0"/>
          <w:numId w:val="2"/>
        </w:numPr>
        <w:spacing w:before="60" w:after="60"/>
      </w:pPr>
      <w:r>
        <w:rPr>
          <w:rFonts w:ascii="Arial" w:cs="Arial" w:eastAsia="Arial" w:hAnsi="Arial"/>
          <w:color w:val="333333"/>
          <w:sz w:val="22"/>
          <w:szCs w:val="22"/>
        </w:rPr>
        <w:t xml:space="preserve">It supports knowledge transfer when team members change, ensuring that institutional knowledge is not lost.</w:t>
      </w:r>
    </w:p>
    <w:p>
      <w:pPr>
        <w:spacing w:before="80" w:after="120"/>
        <w:jc w:val="both"/>
      </w:pPr>
      <w:r>
        <w:rPr>
          <w:rFonts w:ascii="Arial" w:cs="Arial" w:eastAsia="Arial" w:hAnsi="Arial"/>
          <w:color w:val="333333"/>
          <w:sz w:val="22"/>
          <w:szCs w:val="22"/>
        </w:rPr>
        <w:t xml:space="preserve">Capgemini uses ADR repositories, often maintained in version-controlled systems such as Git, to preserve the history of architecture decisions throughout the programme lifecycle.</w:t>
      </w:r>
    </w:p>
    <w:p>
      <w:pPr>
        <w:spacing w:before="0" w:after="120"/>
      </w:pPr>
    </w:p>
    <w:p>
      <w:pPr>
        <w:pStyle w:val="Heading2"/>
        <w:spacing w:before="280" w:after="140"/>
      </w:pPr>
      <w:r>
        <w:rPr>
          <w:rFonts w:ascii="Arial" w:cs="Arial" w:eastAsia="Arial" w:hAnsi="Arial"/>
          <w:b/>
          <w:bCs/>
          <w:color w:val="005A8E"/>
          <w:sz w:val="28"/>
          <w:szCs w:val="28"/>
        </w:rPr>
        <w:t xml:space="preserve">9.3 Governance of Architectural Choices</w:t>
      </w:r>
    </w:p>
    <w:p>
      <w:pPr>
        <w:spacing w:before="80" w:after="120"/>
        <w:jc w:val="both"/>
      </w:pPr>
      <w:r>
        <w:rPr>
          <w:rFonts w:ascii="Arial" w:cs="Arial" w:eastAsia="Arial" w:hAnsi="Arial"/>
          <w:color w:val="333333"/>
          <w:sz w:val="22"/>
          <w:szCs w:val="22"/>
        </w:rPr>
        <w:t xml:space="preserve">Not all architecture decisions require the same level of governance scrutiny. Capgemini applies a tiered approach to decision governance.</w:t>
      </w:r>
    </w:p>
    <w:p>
      <w:pPr>
        <w:pStyle w:val="ListParagraph"/>
        <w:numPr>
          <w:ilvl w:val="0"/>
          <w:numId w:val="2"/>
        </w:numPr>
        <w:spacing w:before="60" w:after="60"/>
      </w:pPr>
      <w:r>
        <w:rPr>
          <w:rFonts w:ascii="Arial" w:cs="Arial" w:eastAsia="Arial" w:hAnsi="Arial"/>
          <w:b/>
          <w:bCs/>
          <w:color w:val="0070AD"/>
          <w:sz w:val="22"/>
          <w:szCs w:val="22"/>
        </w:rPr>
        <w:t xml:space="preserve">Tier 1 — Strategic Decisions: </w:t>
      </w:r>
      <w:r>
        <w:rPr>
          <w:rFonts w:ascii="Arial" w:cs="Arial" w:eastAsia="Arial" w:hAnsi="Arial"/>
          <w:color w:val="333333"/>
          <w:sz w:val="22"/>
          <w:szCs w:val="22"/>
        </w:rPr>
        <w:t xml:space="preserve">Decisions that define the overall direction of the architecture, such as the choice of cloud provider or the adoption of a microservices strategy. These require ARB approval.</w:t>
      </w:r>
    </w:p>
    <w:p>
      <w:pPr>
        <w:pStyle w:val="ListParagraph"/>
        <w:numPr>
          <w:ilvl w:val="0"/>
          <w:numId w:val="2"/>
        </w:numPr>
        <w:spacing w:before="60" w:after="60"/>
      </w:pPr>
      <w:r>
        <w:rPr>
          <w:rFonts w:ascii="Arial" w:cs="Arial" w:eastAsia="Arial" w:hAnsi="Arial"/>
          <w:b/>
          <w:bCs/>
          <w:color w:val="0070AD"/>
          <w:sz w:val="22"/>
          <w:szCs w:val="22"/>
        </w:rPr>
        <w:t xml:space="preserve">Tier 2 — Design Decisions: </w:t>
      </w:r>
      <w:r>
        <w:rPr>
          <w:rFonts w:ascii="Arial" w:cs="Arial" w:eastAsia="Arial" w:hAnsi="Arial"/>
          <w:color w:val="333333"/>
          <w:sz w:val="22"/>
          <w:szCs w:val="22"/>
        </w:rPr>
        <w:t xml:space="preserve">Decisions that determine the structure and behaviour of a specific solution component. These typically require Domain Architect approval.</w:t>
      </w:r>
    </w:p>
    <w:p>
      <w:pPr>
        <w:pStyle w:val="ListParagraph"/>
        <w:numPr>
          <w:ilvl w:val="0"/>
          <w:numId w:val="2"/>
        </w:numPr>
        <w:spacing w:before="60" w:after="60"/>
      </w:pPr>
      <w:r>
        <w:rPr>
          <w:rFonts w:ascii="Arial" w:cs="Arial" w:eastAsia="Arial" w:hAnsi="Arial"/>
          <w:b/>
          <w:bCs/>
          <w:color w:val="0070AD"/>
          <w:sz w:val="22"/>
          <w:szCs w:val="22"/>
        </w:rPr>
        <w:t xml:space="preserve">Tier 3 — Implementation Decisions: </w:t>
      </w:r>
      <w:r>
        <w:rPr>
          <w:rFonts w:ascii="Arial" w:cs="Arial" w:eastAsia="Arial" w:hAnsi="Arial"/>
          <w:color w:val="333333"/>
          <w:sz w:val="22"/>
          <w:szCs w:val="22"/>
        </w:rPr>
        <w:t xml:space="preserve">Low-level decisions about specific technology choices within an approved pattern. These may be made by Solution Architects within defined guardrails.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10  </w:t>
      </w:r>
      <w:r>
        <w:rPr>
          <w:rFonts w:ascii="Arial" w:cs="Arial" w:eastAsia="Arial" w:hAnsi="Arial"/>
          <w:b/>
          <w:bCs/>
          <w:color w:val="0070AD"/>
          <w:sz w:val="44"/>
          <w:szCs w:val="44"/>
        </w:rPr>
        <w:t xml:space="preserve">Enterprise Frameworks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10. Integration with Enterprise Frameworks</w:t>
      </w:r>
    </w:p>
    <w:p>
      <w:pPr>
        <w:pStyle w:val="Heading2"/>
        <w:spacing w:before="280" w:after="140"/>
      </w:pPr>
      <w:r>
        <w:rPr>
          <w:rFonts w:ascii="Arial" w:cs="Arial" w:eastAsia="Arial" w:hAnsi="Arial"/>
          <w:b/>
          <w:bCs/>
          <w:color w:val="005A8E"/>
          <w:sz w:val="28"/>
          <w:szCs w:val="28"/>
        </w:rPr>
        <w:t xml:space="preserve">10.1 TOGAF</w:t>
      </w:r>
    </w:p>
    <w:p>
      <w:pPr>
        <w:spacing w:before="80" w:after="120"/>
        <w:jc w:val="both"/>
      </w:pPr>
      <w:r>
        <w:rPr>
          <w:rFonts w:ascii="Arial" w:cs="Arial" w:eastAsia="Arial" w:hAnsi="Arial"/>
          <w:color w:val="333333"/>
          <w:sz w:val="22"/>
          <w:szCs w:val="22"/>
        </w:rPr>
        <w:t xml:space="preserve">The Open Group Architecture Framework, known as TOGAF, is the most widely adopted enterprise architecture framework globally. Capgemini's architecture practice is substantially aligned to TOGAF. The Architecture Development Method, or ADM, which is TOGAF's core process, forms the foundation of Capgemini's architecture lifecycle.</w:t>
      </w:r>
    </w:p>
    <w:p>
      <w:pPr>
        <w:spacing w:before="80" w:after="120"/>
        <w:jc w:val="both"/>
      </w:pPr>
      <w:r>
        <w:rPr>
          <w:rFonts w:ascii="Arial" w:cs="Arial" w:eastAsia="Arial" w:hAnsi="Arial"/>
          <w:color w:val="333333"/>
          <w:sz w:val="22"/>
          <w:szCs w:val="22"/>
        </w:rPr>
        <w:t xml:space="preserve">Specifically, Capgemini aligns with TOGAF in the following ways.</w:t>
      </w:r>
    </w:p>
    <w:p>
      <w:pPr>
        <w:pStyle w:val="ListParagraph"/>
        <w:numPr>
          <w:ilvl w:val="0"/>
          <w:numId w:val="2"/>
        </w:numPr>
        <w:spacing w:before="60" w:after="60"/>
      </w:pPr>
      <w:r>
        <w:rPr>
          <w:rFonts w:ascii="Arial" w:cs="Arial" w:eastAsia="Arial" w:hAnsi="Arial"/>
          <w:color w:val="333333"/>
          <w:sz w:val="22"/>
          <w:szCs w:val="22"/>
        </w:rPr>
        <w:t xml:space="preserve">The architecture lifecycle follows the phases of the ADM, from Preliminary through Architecture Vision, domain architectures, migration planning, and implementation governance.</w:t>
      </w:r>
    </w:p>
    <w:p>
      <w:pPr>
        <w:pStyle w:val="ListParagraph"/>
        <w:numPr>
          <w:ilvl w:val="0"/>
          <w:numId w:val="2"/>
        </w:numPr>
        <w:spacing w:before="60" w:after="60"/>
      </w:pPr>
      <w:r>
        <w:rPr>
          <w:rFonts w:ascii="Arial" w:cs="Arial" w:eastAsia="Arial" w:hAnsi="Arial"/>
          <w:color w:val="333333"/>
          <w:sz w:val="22"/>
          <w:szCs w:val="22"/>
        </w:rPr>
        <w:t xml:space="preserve">The concept of Architecture Building Blocks is drawn directly from TOGAF.</w:t>
      </w:r>
    </w:p>
    <w:p>
      <w:pPr>
        <w:pStyle w:val="ListParagraph"/>
        <w:numPr>
          <w:ilvl w:val="0"/>
          <w:numId w:val="2"/>
        </w:numPr>
        <w:spacing w:before="60" w:after="60"/>
      </w:pPr>
      <w:r>
        <w:rPr>
          <w:rFonts w:ascii="Arial" w:cs="Arial" w:eastAsia="Arial" w:hAnsi="Arial"/>
          <w:color w:val="333333"/>
          <w:sz w:val="22"/>
          <w:szCs w:val="22"/>
        </w:rPr>
        <w:t xml:space="preserve">The Architecture Repository, which stores architecture artefacts and decisions, follows the TOGAF content metamodel.</w:t>
      </w:r>
    </w:p>
    <w:p>
      <w:pPr>
        <w:pStyle w:val="ListParagraph"/>
        <w:numPr>
          <w:ilvl w:val="0"/>
          <w:numId w:val="2"/>
        </w:numPr>
        <w:spacing w:before="60" w:after="60"/>
      </w:pPr>
      <w:r>
        <w:rPr>
          <w:rFonts w:ascii="Arial" w:cs="Arial" w:eastAsia="Arial" w:hAnsi="Arial"/>
          <w:color w:val="333333"/>
          <w:sz w:val="22"/>
          <w:szCs w:val="22"/>
        </w:rPr>
        <w:t xml:space="preserve">Governance mechanisms, including the Architecture Review Board and compliance processes, reflect TOGAF's Architecture Governance Framework.</w:t>
      </w:r>
    </w:p>
    <w:p>
      <w:pPr>
        <w:spacing w:before="80" w:after="120"/>
        <w:jc w:val="both"/>
      </w:pPr>
      <w:r>
        <w:rPr>
          <w:rFonts w:ascii="Arial" w:cs="Arial" w:eastAsia="Arial" w:hAnsi="Arial"/>
          <w:color w:val="333333"/>
          <w:sz w:val="22"/>
          <w:szCs w:val="22"/>
        </w:rPr>
        <w:t xml:space="preserve">Where TOGAF is too prescriptive or heavyweight for a given engagement context, Capgemini applies a tailored subset of TOGAF practices appropriate to the programme's scale and complexity.</w:t>
      </w:r>
    </w:p>
    <w:p>
      <w:pPr>
        <w:spacing w:before="0" w:after="120"/>
      </w:pPr>
    </w:p>
    <w:p>
      <w:pPr>
        <w:pStyle w:val="Heading2"/>
        <w:spacing w:before="280" w:after="140"/>
      </w:pPr>
      <w:r>
        <w:rPr>
          <w:rFonts w:ascii="Arial" w:cs="Arial" w:eastAsia="Arial" w:hAnsi="Arial"/>
          <w:b/>
          <w:bCs/>
          <w:color w:val="005A8E"/>
          <w:sz w:val="28"/>
          <w:szCs w:val="28"/>
        </w:rPr>
        <w:t xml:space="preserve">10.2 Cloud Architecture Frameworks</w:t>
      </w:r>
    </w:p>
    <w:p>
      <w:pPr>
        <w:spacing w:before="80" w:after="120"/>
        <w:jc w:val="both"/>
      </w:pPr>
      <w:r>
        <w:rPr>
          <w:rFonts w:ascii="Arial" w:cs="Arial" w:eastAsia="Arial" w:hAnsi="Arial"/>
          <w:color w:val="333333"/>
          <w:sz w:val="22"/>
          <w:szCs w:val="22"/>
        </w:rPr>
        <w:t xml:space="preserve">As cloud adoption has become the dominant technology paradigm, Capgemini's architecture practice integrates cloud-specific frameworks alongside TOGAF. The major cloud providers each publish their own architecture frameworks and best practice guidance.</w:t>
      </w:r>
    </w:p>
    <w:p>
      <w:pPr>
        <w:pStyle w:val="ListParagraph"/>
        <w:numPr>
          <w:ilvl w:val="0"/>
          <w:numId w:val="2"/>
        </w:numPr>
        <w:spacing w:before="60" w:after="60"/>
      </w:pPr>
      <w:r>
        <w:rPr>
          <w:rFonts w:ascii="Arial" w:cs="Arial" w:eastAsia="Arial" w:hAnsi="Arial"/>
          <w:color w:val="333333"/>
          <w:sz w:val="22"/>
          <w:szCs w:val="22"/>
        </w:rPr>
        <w:t xml:space="preserve">The AWS Well-Architected Framework defines six pillars: Operational Excellence, Security, Reliability, Performance Efficiency, Cost Optimisation, and Sustainability.</w:t>
      </w:r>
    </w:p>
    <w:p>
      <w:pPr>
        <w:pStyle w:val="ListParagraph"/>
        <w:numPr>
          <w:ilvl w:val="0"/>
          <w:numId w:val="2"/>
        </w:numPr>
        <w:spacing w:before="60" w:after="60"/>
      </w:pPr>
      <w:r>
        <w:rPr>
          <w:rFonts w:ascii="Arial" w:cs="Arial" w:eastAsia="Arial" w:hAnsi="Arial"/>
          <w:color w:val="333333"/>
          <w:sz w:val="22"/>
          <w:szCs w:val="22"/>
        </w:rPr>
        <w:t xml:space="preserve">The Microsoft Azure Well-Architected Framework provides similar guidance for Azure-based solutions.</w:t>
      </w:r>
    </w:p>
    <w:p>
      <w:pPr>
        <w:pStyle w:val="ListParagraph"/>
        <w:numPr>
          <w:ilvl w:val="0"/>
          <w:numId w:val="2"/>
        </w:numPr>
        <w:spacing w:before="60" w:after="60"/>
      </w:pPr>
      <w:r>
        <w:rPr>
          <w:rFonts w:ascii="Arial" w:cs="Arial" w:eastAsia="Arial" w:hAnsi="Arial"/>
          <w:color w:val="333333"/>
          <w:sz w:val="22"/>
          <w:szCs w:val="22"/>
        </w:rPr>
        <w:t xml:space="preserve">The Google Cloud Architecture Framework covers design principles for resilient, scalable, and secure solutions on Google Cloud.</w:t>
      </w:r>
    </w:p>
    <w:p>
      <w:pPr>
        <w:spacing w:before="80" w:after="120"/>
        <w:jc w:val="both"/>
      </w:pPr>
      <w:r>
        <w:rPr>
          <w:rFonts w:ascii="Arial" w:cs="Arial" w:eastAsia="Arial" w:hAnsi="Arial"/>
          <w:color w:val="333333"/>
          <w:sz w:val="22"/>
          <w:szCs w:val="22"/>
        </w:rPr>
        <w:t xml:space="preserve">Capgemini architects use these frameworks as reference points when designing cloud solutions, ensuring that cloud-native workloads are designed to meet the best practice standards of the relevant cloud provider. This is complementary to, rather than in competition with, TOGAF-based enterprise architecture.</w:t>
      </w:r>
    </w:p>
    <w:p>
      <w:pPr>
        <w:spacing w:before="0" w:after="120"/>
      </w:pPr>
    </w:p>
    <w:p>
      <w:pPr>
        <w:pStyle w:val="Heading2"/>
        <w:spacing w:before="280" w:after="140"/>
      </w:pPr>
      <w:r>
        <w:rPr>
          <w:rFonts w:ascii="Arial" w:cs="Arial" w:eastAsia="Arial" w:hAnsi="Arial"/>
          <w:b/>
          <w:bCs/>
          <w:color w:val="005A8E"/>
          <w:sz w:val="28"/>
          <w:szCs w:val="28"/>
        </w:rPr>
        <w:t xml:space="preserve">10.3 Modern Digital Platforms</w:t>
      </w:r>
    </w:p>
    <w:p>
      <w:pPr>
        <w:spacing w:before="80" w:after="120"/>
        <w:jc w:val="both"/>
      </w:pPr>
      <w:r>
        <w:rPr>
          <w:rFonts w:ascii="Arial" w:cs="Arial" w:eastAsia="Arial" w:hAnsi="Arial"/>
          <w:color w:val="333333"/>
          <w:sz w:val="22"/>
          <w:szCs w:val="22"/>
        </w:rPr>
        <w:t xml:space="preserve">Digital transformation programmes increasingly involve modern platform ecosystems, including Software-as-a-Service applications, low-code platforms, data platforms, and AI services. Capgemini's architecture concepts are applied to govern the adoption and integration of these platforms.</w:t>
      </w:r>
    </w:p>
    <w:p>
      <w:pPr>
        <w:spacing w:before="80" w:after="120"/>
        <w:jc w:val="both"/>
      </w:pPr>
      <w:r>
        <w:rPr>
          <w:rFonts w:ascii="Arial" w:cs="Arial" w:eastAsia="Arial" w:hAnsi="Arial"/>
          <w:color w:val="333333"/>
          <w:sz w:val="22"/>
          <w:szCs w:val="22"/>
        </w:rPr>
        <w:t xml:space="preserve">Key considerations when integrating modern digital platforms into the enterprise architecture include:</w:t>
      </w:r>
    </w:p>
    <w:p>
      <w:pPr>
        <w:pStyle w:val="ListParagraph"/>
        <w:numPr>
          <w:ilvl w:val="0"/>
          <w:numId w:val="2"/>
        </w:numPr>
        <w:spacing w:before="60" w:after="60"/>
      </w:pPr>
      <w:r>
        <w:rPr>
          <w:rFonts w:ascii="Arial" w:cs="Arial" w:eastAsia="Arial" w:hAnsi="Arial"/>
          <w:color w:val="333333"/>
          <w:sz w:val="22"/>
          <w:szCs w:val="22"/>
        </w:rPr>
        <w:t xml:space="preserve">API-first integration strategies that expose platform capabilities through well-governed APIs.</w:t>
      </w:r>
    </w:p>
    <w:p>
      <w:pPr>
        <w:pStyle w:val="ListParagraph"/>
        <w:numPr>
          <w:ilvl w:val="0"/>
          <w:numId w:val="2"/>
        </w:numPr>
        <w:spacing w:before="60" w:after="60"/>
      </w:pPr>
      <w:r>
        <w:rPr>
          <w:rFonts w:ascii="Arial" w:cs="Arial" w:eastAsia="Arial" w:hAnsi="Arial"/>
          <w:color w:val="333333"/>
          <w:sz w:val="22"/>
          <w:szCs w:val="22"/>
        </w:rPr>
        <w:t xml:space="preserve">Data governance models that manage data flows between platforms and the enterprise data estate.</w:t>
      </w:r>
    </w:p>
    <w:p>
      <w:pPr>
        <w:pStyle w:val="ListParagraph"/>
        <w:numPr>
          <w:ilvl w:val="0"/>
          <w:numId w:val="2"/>
        </w:numPr>
        <w:spacing w:before="60" w:after="60"/>
      </w:pPr>
      <w:r>
        <w:rPr>
          <w:rFonts w:ascii="Arial" w:cs="Arial" w:eastAsia="Arial" w:hAnsi="Arial"/>
          <w:color w:val="333333"/>
          <w:sz w:val="22"/>
          <w:szCs w:val="22"/>
        </w:rPr>
        <w:t xml:space="preserve">Identity and access management strategies that extend corporate identity to cloud and SaaS platforms.</w:t>
      </w:r>
    </w:p>
    <w:p>
      <w:pPr>
        <w:pStyle w:val="ListParagraph"/>
        <w:numPr>
          <w:ilvl w:val="0"/>
          <w:numId w:val="2"/>
        </w:numPr>
        <w:spacing w:before="60" w:after="60"/>
      </w:pPr>
      <w:r>
        <w:rPr>
          <w:rFonts w:ascii="Arial" w:cs="Arial" w:eastAsia="Arial" w:hAnsi="Arial"/>
          <w:color w:val="333333"/>
          <w:sz w:val="22"/>
          <w:szCs w:val="22"/>
        </w:rPr>
        <w:t xml:space="preserve">Exit strategies and portability considerations that prevent vendor lock-in.</w:t>
      </w:r>
    </w:p>
    <w:p>
      <w:pPr>
        <w:pStyle w:val="ListParagraph"/>
        <w:numPr>
          <w:ilvl w:val="0"/>
          <w:numId w:val="2"/>
        </w:numPr>
        <w:spacing w:before="60" w:after="60"/>
      </w:pPr>
      <w:r>
        <w:rPr>
          <w:rFonts w:ascii="Arial" w:cs="Arial" w:eastAsia="Arial" w:hAnsi="Arial"/>
          <w:color w:val="333333"/>
          <w:sz w:val="22"/>
          <w:szCs w:val="22"/>
        </w:rPr>
        <w:t xml:space="preserve">Total cost of ownership models that account for licensing, integration, and operational costs.</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11  </w:t>
      </w:r>
      <w:r>
        <w:rPr>
          <w:rFonts w:ascii="Arial" w:cs="Arial" w:eastAsia="Arial" w:hAnsi="Arial"/>
          <w:b/>
          <w:bCs/>
          <w:color w:val="0070AD"/>
          <w:sz w:val="44"/>
          <w:szCs w:val="44"/>
        </w:rPr>
        <w:t xml:space="preserve">Practical Example</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11. Practical Example</w:t>
      </w:r>
    </w:p>
    <w:p>
      <w:pPr>
        <w:spacing w:before="80" w:after="120"/>
        <w:jc w:val="both"/>
      </w:pPr>
      <w:r>
        <w:rPr>
          <w:rFonts w:ascii="Arial" w:cs="Arial" w:eastAsia="Arial" w:hAnsi="Arial"/>
          <w:color w:val="333333"/>
          <w:sz w:val="22"/>
          <w:szCs w:val="22"/>
        </w:rPr>
        <w:t xml:space="preserve">To illustrate how Capgemini Architecture Core Concepts are applied in practice, consider the following scenario.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D9EF" w:sz="1"/>
              <w:left w:val="single" w:color="0070AD" w:sz="12"/>
              <w:bottom w:val="single" w:color="B8D9EF" w:sz="1"/>
              <w:right w:val="single" w:color="B8D9EF" w:sz="1"/>
            </w:tcBorders>
            <w:shd w:fill="E6F2FA" w:val="clear"/>
            <w:tcMar>
              <w:top w:type="dxa" w:w="120"/>
              <w:left w:type="dxa" w:w="200"/>
              <w:bottom w:type="dxa" w:w="120"/>
              <w:right w:type="dxa" w:w="200"/>
            </w:tcMar>
          </w:tcPr>
          <w:p>
            <w:pPr>
              <w:spacing w:before="0" w:after="60"/>
            </w:pPr>
            <w:r>
              <w:rPr>
                <w:rFonts w:ascii="Arial" w:cs="Arial" w:eastAsia="Arial" w:hAnsi="Arial"/>
                <w:b/>
                <w:bCs/>
                <w:color w:val="0070AD"/>
                <w:sz w:val="22"/>
                <w:szCs w:val="22"/>
              </w:rPr>
              <w:t xml:space="preserve">Scenario</w:t>
            </w:r>
          </w:p>
          <w:p>
            <w:pPr>
              <w:spacing w:before="0" w:after="0"/>
            </w:pPr>
            <w:r>
              <w:rPr>
                <w:rFonts w:ascii="Arial" w:cs="Arial" w:eastAsia="Arial" w:hAnsi="Arial"/>
                <w:color w:val="333333"/>
                <w:sz w:val="20"/>
                <w:szCs w:val="20"/>
              </w:rPr>
              <w:t xml:space="preserve">A national retail bank engages Capgemini to support a digital transformation programme. The bank wants to modernise its core banking platform, adopt a cloud-first infrastructure strategy, launch a new mobile banking product, and improve its data analytics capabilities. The programme spans five years and involves over 200 people.</w:t>
            </w:r>
          </w:p>
        </w:tc>
      </w:tr>
    </w:tbl>
    <w:p>
      <w:pPr>
        <w:spacing w:before="0" w:after="160"/>
      </w:pPr>
    </w:p>
    <w:p>
      <w:pPr>
        <w:pStyle w:val="Heading2"/>
        <w:spacing w:before="280" w:after="140"/>
      </w:pPr>
      <w:r>
        <w:rPr>
          <w:rFonts w:ascii="Arial" w:cs="Arial" w:eastAsia="Arial" w:hAnsi="Arial"/>
          <w:b/>
          <w:bCs/>
          <w:color w:val="005A8E"/>
          <w:sz w:val="28"/>
          <w:szCs w:val="28"/>
        </w:rPr>
        <w:t xml:space="preserve">11.1 Establishing Architectural Foundations</w:t>
      </w:r>
    </w:p>
    <w:p>
      <w:pPr>
        <w:spacing w:before="80" w:after="120"/>
        <w:jc w:val="both"/>
      </w:pPr>
      <w:r>
        <w:rPr>
          <w:rFonts w:ascii="Arial" w:cs="Arial" w:eastAsia="Arial" w:hAnsi="Arial"/>
          <w:color w:val="333333"/>
          <w:sz w:val="22"/>
          <w:szCs w:val="22"/>
        </w:rPr>
        <w:t xml:space="preserve">In the Preliminary phase, the Capgemini architecture team works with the bank to establish the architecture capability. They define the architecture principles that will guide the programme. Key principles agreed include Cloud First, Security by Design, API First, and Design for Reuse.</w:t>
      </w:r>
    </w:p>
    <w:p>
      <w:pPr>
        <w:spacing w:before="80" w:after="120"/>
        <w:jc w:val="both"/>
      </w:pPr>
      <w:r>
        <w:rPr>
          <w:rFonts w:ascii="Arial" w:cs="Arial" w:eastAsia="Arial" w:hAnsi="Arial"/>
          <w:color w:val="333333"/>
          <w:sz w:val="22"/>
          <w:szCs w:val="22"/>
        </w:rPr>
        <w:t xml:space="preserve">An Architecture Review Board is established, co-chaired by the bank's Chief Architect and the Capgemini Lead Enterprise Architect. Decision authority levels are defined. An ADR repository is created in Git.</w:t>
      </w:r>
    </w:p>
    <w:p>
      <w:pPr>
        <w:spacing w:before="0" w:after="120"/>
      </w:pPr>
    </w:p>
    <w:p>
      <w:pPr>
        <w:pStyle w:val="Heading2"/>
        <w:spacing w:before="280" w:after="140"/>
      </w:pPr>
      <w:r>
        <w:rPr>
          <w:rFonts w:ascii="Arial" w:cs="Arial" w:eastAsia="Arial" w:hAnsi="Arial"/>
          <w:b/>
          <w:bCs/>
          <w:color w:val="005A8E"/>
          <w:sz w:val="28"/>
          <w:szCs w:val="28"/>
        </w:rPr>
        <w:t xml:space="preserve">11.2 Defining the Architecture Vision</w:t>
      </w:r>
    </w:p>
    <w:p>
      <w:pPr>
        <w:spacing w:before="80" w:after="120"/>
        <w:jc w:val="both"/>
      </w:pPr>
      <w:r>
        <w:rPr>
          <w:rFonts w:ascii="Arial" w:cs="Arial" w:eastAsia="Arial" w:hAnsi="Arial"/>
          <w:color w:val="333333"/>
          <w:sz w:val="22"/>
          <w:szCs w:val="22"/>
        </w:rPr>
        <w:t xml:space="preserve">The Architecture Vision is developed collaboratively with business and technology leadership. The vision defines a target state in which:</w:t>
      </w:r>
    </w:p>
    <w:p>
      <w:pPr>
        <w:pStyle w:val="ListParagraph"/>
        <w:numPr>
          <w:ilvl w:val="0"/>
          <w:numId w:val="2"/>
        </w:numPr>
        <w:spacing w:before="60" w:after="60"/>
      </w:pPr>
      <w:r>
        <w:rPr>
          <w:rFonts w:ascii="Arial" w:cs="Arial" w:eastAsia="Arial" w:hAnsi="Arial"/>
          <w:color w:val="333333"/>
          <w:sz w:val="22"/>
          <w:szCs w:val="22"/>
        </w:rPr>
        <w:t xml:space="preserve">Core banking functionality is delivered through a modern, cloud-native platform with open APIs.</w:t>
      </w:r>
    </w:p>
    <w:p>
      <w:pPr>
        <w:pStyle w:val="ListParagraph"/>
        <w:numPr>
          <w:ilvl w:val="0"/>
          <w:numId w:val="2"/>
        </w:numPr>
        <w:spacing w:before="60" w:after="60"/>
      </w:pPr>
      <w:r>
        <w:rPr>
          <w:rFonts w:ascii="Arial" w:cs="Arial" w:eastAsia="Arial" w:hAnsi="Arial"/>
          <w:color w:val="333333"/>
          <w:sz w:val="22"/>
          <w:szCs w:val="22"/>
        </w:rPr>
        <w:t xml:space="preserve">A centralised data platform aggregates data from all business domains to support analytics and personalisation.</w:t>
      </w:r>
    </w:p>
    <w:p>
      <w:pPr>
        <w:pStyle w:val="ListParagraph"/>
        <w:numPr>
          <w:ilvl w:val="0"/>
          <w:numId w:val="2"/>
        </w:numPr>
        <w:spacing w:before="60" w:after="60"/>
      </w:pPr>
      <w:r>
        <w:rPr>
          <w:rFonts w:ascii="Arial" w:cs="Arial" w:eastAsia="Arial" w:hAnsi="Arial"/>
          <w:color w:val="333333"/>
          <w:sz w:val="22"/>
          <w:szCs w:val="22"/>
        </w:rPr>
        <w:t xml:space="preserve">A mobile-first customer experience is delivered through a React Native application consuming APIs from the core banking layer.</w:t>
      </w:r>
    </w:p>
    <w:p>
      <w:pPr>
        <w:pStyle w:val="ListParagraph"/>
        <w:numPr>
          <w:ilvl w:val="0"/>
          <w:numId w:val="2"/>
        </w:numPr>
        <w:spacing w:before="60" w:after="60"/>
      </w:pPr>
      <w:r>
        <w:rPr>
          <w:rFonts w:ascii="Arial" w:cs="Arial" w:eastAsia="Arial" w:hAnsi="Arial"/>
          <w:color w:val="333333"/>
          <w:sz w:val="22"/>
          <w:szCs w:val="22"/>
        </w:rPr>
        <w:t xml:space="preserve">All infrastructure is deployed on a private cloud complemented by Microsoft Azure for new digital workloads.</w:t>
      </w:r>
    </w:p>
    <w:p>
      <w:pPr>
        <w:spacing w:before="0" w:after="120"/>
      </w:pPr>
    </w:p>
    <w:p>
      <w:pPr>
        <w:pStyle w:val="Heading2"/>
        <w:spacing w:before="280" w:after="140"/>
      </w:pPr>
      <w:r>
        <w:rPr>
          <w:rFonts w:ascii="Arial" w:cs="Arial" w:eastAsia="Arial" w:hAnsi="Arial"/>
          <w:b/>
          <w:bCs/>
          <w:color w:val="005A8E"/>
          <w:sz w:val="28"/>
          <w:szCs w:val="28"/>
        </w:rPr>
        <w:t xml:space="preserve">11.3 Applying Architecture Layers</w:t>
      </w:r>
    </w:p>
    <w:p>
      <w:pPr>
        <w:spacing w:before="80" w:after="120"/>
        <w:jc w:val="both"/>
      </w:pPr>
      <w:r>
        <w:rPr>
          <w:rFonts w:ascii="Arial" w:cs="Arial" w:eastAsia="Arial" w:hAnsi="Arial"/>
          <w:color w:val="333333"/>
          <w:sz w:val="22"/>
          <w:szCs w:val="22"/>
        </w:rPr>
        <w:t xml:space="preserve">The Business Architecture team develops a Business Capability Map identifying the bank's core capabilities, including Account Management, Lending, Payments, Customer Relationship Management, and Compliance. Heat mapping reveals that digital channels and data analytics are the capabilities most in need of investment.</w:t>
      </w:r>
    </w:p>
    <w:p>
      <w:pPr>
        <w:spacing w:before="80" w:after="120"/>
        <w:jc w:val="both"/>
      </w:pPr>
      <w:r>
        <w:rPr>
          <w:rFonts w:ascii="Arial" w:cs="Arial" w:eastAsia="Arial" w:hAnsi="Arial"/>
          <w:color w:val="333333"/>
          <w:sz w:val="22"/>
          <w:szCs w:val="22"/>
        </w:rPr>
        <w:t xml:space="preserve">The Data Architecture team defines a Data Platform Reference Architecture based on a lakehouse pattern on Azure. Master data management is established for Customer and Account entities.</w:t>
      </w:r>
    </w:p>
    <w:p>
      <w:pPr>
        <w:spacing w:before="80" w:after="120"/>
        <w:jc w:val="both"/>
      </w:pPr>
      <w:r>
        <w:rPr>
          <w:rFonts w:ascii="Arial" w:cs="Arial" w:eastAsia="Arial" w:hAnsi="Arial"/>
          <w:color w:val="333333"/>
          <w:sz w:val="22"/>
          <w:szCs w:val="22"/>
        </w:rPr>
        <w:t xml:space="preserve">The Application Architecture team designs a microservices architecture for the new mobile banking platform, using an API Gateway to expose services to the mobile application. An Integration Reference Architecture based on Azure Event Hub is adopted to decouple legacy systems from new services.</w:t>
      </w:r>
    </w:p>
    <w:p>
      <w:pPr>
        <w:spacing w:before="80" w:after="120"/>
        <w:jc w:val="both"/>
      </w:pPr>
      <w:r>
        <w:rPr>
          <w:rFonts w:ascii="Arial" w:cs="Arial" w:eastAsia="Arial" w:hAnsi="Arial"/>
          <w:color w:val="333333"/>
          <w:sz w:val="22"/>
          <w:szCs w:val="22"/>
        </w:rPr>
        <w:t xml:space="preserve">The Technology Architecture team defines a Cloud Landing Zone using the Azure Well-Architected Framework as a reference, establishing network segmentation, governance, and monitoring standards.</w:t>
      </w:r>
    </w:p>
    <w:p>
      <w:pPr>
        <w:spacing w:before="80" w:after="120"/>
        <w:jc w:val="both"/>
      </w:pPr>
      <w:r>
        <w:rPr>
          <w:rFonts w:ascii="Arial" w:cs="Arial" w:eastAsia="Arial" w:hAnsi="Arial"/>
          <w:color w:val="333333"/>
          <w:sz w:val="22"/>
          <w:szCs w:val="22"/>
        </w:rPr>
        <w:t xml:space="preserve">The Security Architecture team applies a Zero Trust pattern throughout, ensuring that every API call and data access request is authenticated and authorised.</w:t>
      </w:r>
    </w:p>
    <w:p>
      <w:pPr>
        <w:spacing w:before="0" w:after="120"/>
      </w:pPr>
    </w:p>
    <w:p>
      <w:pPr>
        <w:pStyle w:val="Heading2"/>
        <w:spacing w:before="280" w:after="140"/>
      </w:pPr>
      <w:r>
        <w:rPr>
          <w:rFonts w:ascii="Arial" w:cs="Arial" w:eastAsia="Arial" w:hAnsi="Arial"/>
          <w:b/>
          <w:bCs/>
          <w:color w:val="005A8E"/>
          <w:sz w:val="28"/>
          <w:szCs w:val="28"/>
        </w:rPr>
        <w:t xml:space="preserve">11.4 Governance in Action</w:t>
      </w:r>
    </w:p>
    <w:p>
      <w:pPr>
        <w:spacing w:before="80" w:after="120"/>
        <w:jc w:val="both"/>
      </w:pPr>
      <w:r>
        <w:rPr>
          <w:rFonts w:ascii="Arial" w:cs="Arial" w:eastAsia="Arial" w:hAnsi="Arial"/>
          <w:color w:val="333333"/>
          <w:sz w:val="22"/>
          <w:szCs w:val="22"/>
        </w:rPr>
        <w:t xml:space="preserve">During delivery, the ARB meets fortnightly. A Solution Architect proposes using a third-party identity provider rather than the bank's existing Microsoft Entra ID implementation. The ARB reviews the ADR submitted for this decision and determines that it conflicts with the principle of reusing existing investments and the interoperability standard. The decision is rejected. The solution architect is asked to revise the design.</w:t>
      </w:r>
    </w:p>
    <w:p>
      <w:pPr>
        <w:spacing w:before="80" w:after="120"/>
        <w:jc w:val="both"/>
      </w:pPr>
      <w:r>
        <w:rPr>
          <w:rFonts w:ascii="Arial" w:cs="Arial" w:eastAsia="Arial" w:hAnsi="Arial"/>
          <w:color w:val="333333"/>
          <w:sz w:val="22"/>
          <w:szCs w:val="22"/>
        </w:rPr>
        <w:t xml:space="preserve">Six months into delivery, the bank's business strategy shifts to include an Open Banking capability. The architecture team is asked to assess the impact. Using the ADR repository and architecture diagrams, they quickly identify the affected building blocks and integration patterns. A revised transition architecture is developed and approved by the ARB within four weeks.</w:t>
      </w:r>
    </w:p>
    <w:p>
      <w:pPr>
        <w:spacing w:before="0" w:after="120"/>
      </w:pPr>
    </w:p>
    <w:p>
      <w:pPr>
        <w:pStyle w:val="Heading2"/>
        <w:spacing w:before="280" w:after="140"/>
      </w:pPr>
      <w:r>
        <w:rPr>
          <w:rFonts w:ascii="Arial" w:cs="Arial" w:eastAsia="Arial" w:hAnsi="Arial"/>
          <w:b/>
          <w:bCs/>
          <w:color w:val="005A8E"/>
          <w:sz w:val="28"/>
          <w:szCs w:val="28"/>
        </w:rPr>
        <w:t xml:space="preserve">11.5 Outcomes Achieved</w:t>
      </w:r>
    </w:p>
    <w:p>
      <w:pPr>
        <w:spacing w:before="80" w:after="120"/>
        <w:jc w:val="both"/>
      </w:pPr>
      <w:r>
        <w:rPr>
          <w:rFonts w:ascii="Arial" w:cs="Arial" w:eastAsia="Arial" w:hAnsi="Arial"/>
          <w:color w:val="333333"/>
          <w:sz w:val="22"/>
          <w:szCs w:val="22"/>
        </w:rPr>
        <w:t xml:space="preserve">By applying Capgemini Architecture Core Concepts throughout the programme, the bank achieved the following outcomes.</w:t>
      </w:r>
    </w:p>
    <w:p>
      <w:pPr>
        <w:pStyle w:val="ListParagraph"/>
        <w:numPr>
          <w:ilvl w:val="0"/>
          <w:numId w:val="2"/>
        </w:numPr>
        <w:spacing w:before="60" w:after="60"/>
      </w:pPr>
      <w:r>
        <w:rPr>
          <w:rFonts w:ascii="Arial" w:cs="Arial" w:eastAsia="Arial" w:hAnsi="Arial"/>
          <w:color w:val="333333"/>
          <w:sz w:val="22"/>
          <w:szCs w:val="22"/>
        </w:rPr>
        <w:t xml:space="preserve">The mobile banking application was launched within 18 months, ahead of schedule, because the API-first architecture and pre-approved building blocks reduced design and development time.</w:t>
      </w:r>
    </w:p>
    <w:p>
      <w:pPr>
        <w:pStyle w:val="ListParagraph"/>
        <w:numPr>
          <w:ilvl w:val="0"/>
          <w:numId w:val="2"/>
        </w:numPr>
        <w:spacing w:before="60" w:after="60"/>
      </w:pPr>
      <w:r>
        <w:rPr>
          <w:rFonts w:ascii="Arial" w:cs="Arial" w:eastAsia="Arial" w:hAnsi="Arial"/>
          <w:color w:val="333333"/>
          <w:sz w:val="22"/>
          <w:szCs w:val="22"/>
        </w:rPr>
        <w:t xml:space="preserve">Security incidents during the programme were minimal, attributed in part to the Security by Design approach embedded from the outset.</w:t>
      </w:r>
    </w:p>
    <w:p>
      <w:pPr>
        <w:pStyle w:val="ListParagraph"/>
        <w:numPr>
          <w:ilvl w:val="0"/>
          <w:numId w:val="2"/>
        </w:numPr>
        <w:spacing w:before="60" w:after="60"/>
      </w:pPr>
      <w:r>
        <w:rPr>
          <w:rFonts w:ascii="Arial" w:cs="Arial" w:eastAsia="Arial" w:hAnsi="Arial"/>
          <w:color w:val="333333"/>
          <w:sz w:val="22"/>
          <w:szCs w:val="22"/>
        </w:rPr>
        <w:t xml:space="preserve">The data platform was adopted by six business domains within two years, delivering measurable improvements in customer analytics and regulatory reporting.</w:t>
      </w:r>
    </w:p>
    <w:p>
      <w:pPr>
        <w:pStyle w:val="ListParagraph"/>
        <w:numPr>
          <w:ilvl w:val="0"/>
          <w:numId w:val="2"/>
        </w:numPr>
        <w:spacing w:before="60" w:after="60"/>
      </w:pPr>
      <w:r>
        <w:rPr>
          <w:rFonts w:ascii="Arial" w:cs="Arial" w:eastAsia="Arial" w:hAnsi="Arial"/>
          <w:color w:val="333333"/>
          <w:sz w:val="22"/>
          <w:szCs w:val="22"/>
        </w:rPr>
        <w:t xml:space="preserve">Architecture debt was actively managed through the governance process, and the programme ended with a clearly documented and maintained architecture repository.</w:t>
      </w:r>
    </w:p>
    <w:p>
      <w:pPr>
        <w:spacing w:before="0" w:after="200"/>
      </w:pPr>
    </w:p>
    <w:p>
      <w:r>
        <w:br w:type="page"/>
      </w:r>
    </w:p>
    <w:p>
      <w:pPr>
        <w:pBdr>
          <w:bottom w:val="single" w:color="0070AD" w:sz="12" w:space="8"/>
        </w:pBdr>
        <w:spacing w:before="480" w:after="0"/>
      </w:pPr>
      <w:r>
        <w:rPr>
          <w:rFonts w:ascii="Arial" w:cs="Arial" w:eastAsia="Arial" w:hAnsi="Arial"/>
          <w:color w:val="555555"/>
          <w:sz w:val="20"/>
          <w:szCs w:val="20"/>
        </w:rPr>
        <w:t xml:space="preserve">Section 12  </w:t>
      </w:r>
      <w:r>
        <w:rPr>
          <w:rFonts w:ascii="Arial" w:cs="Arial" w:eastAsia="Arial" w:hAnsi="Arial"/>
          <w:b/>
          <w:bCs/>
          <w:color w:val="0070AD"/>
          <w:sz w:val="44"/>
          <w:szCs w:val="44"/>
        </w:rPr>
        <w:t xml:space="preserve">Key Takeaways</w:t>
      </w:r>
    </w:p>
    <w:p>
      <w:pPr>
        <w:spacing w:before="0" w:after="160"/>
      </w:pPr>
    </w:p>
    <w:p>
      <w:pPr>
        <w:pStyle w:val="Heading1"/>
        <w:pBdr>
          <w:bottom w:val="single" w:color="0070AD" w:sz="8" w:space="6"/>
        </w:pBdr>
        <w:spacing w:before="360" w:after="200"/>
      </w:pPr>
      <w:r>
        <w:rPr>
          <w:rFonts w:ascii="Arial" w:cs="Arial" w:eastAsia="Arial" w:hAnsi="Arial"/>
          <w:b/>
          <w:bCs/>
          <w:color w:val="0070AD"/>
          <w:sz w:val="36"/>
          <w:szCs w:val="36"/>
        </w:rPr>
        <w:t xml:space="preserve">12. Key Takeaways</w:t>
      </w:r>
    </w:p>
    <w:p>
      <w:pPr>
        <w:spacing w:before="80" w:after="120"/>
        <w:jc w:val="both"/>
      </w:pPr>
      <w:r>
        <w:rPr>
          <w:rFonts w:ascii="Arial" w:cs="Arial" w:eastAsia="Arial" w:hAnsi="Arial"/>
          <w:color w:val="333333"/>
          <w:sz w:val="22"/>
          <w:szCs w:val="22"/>
        </w:rPr>
        <w:t xml:space="preserve">This section summarises the most important concepts from this document. It is intended as a quick reference for architects and programme teams.</w:t>
      </w:r>
    </w:p>
    <w:p>
      <w:pPr>
        <w:spacing w:before="0" w:after="120"/>
      </w:pPr>
    </w:p>
    <w:p>
      <w:pPr>
        <w:pStyle w:val="Heading2"/>
        <w:spacing w:before="280" w:after="140"/>
      </w:pPr>
      <w:r>
        <w:rPr>
          <w:rFonts w:ascii="Arial" w:cs="Arial" w:eastAsia="Arial" w:hAnsi="Arial"/>
          <w:b/>
          <w:bCs/>
          <w:color w:val="005A8E"/>
          <w:sz w:val="28"/>
          <w:szCs w:val="28"/>
        </w:rPr>
        <w:t xml:space="preserve">12.1 Architecture Is a Business Discipline</w:t>
      </w:r>
    </w:p>
    <w:p>
      <w:pPr>
        <w:spacing w:before="80" w:after="120"/>
        <w:jc w:val="both"/>
      </w:pPr>
      <w:r>
        <w:rPr>
          <w:rFonts w:ascii="Arial" w:cs="Arial" w:eastAsia="Arial" w:hAnsi="Arial"/>
          <w:color w:val="333333"/>
          <w:sz w:val="22"/>
          <w:szCs w:val="22"/>
        </w:rPr>
        <w:t xml:space="preserve">Architecture is not primarily a technology discipline. It is a business discipline. Every architecture decision should be traceable to a business capability, a business outcome, or a business risk. Architects who lose sight of this become a delivery bottleneck rather than a delivery enabler.</w:t>
      </w:r>
    </w:p>
    <w:p>
      <w:pPr>
        <w:spacing w:before="0" w:after="120"/>
      </w:pPr>
    </w:p>
    <w:p>
      <w:pPr>
        <w:pStyle w:val="Heading2"/>
        <w:spacing w:before="280" w:after="140"/>
      </w:pPr>
      <w:r>
        <w:rPr>
          <w:rFonts w:ascii="Arial" w:cs="Arial" w:eastAsia="Arial" w:hAnsi="Arial"/>
          <w:b/>
          <w:bCs/>
          <w:color w:val="005A8E"/>
          <w:sz w:val="28"/>
          <w:szCs w:val="28"/>
        </w:rPr>
        <w:t xml:space="preserve">12.2 Principles Are Guardrails, Not Rules</w:t>
      </w:r>
    </w:p>
    <w:p>
      <w:pPr>
        <w:spacing w:before="80" w:after="120"/>
        <w:jc w:val="both"/>
      </w:pPr>
      <w:r>
        <w:rPr>
          <w:rFonts w:ascii="Arial" w:cs="Arial" w:eastAsia="Arial" w:hAnsi="Arial"/>
          <w:color w:val="333333"/>
          <w:sz w:val="22"/>
          <w:szCs w:val="22"/>
        </w:rPr>
        <w:t xml:space="preserve">Architectural principles are not rigid rules that must be followed without thought. They are guardrails that define the architecture stance of the organisation. Where principles need to be violated, this should be done consciously, with formal governance approval and a clear record of the rationale.</w:t>
      </w:r>
    </w:p>
    <w:p>
      <w:pPr>
        <w:spacing w:before="0" w:after="120"/>
      </w:pPr>
    </w:p>
    <w:p>
      <w:pPr>
        <w:pStyle w:val="Heading2"/>
        <w:spacing w:before="280" w:after="140"/>
      </w:pPr>
      <w:r>
        <w:rPr>
          <w:rFonts w:ascii="Arial" w:cs="Arial" w:eastAsia="Arial" w:hAnsi="Arial"/>
          <w:b/>
          <w:bCs/>
          <w:color w:val="005A8E"/>
          <w:sz w:val="28"/>
          <w:szCs w:val="28"/>
        </w:rPr>
        <w:t xml:space="preserve">12.3 Layers Are Interdependent</w:t>
      </w:r>
    </w:p>
    <w:p>
      <w:pPr>
        <w:spacing w:before="80" w:after="120"/>
        <w:jc w:val="both"/>
      </w:pPr>
      <w:r>
        <w:rPr>
          <w:rFonts w:ascii="Arial" w:cs="Arial" w:eastAsia="Arial" w:hAnsi="Arial"/>
          <w:color w:val="333333"/>
          <w:sz w:val="22"/>
          <w:szCs w:val="22"/>
        </w:rPr>
        <w:t xml:space="preserve">The architecture layers, from Business Architecture through to Security and Integration, do not exist independently. Changes in one layer have implications for others. Architects must think across layers, not within them.</w:t>
      </w:r>
    </w:p>
    <w:p>
      <w:pPr>
        <w:spacing w:before="0" w:after="120"/>
      </w:pPr>
    </w:p>
    <w:p>
      <w:pPr>
        <w:pStyle w:val="Heading2"/>
        <w:spacing w:before="280" w:after="140"/>
      </w:pPr>
      <w:r>
        <w:rPr>
          <w:rFonts w:ascii="Arial" w:cs="Arial" w:eastAsia="Arial" w:hAnsi="Arial"/>
          <w:b/>
          <w:bCs/>
          <w:color w:val="005A8E"/>
          <w:sz w:val="28"/>
          <w:szCs w:val="28"/>
        </w:rPr>
        <w:t xml:space="preserve">12.4 Building Blocks and Patterns Accelerate Delivery</w:t>
      </w:r>
    </w:p>
    <w:p>
      <w:pPr>
        <w:spacing w:before="80" w:after="120"/>
        <w:jc w:val="both"/>
      </w:pPr>
      <w:r>
        <w:rPr>
          <w:rFonts w:ascii="Arial" w:cs="Arial" w:eastAsia="Arial" w:hAnsi="Arial"/>
          <w:color w:val="333333"/>
          <w:sz w:val="22"/>
          <w:szCs w:val="22"/>
        </w:rPr>
        <w:t xml:space="preserve">The consistent application of pre-approved building blocks, patterns, and reference architectures is one of the most powerful levers an architecture practice has to accelerate delivery and reduce risk. Invest in building and maintaining a quality catalogue.</w:t>
      </w:r>
    </w:p>
    <w:p>
      <w:pPr>
        <w:spacing w:before="0" w:after="120"/>
      </w:pPr>
    </w:p>
    <w:p>
      <w:pPr>
        <w:pStyle w:val="Heading2"/>
        <w:spacing w:before="280" w:after="140"/>
      </w:pPr>
      <w:r>
        <w:rPr>
          <w:rFonts w:ascii="Arial" w:cs="Arial" w:eastAsia="Arial" w:hAnsi="Arial"/>
          <w:b/>
          <w:bCs/>
          <w:color w:val="005A8E"/>
          <w:sz w:val="28"/>
          <w:szCs w:val="28"/>
        </w:rPr>
        <w:t xml:space="preserve">12.5 Governance Enables Change</w:t>
      </w:r>
    </w:p>
    <w:p>
      <w:pPr>
        <w:spacing w:before="80" w:after="120"/>
        <w:jc w:val="both"/>
      </w:pPr>
      <w:r>
        <w:rPr>
          <w:rFonts w:ascii="Arial" w:cs="Arial" w:eastAsia="Arial" w:hAnsi="Arial"/>
          <w:color w:val="333333"/>
          <w:sz w:val="22"/>
          <w:szCs w:val="22"/>
        </w:rPr>
        <w:t xml:space="preserve">Good architecture governance is not an obstacle to change. It is what makes change possible at scale. Without governance, architectures become inconsistent, technical debt accumulates, and the cost of change increases. With governance, teams can move quickly within defined guardrails, confident that their decisions are aligned and coherent.</w:t>
      </w:r>
    </w:p>
    <w:p>
      <w:pPr>
        <w:spacing w:before="0" w:after="120"/>
      </w:pPr>
    </w:p>
    <w:p>
      <w:pPr>
        <w:pStyle w:val="Heading2"/>
        <w:spacing w:before="280" w:after="140"/>
      </w:pPr>
      <w:r>
        <w:rPr>
          <w:rFonts w:ascii="Arial" w:cs="Arial" w:eastAsia="Arial" w:hAnsi="Arial"/>
          <w:b/>
          <w:bCs/>
          <w:color w:val="005A8E"/>
          <w:sz w:val="28"/>
          <w:szCs w:val="28"/>
        </w:rPr>
        <w:t xml:space="preserve">12.6 Architecture Must Evolve</w:t>
      </w:r>
    </w:p>
    <w:p>
      <w:pPr>
        <w:spacing w:before="80" w:after="120"/>
        <w:jc w:val="both"/>
      </w:pPr>
      <w:r>
        <w:rPr>
          <w:rFonts w:ascii="Arial" w:cs="Arial" w:eastAsia="Arial" w:hAnsi="Arial"/>
          <w:color w:val="333333"/>
          <w:sz w:val="22"/>
          <w:szCs w:val="22"/>
        </w:rPr>
        <w:t xml:space="preserve">No target architecture survives contact with reality unchanged. Business strategies shift. Technology landscapes evolve. Regulatory requirements change. Architecture must be designed to evolve. The lifecycle, the ADR repository, and the governance process together provide the mechanisms needed to manage that evolution in a controlled and deliberate way.</w:t>
      </w:r>
    </w:p>
    <w:p>
      <w:pPr>
        <w:spacing w:before="0" w:after="120"/>
      </w:pPr>
    </w:p>
    <w:p>
      <w:pPr>
        <w:pStyle w:val="Heading2"/>
        <w:spacing w:before="280" w:after="140"/>
      </w:pPr>
      <w:r>
        <w:rPr>
          <w:rFonts w:ascii="Arial" w:cs="Arial" w:eastAsia="Arial" w:hAnsi="Arial"/>
          <w:b/>
          <w:bCs/>
          <w:color w:val="005A8E"/>
          <w:sz w:val="28"/>
          <w:szCs w:val="28"/>
        </w:rPr>
        <w:t xml:space="preserve">12.7 Decisions Must Be Recorded</w:t>
      </w:r>
    </w:p>
    <w:p>
      <w:pPr>
        <w:spacing w:before="80" w:after="120"/>
        <w:jc w:val="both"/>
      </w:pPr>
      <w:r>
        <w:rPr>
          <w:rFonts w:ascii="Arial" w:cs="Arial" w:eastAsia="Arial" w:hAnsi="Arial"/>
          <w:color w:val="333333"/>
          <w:sz w:val="22"/>
          <w:szCs w:val="22"/>
        </w:rPr>
        <w:t xml:space="preserve">Architecture decisions that are not recorded are decisions that will be forgotten, repeated, or contradicted. The Architecture Decision Record is a simple but powerful tool. Make it a habit on every programme.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D9EF" w:sz="1"/>
              <w:left w:val="single" w:color="0070AD" w:sz="12"/>
              <w:bottom w:val="single" w:color="B8D9EF" w:sz="1"/>
              <w:right w:val="single" w:color="B8D9EF" w:sz="1"/>
            </w:tcBorders>
            <w:shd w:fill="E6F2FA" w:val="clear"/>
            <w:tcMar>
              <w:top w:type="dxa" w:w="120"/>
              <w:left w:type="dxa" w:w="200"/>
              <w:bottom w:type="dxa" w:w="120"/>
              <w:right w:type="dxa" w:w="200"/>
            </w:tcMar>
          </w:tcPr>
          <w:p>
            <w:pPr>
              <w:spacing w:before="0" w:after="60"/>
            </w:pPr>
            <w:r>
              <w:rPr>
                <w:rFonts w:ascii="Arial" w:cs="Arial" w:eastAsia="Arial" w:hAnsi="Arial"/>
                <w:b/>
                <w:bCs/>
                <w:color w:val="0070AD"/>
                <w:sz w:val="22"/>
                <w:szCs w:val="22"/>
              </w:rPr>
              <w:t xml:space="preserve">Final Thought</w:t>
            </w:r>
          </w:p>
          <w:p>
            <w:pPr>
              <w:spacing w:before="0" w:after="0"/>
            </w:pPr>
            <w:r>
              <w:rPr>
                <w:rFonts w:ascii="Arial" w:cs="Arial" w:eastAsia="Arial" w:hAnsi="Arial"/>
                <w:color w:val="333333"/>
                <w:sz w:val="20"/>
                <w:szCs w:val="20"/>
              </w:rPr>
              <w:t xml:space="preserve">The Capgemini Architecture Core Concepts exist to make architecture more effective, more consistent, and more valuable. They are not bureaucratic processes. They are professional standards that distinguish excellent architecture practice from ad hoc technical decision-making. Apply them with rigour, adapt them with judgement, and always keep the business outcome in sight.</w:t>
            </w:r>
          </w:p>
        </w:tc>
      </w:tr>
    </w:tbl>
    <w:p>
      <w:pPr>
        <w:spacing w:before="0" w:after="200"/>
      </w:pPr>
    </w:p>
    <w:p>
      <w:r>
        <w:br w:type="page"/>
      </w:r>
    </w:p>
    <w:p>
      <w:pPr>
        <w:pStyle w:val="Heading1"/>
        <w:pBdr>
          <w:bottom w:val="single" w:color="0070AD" w:sz="8" w:space="6"/>
        </w:pBdr>
        <w:spacing w:before="360" w:after="200"/>
      </w:pPr>
      <w:r>
        <w:rPr>
          <w:rFonts w:ascii="Arial" w:cs="Arial" w:eastAsia="Arial" w:hAnsi="Arial"/>
          <w:b/>
          <w:bCs/>
          <w:color w:val="0070AD"/>
          <w:sz w:val="36"/>
          <w:szCs w:val="36"/>
        </w:rPr>
        <w:t xml:space="preserve">Glossary</w:t>
      </w:r>
    </w:p>
    <w:p>
      <w:pPr>
        <w:spacing w:before="80" w:after="120"/>
        <w:jc w:val="both"/>
      </w:pPr>
      <w:r>
        <w:rPr>
          <w:rFonts w:ascii="Arial" w:cs="Arial" w:eastAsia="Arial" w:hAnsi="Arial"/>
          <w:color w:val="333333"/>
          <w:sz w:val="22"/>
          <w:szCs w:val="22"/>
        </w:rPr>
        <w:t xml:space="preserve">The following key terms are used throughout this document.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Term</w:t>
            </w:r>
          </w:p>
        </w:tc>
        <w:tc>
          <w:tcPr>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2"/>
                <w:szCs w:val="22"/>
              </w:rPr>
              <w:t xml:space="preserve">Definition</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ADM</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Architecture Development Method. The core iterative process defined by TOGAF for developing enterprise architectures.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ADR</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Architecture Decision Record. A document capturing an architecture decision, its context, options, and rationale.</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API</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Application Programming Interface. A defined set of protocols and tools for building and integrating software applications.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ARB</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Architecture Review Board. The governance body responsible for reviewing and approving architecture decisions.</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Building Block</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 reusable component of architecture that represents a defined capability, function, or piece of infrastructure.</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Capability Map</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 structured representation of the business capabilities of an organisation, presented hierarchically.</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CQRS</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Command Query Responsibility Segregation. An architecture pattern that separates read and write operations.</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TOGAF</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The Open Group Architecture Framework. A widely adopted enterprise architecture framework.</w:t>
            </w:r>
          </w:p>
        </w:tc>
      </w:tr>
      <w:tr>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Reference Architecture</w:t>
            </w:r>
          </w:p>
        </w:tc>
        <w:tc>
          <w:tcPr>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333333"/>
                <w:sz w:val="21"/>
                <w:szCs w:val="21"/>
              </w:rPr>
              <w:t xml:space="preserve">A pre-defined, reusable architecture template for a specific class of solution or technology domain.</w:t>
            </w:r>
          </w:p>
        </w:tc>
      </w:tr>
      <w:tr>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Zero Trust</w:t>
            </w:r>
          </w:p>
        </w:tc>
        <w:tc>
          <w:tcPr>
            <w:tcBorders>
              <w:top w:val="single" w:color="B8D9EF" w:sz="1"/>
              <w:left w:val="single" w:color="B8D9EF" w:sz="1"/>
              <w:bottom w:val="single" w:color="B8D9EF" w:sz="1"/>
              <w:right w:val="single" w:color="B8D9EF" w:sz="1"/>
            </w:tcBorders>
            <w:shd w:fill="F5F5F5" w:val="clear"/>
            <w:tcMar>
              <w:top w:type="dxa" w:w="80"/>
              <w:left w:type="dxa" w:w="160"/>
              <w:bottom w:type="dxa" w:w="80"/>
              <w:right w:type="dxa" w:w="160"/>
            </w:tcMar>
          </w:tcPr>
          <w:p>
            <w:r>
              <w:rPr>
                <w:rFonts w:ascii="Arial" w:cs="Arial" w:eastAsia="Arial" w:hAnsi="Arial"/>
                <w:color w:val="333333"/>
                <w:sz w:val="21"/>
                <w:szCs w:val="21"/>
              </w:rPr>
              <w:t xml:space="preserve">A security model in which no user, device, or network is trusted by default, regardless of its origin.</w:t>
            </w:r>
          </w:p>
        </w:tc>
      </w:tr>
    </w:tbl>
    <w:p>
      <w:pPr>
        <w:spacing w:before="0" w:after="200"/>
      </w:pPr>
    </w:p>
    <w:p>
      <w:pPr>
        <w:pBdr>
          <w:top w:val="single" w:color="0070AD" w:sz="4" w:space="8"/>
        </w:pBdr>
        <w:spacing w:before="400" w:after="0"/>
        <w:jc w:val="center"/>
      </w:pPr>
      <w:r>
        <w:rPr>
          <w:rFonts w:ascii="Arial" w:cs="Arial" w:eastAsia="Arial" w:hAnsi="Arial"/>
          <w:i/>
          <w:iCs/>
          <w:color w:val="555555"/>
          <w:sz w:val="18"/>
          <w:szCs w:val="18"/>
        </w:rPr>
        <w:t xml:space="preserve">© 2026 Capgemini. All rights reserved.  |  Confidential —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AD" w:sz="4" w:space="4"/>
      </w:pBdr>
      <w:tabs>
        <w:tab w:val="right" w:pos="9026"/>
      </w:tabs>
      <w:spacing w:before="120" w:after="0"/>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AD" w:sz="4" w:space="4"/>
      </w:pBdr>
      <w:spacing w:before="0" w:after="120"/>
    </w:pPr>
    <w:r>
      <w:rPr>
        <w:rFonts w:ascii="Arial" w:cs="Arial" w:eastAsia="Arial" w:hAnsi="Arial"/>
        <w:color w:val="555555"/>
        <w:sz w:val="18"/>
        <w:szCs w:val="18"/>
      </w:rPr>
      <w:t xml:space="preserve">Capgemini Architecture Core Concepts  |  Enterprise Architecture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70A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05A8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2026-03-05T20:13:45.004Z</dcterms:created>
  <dcterms:modified xsi:type="dcterms:W3CDTF">2026-03-05T20:13:45.004Z</dcterms:modified>
</cp:coreProperties>
</file>

<file path=docProps/custom.xml><?xml version="1.0" encoding="utf-8"?>
<Properties xmlns="http://schemas.openxmlformats.org/officeDocument/2006/custom-properties" xmlns:vt="http://schemas.openxmlformats.org/officeDocument/2006/docPropsVTypes"/>
</file>