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after="0"/>
        <w:jc w:val="center"/>
      </w:pPr>
      <w:r>
        <w:rPr>
          <w:rFonts w:ascii="Arial" w:cs="Arial" w:eastAsia="Arial" w:hAnsi="Arial"/>
          <w:b/>
          <w:bCs/>
          <w:color w:val="0070AD"/>
          <w:sz w:val="76"/>
          <w:szCs w:val="76"/>
        </w:rPr>
        <w:t xml:space="preserve">CAPGEMINI</w:t>
      </w:r>
    </w:p>
    <w:p>
      <w:pPr>
        <w:spacing w:before="0" w:after="0"/>
        <w:jc w:val="center"/>
      </w:pPr>
      <w:r>
        <w:rPr>
          <w:rFonts w:ascii="Arial" w:cs="Arial" w:eastAsia="Arial" w:hAnsi="Arial"/>
          <w:b/>
          <w:bCs/>
          <w:color w:val="00477A"/>
          <w:sz w:val="112"/>
          <w:szCs w:val="112"/>
        </w:rPr>
        <w:t xml:space="preserve">BLAC</w:t>
      </w:r>
    </w:p>
    <w:p>
      <w:pPr>
        <w:pBdr>
          <w:bottom w:val="single" w:color="0070AD" w:sz="10" w:space="14"/>
        </w:pBdr>
        <w:spacing w:before="20" w:after="0"/>
        <w:jc w:val="center"/>
      </w:pPr>
      <w:r>
        <w:rPr>
          <w:rFonts w:ascii="Arial" w:cs="Arial" w:eastAsia="Arial" w:hAnsi="Arial"/>
          <w:color w:val="555555"/>
          <w:sz w:val="26"/>
          <w:szCs w:val="26"/>
        </w:rPr>
        <w:t xml:space="preserve">Business  •  Landscape  •  Architecture  •  Capabilities</w:t>
      </w:r>
    </w:p>
    <w:p>
      <w:pPr>
        <w:spacing w:before="0" w:after="220"/>
      </w:pPr>
    </w:p>
    <w:p>
      <w:pPr>
        <w:spacing w:before="0" w:after="80"/>
        <w:jc w:val="center"/>
      </w:pPr>
      <w:r>
        <w:rPr>
          <w:rFonts w:ascii="Arial" w:cs="Arial" w:eastAsia="Arial" w:hAnsi="Arial"/>
          <w:i/>
          <w:iCs/>
          <w:color w:val="555555"/>
          <w:sz w:val="26"/>
          <w:szCs w:val="26"/>
        </w:rPr>
        <w:t xml:space="preserve">Enterprise Architecture Framework Documentation</w:t>
      </w:r>
    </w:p>
    <w:p>
      <w:pPr>
        <w:spacing w:before="0" w:after="80"/>
        <w:jc w:val="center"/>
      </w:pPr>
      <w:r>
        <w:rPr>
          <w:rFonts w:ascii="Arial" w:cs="Arial" w:eastAsia="Arial" w:hAnsi="Arial"/>
          <w:color w:val="555555"/>
          <w:sz w:val="24"/>
          <w:szCs w:val="24"/>
        </w:rPr>
        <w:t xml:space="preserve">Internal Training &amp; Architecture Reference</w:t>
      </w:r>
    </w:p>
    <w:p>
      <w:pPr>
        <w:spacing w:before="0" w:after="380"/>
      </w:pPr>
    </w:p>
    <w:p>
      <w:pPr>
        <w:spacing w:before="0" w:after="60"/>
        <w:jc w:val="center"/>
      </w:pPr>
      <w:r>
        <w:rPr>
          <w:rFonts w:ascii="Arial" w:cs="Arial" w:eastAsia="Arial" w:hAnsi="Arial"/>
          <w:color w:val="555555"/>
          <w:sz w:val="22"/>
          <w:szCs w:val="22"/>
        </w:rPr>
        <w:t xml:space="preserve">Version 1.0  |  March 2026</w:t>
      </w:r>
    </w:p>
    <w:p>
      <w:pPr>
        <w:spacing w:before="0" w:after="60"/>
        <w:jc w:val="center"/>
      </w:pPr>
      <w:r>
        <w:rPr>
          <w:rFonts w:ascii="Arial" w:cs="Arial" w:eastAsia="Arial" w:hAnsi="Arial"/>
          <w:i/>
          <w:iCs/>
          <w:color w:val="555555"/>
          <w:sz w:val="22"/>
          <w:szCs w:val="22"/>
        </w:rPr>
        <w:t xml:space="preserve">Confidential — For Internal Use Only</w:t>
      </w:r>
    </w:p>
    <w:p>
      <w:r>
        <w:br w:type="page"/>
      </w:r>
    </w:p>
    <w:p>
      <w:pPr>
        <w:pBdr>
          <w:bottom w:val="single" w:color="0070AD" w:sz="14" w:space="10"/>
        </w:pBdr>
        <w:spacing w:before="520" w:after="0"/>
      </w:pPr>
      <w:r>
        <w:rPr>
          <w:rFonts w:ascii="Arial" w:cs="Arial" w:eastAsia="Arial" w:hAnsi="Arial"/>
          <w:color w:val="555555"/>
          <w:sz w:val="22"/>
          <w:szCs w:val="22"/>
        </w:rPr>
        <w:t xml:space="preserve">Section 1   </w:t>
      </w:r>
      <w:r>
        <w:rPr>
          <w:rFonts w:ascii="Arial" w:cs="Arial" w:eastAsia="Arial" w:hAnsi="Arial"/>
          <w:b/>
          <w:bCs/>
          <w:color w:val="0070AD"/>
          <w:sz w:val="72"/>
          <w:szCs w:val="72"/>
        </w:rPr>
        <w:t xml:space="preserve">Introduction</w:t>
      </w:r>
      <w:r>
        <w:rPr>
          <w:rFonts w:ascii="Arial" w:cs="Arial" w:eastAsia="Arial" w:hAnsi="Arial"/>
          <w:color w:val="2B2B2B"/>
          <w:sz w:val="34"/>
          <w:szCs w:val="34"/>
        </w:rPr>
        <w:t xml:space="preserve">   </w:t>
      </w:r>
    </w:p>
    <w:p>
      <w:pPr>
        <w:spacing w:before="0" w:after="180"/>
      </w:pPr>
    </w:p>
    <w:p>
      <w:pPr>
        <w:pStyle w:val="Heading1"/>
        <w:pBdr>
          <w:bottom w:val="single" w:color="0070AD" w:sz="10" w:space="8"/>
        </w:pBdr>
        <w:spacing w:before="420" w:after="180"/>
      </w:pPr>
      <w:r>
        <w:rPr>
          <w:rFonts w:ascii="Arial" w:cs="Arial" w:eastAsia="Arial" w:hAnsi="Arial"/>
          <w:b/>
          <w:bCs/>
          <w:color w:val="0070AD"/>
          <w:sz w:val="38"/>
          <w:szCs w:val="38"/>
        </w:rPr>
        <w:t xml:space="preserve">1. Introduction</w:t>
      </w:r>
    </w:p>
    <w:p>
      <w:pPr>
        <w:spacing w:before="80" w:after="120"/>
        <w:jc w:val="both"/>
      </w:pPr>
      <w:r>
        <w:rPr>
          <w:rFonts w:ascii="Arial" w:cs="Arial" w:eastAsia="Arial" w:hAnsi="Arial"/>
          <w:color w:val="2B2B2B"/>
          <w:sz w:val="22"/>
          <w:szCs w:val="22"/>
        </w:rPr>
        <w:t xml:space="preserve">Capgemini BLAC stands for Business, Landscape, Architecture, and Capabilities. It is an enterprise architecture framework that provides a structured and repeatable way to analyse, design, and govern complex organisational transformations.</w:t>
      </w:r>
    </w:p>
    <w:p>
      <w:pPr>
        <w:spacing w:before="80" w:after="120"/>
        <w:jc w:val="both"/>
      </w:pPr>
      <w:r>
        <w:rPr>
          <w:rFonts w:ascii="Arial" w:cs="Arial" w:eastAsia="Arial" w:hAnsi="Arial"/>
          <w:color w:val="2B2B2B"/>
          <w:sz w:val="22"/>
          <w:szCs w:val="22"/>
        </w:rPr>
        <w:t xml:space="preserve">BLAC integrates four interconnected dimensions into a single, coherent view of the enterprise. It enables architects and business leaders to align technology investments with strategic business outcomes. It ensures that transformation programmes are grounded in a deep understanding of existing systems, capabilities, and architectural constraints.</w:t>
      </w:r>
    </w:p>
    <w:p>
      <w:pPr>
        <w:spacing w:before="0" w:after="120"/>
      </w:pPr>
    </w:p>
    <w:p>
      <w:pPr>
        <w:pStyle w:val="Heading2"/>
        <w:spacing w:before="300" w:after="120"/>
      </w:pPr>
      <w:r>
        <w:rPr>
          <w:rFonts w:ascii="Arial" w:cs="Arial" w:eastAsia="Arial" w:hAnsi="Arial"/>
          <w:b/>
          <w:bCs/>
          <w:color w:val="00477A"/>
          <w:sz w:val="28"/>
          <w:szCs w:val="28"/>
        </w:rPr>
        <w:t xml:space="preserve">1.1 What Capgemini BLAC Is</w:t>
      </w:r>
    </w:p>
    <w:p>
      <w:pPr>
        <w:spacing w:before="80" w:after="120"/>
        <w:jc w:val="both"/>
      </w:pPr>
      <w:r>
        <w:rPr>
          <w:rFonts w:ascii="Arial" w:cs="Arial" w:eastAsia="Arial" w:hAnsi="Arial"/>
          <w:color w:val="2B2B2B"/>
          <w:sz w:val="22"/>
          <w:szCs w:val="22"/>
        </w:rPr>
        <w:t xml:space="preserve">BLAC is a conceptual and practical framework used by Capgemini architects to structure enterprise architecture engagements. It organises architecture work across four clearly defined dimensions. Each dimension addresses a distinct perspective of the enterprise.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1"/>
              <w:left w:val="single" w:color="FFFFFF" w:sz="1"/>
              <w:bottom w:val="single" w:color="FFFFFF" w:sz="1"/>
              <w:right w:val="single" w:color="FFFFFF" w:sz="1"/>
            </w:tcBorders>
            <w:shd w:fill="0070AD" w:val="clear"/>
            <w:tcMar>
              <w:top w:type="dxa" w:w="120"/>
              <w:left w:type="dxa" w:w="120"/>
              <w:bottom w:type="dxa" w:w="120"/>
              <w:right w:type="dxa" w:w="120"/>
            </w:tcMar>
          </w:tcPr>
          <w:p>
            <w:pPr>
              <w:jc w:val="center"/>
            </w:pPr>
            <w:r>
              <w:rPr>
                <w:rFonts w:ascii="Arial" w:cs="Arial" w:eastAsia="Arial" w:hAnsi="Arial"/>
                <w:b/>
                <w:bCs/>
                <w:color w:val="FFFFFF"/>
                <w:sz w:val="21"/>
                <w:szCs w:val="21"/>
              </w:rPr>
              <w:t xml:space="preserve">B  Business</w:t>
            </w:r>
          </w:p>
        </w:tc>
        <w:tc>
          <w:tcPr>
            <w:tcW w:type="dxa" w:w="2340"/>
            <w:tcBorders>
              <w:top w:val="single" w:color="FFFFFF" w:sz="1"/>
              <w:left w:val="single" w:color="FFFFFF" w:sz="1"/>
              <w:bottom w:val="single" w:color="FFFFFF" w:sz="1"/>
              <w:right w:val="single" w:color="FFFFFF" w:sz="1"/>
            </w:tcBorders>
            <w:shd w:fill="00477A" w:val="clear"/>
            <w:tcMar>
              <w:top w:type="dxa" w:w="120"/>
              <w:left w:type="dxa" w:w="120"/>
              <w:bottom w:type="dxa" w:w="120"/>
              <w:right w:type="dxa" w:w="120"/>
            </w:tcMar>
          </w:tcPr>
          <w:p>
            <w:pPr>
              <w:jc w:val="center"/>
            </w:pPr>
            <w:r>
              <w:rPr>
                <w:rFonts w:ascii="Arial" w:cs="Arial" w:eastAsia="Arial" w:hAnsi="Arial"/>
                <w:b/>
                <w:bCs/>
                <w:color w:val="FFFFFF"/>
                <w:sz w:val="21"/>
                <w:szCs w:val="21"/>
              </w:rPr>
              <w:t xml:space="preserve">L  Landscape</w:t>
            </w:r>
          </w:p>
        </w:tc>
        <w:tc>
          <w:tcPr>
            <w:tcW w:type="dxa" w:w="2340"/>
            <w:tcBorders>
              <w:top w:val="single" w:color="FFFFFF" w:sz="1"/>
              <w:left w:val="single" w:color="FFFFFF" w:sz="1"/>
              <w:bottom w:val="single" w:color="FFFFFF" w:sz="1"/>
              <w:right w:val="single" w:color="FFFFFF" w:sz="1"/>
            </w:tcBorders>
            <w:shd w:fill="007C8A" w:val="clear"/>
            <w:tcMar>
              <w:top w:type="dxa" w:w="120"/>
              <w:left w:type="dxa" w:w="120"/>
              <w:bottom w:type="dxa" w:w="120"/>
              <w:right w:type="dxa" w:w="120"/>
            </w:tcMar>
          </w:tcPr>
          <w:p>
            <w:pPr>
              <w:jc w:val="center"/>
            </w:pPr>
            <w:r>
              <w:rPr>
                <w:rFonts w:ascii="Arial" w:cs="Arial" w:eastAsia="Arial" w:hAnsi="Arial"/>
                <w:b/>
                <w:bCs/>
                <w:color w:val="FFFFFF"/>
                <w:sz w:val="21"/>
                <w:szCs w:val="21"/>
              </w:rPr>
              <w:t xml:space="preserve">A  Architecture</w:t>
            </w:r>
          </w:p>
        </w:tc>
        <w:tc>
          <w:tcPr>
            <w:tcW w:type="dxa" w:w="2340"/>
            <w:tcBorders>
              <w:top w:val="single" w:color="FFFFFF" w:sz="1"/>
              <w:left w:val="single" w:color="FFFFFF" w:sz="1"/>
              <w:bottom w:val="single" w:color="FFFFFF" w:sz="1"/>
              <w:right w:val="single" w:color="FFFFFF" w:sz="1"/>
            </w:tcBorders>
            <w:shd w:fill="2E7D32" w:val="clear"/>
            <w:tcMar>
              <w:top w:type="dxa" w:w="120"/>
              <w:left w:type="dxa" w:w="120"/>
              <w:bottom w:type="dxa" w:w="120"/>
              <w:right w:type="dxa" w:w="120"/>
            </w:tcMar>
          </w:tcPr>
          <w:p>
            <w:pPr>
              <w:jc w:val="center"/>
            </w:pPr>
            <w:r>
              <w:rPr>
                <w:rFonts w:ascii="Arial" w:cs="Arial" w:eastAsia="Arial" w:hAnsi="Arial"/>
                <w:b/>
                <w:bCs/>
                <w:color w:val="FFFFFF"/>
                <w:sz w:val="21"/>
                <w:szCs w:val="21"/>
              </w:rPr>
              <w:t xml:space="preserve">C  Capabilities</w:t>
            </w:r>
          </w:p>
        </w:tc>
      </w:tr>
      <w:tr>
        <w:tc>
          <w:tcPr>
            <w:tcW w:type="dxa" w:w="2340"/>
            <w:tcBorders>
              <w:top w:val="single" w:color="B8D9EF" w:sz="1"/>
              <w:left w:val="single" w:color="B8D9EF" w:sz="1"/>
              <w:bottom w:val="single" w:color="B8D9EF" w:sz="1"/>
              <w:right w:val="single" w:color="B8D9EF" w:sz="1"/>
            </w:tcBorders>
            <w:shd w:fill="E6F2FA" w:val="clear"/>
            <w:tcMar>
              <w:top w:type="dxa" w:w="100"/>
              <w:left w:type="dxa" w:w="120"/>
              <w:bottom w:type="dxa" w:w="100"/>
              <w:right w:type="dxa" w:w="120"/>
            </w:tcMar>
          </w:tcPr>
          <w:p>
            <w:pPr>
              <w:jc w:val="center"/>
            </w:pPr>
            <w:r>
              <w:rPr>
                <w:rFonts w:ascii="Arial" w:cs="Arial" w:eastAsia="Arial" w:hAnsi="Arial"/>
                <w:color w:val="2B2B2B"/>
                <w:sz w:val="19"/>
                <w:szCs w:val="19"/>
              </w:rPr>
              <w:t xml:space="preserve">Strategy, operating model, value streams, and business outcomes.</w:t>
            </w:r>
          </w:p>
        </w:tc>
        <w:tc>
          <w:tcPr>
            <w:tcW w:type="dxa" w:w="2340"/>
            <w:tcBorders>
              <w:top w:val="single" w:color="B8D9EF" w:sz="1"/>
              <w:left w:val="single" w:color="B8D9EF" w:sz="1"/>
              <w:bottom w:val="single" w:color="B8D9EF" w:sz="1"/>
              <w:right w:val="single" w:color="B8D9EF" w:sz="1"/>
            </w:tcBorders>
            <w:shd w:fill="E6F2FA" w:val="clear"/>
            <w:tcMar>
              <w:top w:type="dxa" w:w="100"/>
              <w:left w:type="dxa" w:w="120"/>
              <w:bottom w:type="dxa" w:w="100"/>
              <w:right w:type="dxa" w:w="120"/>
            </w:tcMar>
          </w:tcPr>
          <w:p>
            <w:pPr>
              <w:jc w:val="center"/>
            </w:pPr>
            <w:r>
              <w:rPr>
                <w:rFonts w:ascii="Arial" w:cs="Arial" w:eastAsia="Arial" w:hAnsi="Arial"/>
                <w:color w:val="2B2B2B"/>
                <w:sz w:val="19"/>
                <w:szCs w:val="19"/>
              </w:rPr>
              <w:t xml:space="preserve">IT ecosystem, application portfolio, data, and integration landscape.</w:t>
            </w:r>
          </w:p>
        </w:tc>
        <w:tc>
          <w:tcPr>
            <w:tcW w:type="dxa" w:w="2340"/>
            <w:tcBorders>
              <w:top w:val="single" w:color="B8D9EF" w:sz="1"/>
              <w:left w:val="single" w:color="B8D9EF" w:sz="1"/>
              <w:bottom w:val="single" w:color="B8D9EF" w:sz="1"/>
              <w:right w:val="single" w:color="B8D9EF" w:sz="1"/>
            </w:tcBorders>
            <w:shd w:fill="E6F2FA" w:val="clear"/>
            <w:tcMar>
              <w:top w:type="dxa" w:w="100"/>
              <w:left w:type="dxa" w:w="120"/>
              <w:bottom w:type="dxa" w:w="100"/>
              <w:right w:type="dxa" w:w="120"/>
            </w:tcMar>
          </w:tcPr>
          <w:p>
            <w:pPr>
              <w:jc w:val="center"/>
            </w:pPr>
            <w:r>
              <w:rPr>
                <w:rFonts w:ascii="Arial" w:cs="Arial" w:eastAsia="Arial" w:hAnsi="Arial"/>
                <w:color w:val="2B2B2B"/>
                <w:sz w:val="19"/>
                <w:szCs w:val="19"/>
              </w:rPr>
              <w:t xml:space="preserve">Structure, layers, governance, standards, and principles.</w:t>
            </w:r>
          </w:p>
        </w:tc>
        <w:tc>
          <w:tcPr>
            <w:tcW w:type="dxa" w:w="2340"/>
            <w:tcBorders>
              <w:top w:val="single" w:color="B8D9EF" w:sz="1"/>
              <w:left w:val="single" w:color="B8D9EF" w:sz="1"/>
              <w:bottom w:val="single" w:color="B8D9EF" w:sz="1"/>
              <w:right w:val="single" w:color="B8D9EF" w:sz="1"/>
            </w:tcBorders>
            <w:shd w:fill="E6F2FA" w:val="clear"/>
            <w:tcMar>
              <w:top w:type="dxa" w:w="100"/>
              <w:left w:type="dxa" w:w="120"/>
              <w:bottom w:type="dxa" w:w="100"/>
              <w:right w:type="dxa" w:w="120"/>
            </w:tcMar>
          </w:tcPr>
          <w:p>
            <w:pPr>
              <w:jc w:val="center"/>
            </w:pPr>
            <w:r>
              <w:rPr>
                <w:rFonts w:ascii="Arial" w:cs="Arial" w:eastAsia="Arial" w:hAnsi="Arial"/>
                <w:color w:val="2B2B2B"/>
                <w:sz w:val="19"/>
                <w:szCs w:val="19"/>
              </w:rPr>
              <w:t xml:space="preserve">Organisational abilities, maturity, mapping, and transformation.</w:t>
            </w:r>
          </w:p>
        </w:tc>
      </w:tr>
    </w:tbl>
    <w:p>
      <w:pPr>
        <w:spacing w:before="0" w:after="160"/>
      </w:pPr>
    </w:p>
    <w:p>
      <w:pPr>
        <w:spacing w:before="80" w:after="120"/>
        <w:jc w:val="both"/>
      </w:pPr>
      <w:r>
        <w:rPr>
          <w:rFonts w:ascii="Arial" w:cs="Arial" w:eastAsia="Arial" w:hAnsi="Arial"/>
          <w:color w:val="2B2B2B"/>
          <w:sz w:val="22"/>
          <w:szCs w:val="22"/>
        </w:rPr>
        <w:t xml:space="preserve">Together, these four dimensions provide a 360-degree view of the enterprise. They allow architects to understand where the organisation is today, define where it needs to go, and plan how to get there in a structured and governed way.</w:t>
      </w:r>
    </w:p>
    <w:p>
      <w:pPr>
        <w:spacing w:before="0" w:after="120"/>
      </w:pPr>
    </w:p>
    <w:p>
      <w:pPr>
        <w:pStyle w:val="Heading2"/>
        <w:spacing w:before="300" w:after="120"/>
      </w:pPr>
      <w:r>
        <w:rPr>
          <w:rFonts w:ascii="Arial" w:cs="Arial" w:eastAsia="Arial" w:hAnsi="Arial"/>
          <w:b/>
          <w:bCs/>
          <w:color w:val="00477A"/>
          <w:sz w:val="28"/>
          <w:szCs w:val="28"/>
        </w:rPr>
        <w:t xml:space="preserve">1.2 Purpose of BLAC in Enterprise Architecture</w:t>
      </w:r>
    </w:p>
    <w:p>
      <w:pPr>
        <w:spacing w:before="80" w:after="120"/>
        <w:jc w:val="both"/>
      </w:pPr>
      <w:r>
        <w:rPr>
          <w:rFonts w:ascii="Arial" w:cs="Arial" w:eastAsia="Arial" w:hAnsi="Arial"/>
          <w:color w:val="2B2B2B"/>
          <w:sz w:val="22"/>
          <w:szCs w:val="22"/>
        </w:rPr>
        <w:t xml:space="preserve">The purpose of BLAC is to provide a consistent and scalable framework for conducting enterprise architecture work. Without a structured approach, architecture engagements risk becoming fragmented, inconsistent, or disconnected from business strategy.</w:t>
      </w:r>
    </w:p>
    <w:p>
      <w:pPr>
        <w:spacing w:before="80" w:after="120"/>
        <w:jc w:val="both"/>
      </w:pPr>
      <w:r>
        <w:rPr>
          <w:rFonts w:ascii="Arial" w:cs="Arial" w:eastAsia="Arial" w:hAnsi="Arial"/>
          <w:color w:val="2B2B2B"/>
          <w:sz w:val="22"/>
          <w:szCs w:val="22"/>
        </w:rPr>
        <w:t xml:space="preserve">BLAC solves this problem by ensuring that all four dimensions of the enterprise are considered together. It prevents the common mistake of focusing solely on technology while neglecting business capabilities, or of designing architecture without understanding the existing landscape.</w:t>
      </w:r>
    </w:p>
    <w:p>
      <w:pPr>
        <w:pStyle w:val="ListParagraph"/>
        <w:numPr>
          <w:ilvl w:val="0"/>
          <w:numId w:val="2"/>
        </w:numPr>
        <w:spacing w:before="60" w:after="60"/>
      </w:pPr>
      <w:r>
        <w:rPr>
          <w:rFonts w:ascii="Arial" w:cs="Arial" w:eastAsia="Arial" w:hAnsi="Arial"/>
          <w:color w:val="2B2B2B"/>
          <w:sz w:val="22"/>
          <w:szCs w:val="22"/>
        </w:rPr>
        <w:t xml:space="preserve">It aligns technology decisions with business strategy.</w:t>
      </w:r>
    </w:p>
    <w:p>
      <w:pPr>
        <w:pStyle w:val="ListParagraph"/>
        <w:numPr>
          <w:ilvl w:val="0"/>
          <w:numId w:val="2"/>
        </w:numPr>
        <w:spacing w:before="60" w:after="60"/>
      </w:pPr>
      <w:r>
        <w:rPr>
          <w:rFonts w:ascii="Arial" w:cs="Arial" w:eastAsia="Arial" w:hAnsi="Arial"/>
          <w:color w:val="2B2B2B"/>
          <w:sz w:val="22"/>
          <w:szCs w:val="22"/>
        </w:rPr>
        <w:t xml:space="preserve">It provides a shared language for architects, business stakeholders, and delivery teams.</w:t>
      </w:r>
    </w:p>
    <w:p>
      <w:pPr>
        <w:pStyle w:val="ListParagraph"/>
        <w:numPr>
          <w:ilvl w:val="0"/>
          <w:numId w:val="2"/>
        </w:numPr>
        <w:spacing w:before="60" w:after="60"/>
      </w:pPr>
      <w:r>
        <w:rPr>
          <w:rFonts w:ascii="Arial" w:cs="Arial" w:eastAsia="Arial" w:hAnsi="Arial"/>
          <w:color w:val="2B2B2B"/>
          <w:sz w:val="22"/>
          <w:szCs w:val="22"/>
        </w:rPr>
        <w:t xml:space="preserve">It ensures that transformation programmes are both business-led and technically rigorous.</w:t>
      </w:r>
    </w:p>
    <w:p>
      <w:pPr>
        <w:pStyle w:val="ListParagraph"/>
        <w:numPr>
          <w:ilvl w:val="0"/>
          <w:numId w:val="2"/>
        </w:numPr>
        <w:spacing w:before="60" w:after="60"/>
      </w:pPr>
      <w:r>
        <w:rPr>
          <w:rFonts w:ascii="Arial" w:cs="Arial" w:eastAsia="Arial" w:hAnsi="Arial"/>
          <w:color w:val="2B2B2B"/>
          <w:sz w:val="22"/>
          <w:szCs w:val="22"/>
        </w:rPr>
        <w:t xml:space="preserve">It supports structured governance of architecture decisions.</w:t>
      </w:r>
    </w:p>
    <w:p>
      <w:pPr>
        <w:pStyle w:val="ListParagraph"/>
        <w:numPr>
          <w:ilvl w:val="0"/>
          <w:numId w:val="2"/>
        </w:numPr>
        <w:spacing w:before="60" w:after="60"/>
      </w:pPr>
      <w:r>
        <w:rPr>
          <w:rFonts w:ascii="Arial" w:cs="Arial" w:eastAsia="Arial" w:hAnsi="Arial"/>
          <w:color w:val="2B2B2B"/>
          <w:sz w:val="22"/>
          <w:szCs w:val="22"/>
        </w:rPr>
        <w:t xml:space="preserve">It enables the reuse of proven patterns and reference architectures across programmes.</w:t>
      </w:r>
    </w:p>
    <w:p>
      <w:pPr>
        <w:spacing w:before="0" w:after="120"/>
      </w:pPr>
    </w:p>
    <w:p>
      <w:pPr>
        <w:pStyle w:val="Heading2"/>
        <w:spacing w:before="300" w:after="120"/>
      </w:pPr>
      <w:r>
        <w:rPr>
          <w:rFonts w:ascii="Arial" w:cs="Arial" w:eastAsia="Arial" w:hAnsi="Arial"/>
          <w:b/>
          <w:bCs/>
          <w:color w:val="00477A"/>
          <w:sz w:val="28"/>
          <w:szCs w:val="28"/>
        </w:rPr>
        <w:t xml:space="preserve">1.3 Why Organisations Use BLAC</w:t>
      </w:r>
    </w:p>
    <w:p>
      <w:pPr>
        <w:spacing w:before="80" w:after="120"/>
        <w:jc w:val="both"/>
      </w:pPr>
      <w:r>
        <w:rPr>
          <w:rFonts w:ascii="Arial" w:cs="Arial" w:eastAsia="Arial" w:hAnsi="Arial"/>
          <w:color w:val="2B2B2B"/>
          <w:sz w:val="22"/>
          <w:szCs w:val="22"/>
        </w:rPr>
        <w:t xml:space="preserve">Organisations face increasing complexity in their technology estates. Legacy systems, cloud platforms, data assets, and third-party services must be managed simultaneously. Transformation programmes must deliver business value quickly while managing technical risk. BLAC provides the structure needed to navigate this complexity.</w:t>
      </w:r>
    </w:p>
    <w:p>
      <w:pPr>
        <w:spacing w:before="80" w:after="120"/>
        <w:jc w:val="both"/>
      </w:pPr>
      <w:r>
        <w:rPr>
          <w:rFonts w:ascii="Arial" w:cs="Arial" w:eastAsia="Arial" w:hAnsi="Arial"/>
          <w:color w:val="2B2B2B"/>
          <w:sz w:val="22"/>
          <w:szCs w:val="22"/>
        </w:rPr>
        <w:t xml:space="preserve">Specifically, organisations use BLAC because it:</w:t>
      </w:r>
    </w:p>
    <w:p>
      <w:pPr>
        <w:pStyle w:val="ListParagraph"/>
        <w:numPr>
          <w:ilvl w:val="0"/>
          <w:numId w:val="2"/>
        </w:numPr>
        <w:spacing w:before="60" w:after="60"/>
      </w:pPr>
      <w:r>
        <w:rPr>
          <w:rFonts w:ascii="Arial" w:cs="Arial" w:eastAsia="Arial" w:hAnsi="Arial"/>
          <w:color w:val="2B2B2B"/>
          <w:sz w:val="22"/>
          <w:szCs w:val="22"/>
        </w:rPr>
        <w:t xml:space="preserve">Provides a clear picture of the current business and technology landscape before any transformation begins.</w:t>
      </w:r>
    </w:p>
    <w:p>
      <w:pPr>
        <w:pStyle w:val="ListParagraph"/>
        <w:numPr>
          <w:ilvl w:val="0"/>
          <w:numId w:val="2"/>
        </w:numPr>
        <w:spacing w:before="60" w:after="60"/>
      </w:pPr>
      <w:r>
        <w:rPr>
          <w:rFonts w:ascii="Arial" w:cs="Arial" w:eastAsia="Arial" w:hAnsi="Arial"/>
          <w:color w:val="2B2B2B"/>
          <w:sz w:val="22"/>
          <w:szCs w:val="22"/>
        </w:rPr>
        <w:t xml:space="preserve">Identifies capability gaps between the current state and the target state.</w:t>
      </w:r>
    </w:p>
    <w:p>
      <w:pPr>
        <w:pStyle w:val="ListParagraph"/>
        <w:numPr>
          <w:ilvl w:val="0"/>
          <w:numId w:val="2"/>
        </w:numPr>
        <w:spacing w:before="60" w:after="60"/>
      </w:pPr>
      <w:r>
        <w:rPr>
          <w:rFonts w:ascii="Arial" w:cs="Arial" w:eastAsia="Arial" w:hAnsi="Arial"/>
          <w:color w:val="2B2B2B"/>
          <w:sz w:val="22"/>
          <w:szCs w:val="22"/>
        </w:rPr>
        <w:t xml:space="preserve">Creates a prioritised and sequenced roadmap for addressing those gaps.</w:t>
      </w:r>
    </w:p>
    <w:p>
      <w:pPr>
        <w:pStyle w:val="ListParagraph"/>
        <w:numPr>
          <w:ilvl w:val="0"/>
          <w:numId w:val="2"/>
        </w:numPr>
        <w:spacing w:before="60" w:after="60"/>
      </w:pPr>
      <w:r>
        <w:rPr>
          <w:rFonts w:ascii="Arial" w:cs="Arial" w:eastAsia="Arial" w:hAnsi="Arial"/>
          <w:color w:val="2B2B2B"/>
          <w:sz w:val="22"/>
          <w:szCs w:val="22"/>
        </w:rPr>
        <w:t xml:space="preserve">Ensures that architecture decisions are visible, justified, and governed.</w:t>
      </w:r>
    </w:p>
    <w:p>
      <w:pPr>
        <w:pStyle w:val="ListParagraph"/>
        <w:numPr>
          <w:ilvl w:val="0"/>
          <w:numId w:val="2"/>
        </w:numPr>
        <w:spacing w:before="60" w:after="60"/>
      </w:pPr>
      <w:r>
        <w:rPr>
          <w:rFonts w:ascii="Arial" w:cs="Arial" w:eastAsia="Arial" w:hAnsi="Arial"/>
          <w:color w:val="2B2B2B"/>
          <w:sz w:val="22"/>
          <w:szCs w:val="22"/>
        </w:rPr>
        <w:t xml:space="preserve">Reduces duplication of effort through reusable architectural building blocks and patterns.</w:t>
      </w:r>
    </w:p>
    <w:p>
      <w:pPr>
        <w:spacing w:before="0" w:after="120"/>
      </w:pPr>
    </w:p>
    <w:p>
      <w:pPr>
        <w:pStyle w:val="Heading2"/>
        <w:spacing w:before="300" w:after="120"/>
      </w:pPr>
      <w:r>
        <w:rPr>
          <w:rFonts w:ascii="Arial" w:cs="Arial" w:eastAsia="Arial" w:hAnsi="Arial"/>
          <w:b/>
          <w:bCs/>
          <w:color w:val="00477A"/>
          <w:sz w:val="28"/>
          <w:szCs w:val="28"/>
        </w:rPr>
        <w:t xml:space="preserve">1.4 How BLAC Supports Digital Transformation</w:t>
      </w:r>
    </w:p>
    <w:p>
      <w:pPr>
        <w:spacing w:before="80" w:after="120"/>
        <w:jc w:val="both"/>
      </w:pPr>
      <w:r>
        <w:rPr>
          <w:rFonts w:ascii="Arial" w:cs="Arial" w:eastAsia="Arial" w:hAnsi="Arial"/>
          <w:color w:val="2B2B2B"/>
          <w:sz w:val="22"/>
          <w:szCs w:val="22"/>
        </w:rPr>
        <w:t xml:space="preserve">Digital transformation programmes require more than technology investment. They require a clear understanding of the business capabilities that must be developed or enhanced. They require a realistic view of the existing technology landscape and its constraints. They require architecture governance to ensure coherence across multiple delivery streams.</w:t>
      </w:r>
    </w:p>
    <w:p>
      <w:pPr>
        <w:spacing w:before="80" w:after="120"/>
        <w:jc w:val="both"/>
      </w:pPr>
      <w:r>
        <w:rPr>
          <w:rFonts w:ascii="Arial" w:cs="Arial" w:eastAsia="Arial" w:hAnsi="Arial"/>
          <w:color w:val="2B2B2B"/>
          <w:sz w:val="22"/>
          <w:szCs w:val="22"/>
        </w:rPr>
        <w:t xml:space="preserve">BLAC supports digital transformation by providing precisely this structure. The Business dimension ensures that transformation is strategy-led. The Landscape dimension ensures that it is grounded in reality. The Architecture dimension ensures that it is technically coherent. The Capabilities dimension ensures that it delivers the organisational abilities needed to compete in the digital economy.</w:t>
      </w:r>
    </w:p>
    <w:p>
      <w:pPr>
        <w:spacing w:before="0" w:after="200"/>
      </w:pPr>
    </w:p>
    <w:p>
      <w:r>
        <w:br w:type="page"/>
      </w:r>
    </w:p>
    <w:p>
      <w:pPr>
        <w:pBdr>
          <w:bottom w:val="single" w:color="0070AD" w:sz="14" w:space="10"/>
        </w:pBdr>
        <w:spacing w:before="520" w:after="0"/>
      </w:pPr>
      <w:r>
        <w:rPr>
          <w:rFonts w:ascii="Arial" w:cs="Arial" w:eastAsia="Arial" w:hAnsi="Arial"/>
          <w:color w:val="555555"/>
          <w:sz w:val="22"/>
          <w:szCs w:val="22"/>
        </w:rPr>
        <w:t xml:space="preserve">Section 2   </w:t>
      </w:r>
      <w:r>
        <w:rPr>
          <w:rFonts w:ascii="Arial" w:cs="Arial" w:eastAsia="Arial" w:hAnsi="Arial"/>
          <w:b/>
          <w:bCs/>
          <w:color w:val="0070AD"/>
          <w:sz w:val="72"/>
          <w:szCs w:val="72"/>
        </w:rPr>
        <w:t xml:space="preserve">Core Concepts</w:t>
      </w:r>
      <w:r>
        <w:rPr>
          <w:rFonts w:ascii="Arial" w:cs="Arial" w:eastAsia="Arial" w:hAnsi="Arial"/>
          <w:color w:val="2B2B2B"/>
          <w:sz w:val="34"/>
          <w:szCs w:val="34"/>
        </w:rPr>
        <w:t xml:space="preserve">   of BLAC</w:t>
      </w:r>
    </w:p>
    <w:p>
      <w:pPr>
        <w:spacing w:before="0" w:after="180"/>
      </w:pPr>
    </w:p>
    <w:p>
      <w:pPr>
        <w:pStyle w:val="Heading1"/>
        <w:pBdr>
          <w:bottom w:val="single" w:color="0070AD" w:sz="10" w:space="8"/>
        </w:pBdr>
        <w:spacing w:before="420" w:after="180"/>
      </w:pPr>
      <w:r>
        <w:rPr>
          <w:rFonts w:ascii="Arial" w:cs="Arial" w:eastAsia="Arial" w:hAnsi="Arial"/>
          <w:b/>
          <w:bCs/>
          <w:color w:val="0070AD"/>
          <w:sz w:val="38"/>
          <w:szCs w:val="38"/>
        </w:rPr>
        <w:t xml:space="preserve">2. Core Concepts of BLAC</w:t>
      </w:r>
    </w:p>
    <w:p>
      <w:pPr>
        <w:spacing w:before="80" w:after="120"/>
        <w:jc w:val="both"/>
      </w:pPr>
      <w:r>
        <w:rPr>
          <w:rFonts w:ascii="Arial" w:cs="Arial" w:eastAsia="Arial" w:hAnsi="Arial"/>
          <w:color w:val="2B2B2B"/>
          <w:sz w:val="22"/>
          <w:szCs w:val="22"/>
        </w:rPr>
        <w:t xml:space="preserve">BLAC comprises four core concepts. Each concept is a distinct dimension of enterprise analysis. Together, they form a coherent framework for understanding and transforming complex organisations.</w:t>
      </w:r>
    </w:p>
    <w:p>
      <w:pPr>
        <w:spacing w:before="0" w:after="120"/>
      </w:pPr>
    </w:p>
    <w:p>
      <w:pPr>
        <w:pStyle w:val="Heading2"/>
        <w:spacing w:before="300" w:after="120"/>
      </w:pPr>
      <w:r>
        <w:rPr>
          <w:rFonts w:ascii="Arial" w:cs="Arial" w:eastAsia="Arial" w:hAnsi="Arial"/>
          <w:b/>
          <w:bCs/>
          <w:color w:val="00477A"/>
          <w:sz w:val="28"/>
          <w:szCs w:val="28"/>
        </w:rPr>
        <w:t xml:space="preserve">2.1 Definition of Each Concept</w:t>
      </w:r>
    </w:p>
    <w:p>
      <w:pPr>
        <w:pStyle w:val="Heading3"/>
        <w:spacing w:before="220" w:after="100"/>
      </w:pPr>
      <w:r>
        <w:rPr>
          <w:rFonts w:ascii="Arial" w:cs="Arial" w:eastAsia="Arial" w:hAnsi="Arial"/>
          <w:b/>
          <w:bCs/>
          <w:color w:val="007C8A"/>
          <w:sz w:val="24"/>
          <w:szCs w:val="24"/>
        </w:rPr>
        <w:t xml:space="preserve">Business (B)</w:t>
      </w:r>
    </w:p>
    <w:p>
      <w:pPr>
        <w:spacing w:before="80" w:after="120"/>
        <w:jc w:val="both"/>
      </w:pPr>
      <w:r>
        <w:rPr>
          <w:rFonts w:ascii="Arial" w:cs="Arial" w:eastAsia="Arial" w:hAnsi="Arial"/>
          <w:color w:val="2B2B2B"/>
          <w:sz w:val="22"/>
          <w:szCs w:val="22"/>
        </w:rPr>
        <w:t xml:space="preserve">The Business dimension defines the strategic intent and operating model of the organisation. It describes what the organisation does, why it does it, and what outcomes it seeks to achieve. It includes business strategy, business capabilities, value streams, business processes, and key performance indicators.</w:t>
      </w:r>
    </w:p>
    <w:p>
      <w:pPr>
        <w:spacing w:before="80" w:after="120"/>
        <w:jc w:val="both"/>
      </w:pPr>
      <w:r>
        <w:rPr>
          <w:rFonts w:ascii="Arial" w:cs="Arial" w:eastAsia="Arial" w:hAnsi="Arial"/>
          <w:color w:val="2B2B2B"/>
          <w:sz w:val="22"/>
          <w:szCs w:val="22"/>
        </w:rPr>
        <w:t xml:space="preserve">The Business dimension is the anchor of the entire BLAC framework. Every architecture decision must ultimately serve a defined business purpose. Without a clear Business dimension, technology investments lack strategic direction.</w:t>
      </w:r>
    </w:p>
    <w:p>
      <w:pPr>
        <w:spacing w:before="0" w:after="120"/>
      </w:pPr>
    </w:p>
    <w:p>
      <w:pPr>
        <w:pStyle w:val="Heading3"/>
        <w:spacing w:before="220" w:after="100"/>
      </w:pPr>
      <w:r>
        <w:rPr>
          <w:rFonts w:ascii="Arial" w:cs="Arial" w:eastAsia="Arial" w:hAnsi="Arial"/>
          <w:b/>
          <w:bCs/>
          <w:color w:val="007C8A"/>
          <w:sz w:val="24"/>
          <w:szCs w:val="24"/>
        </w:rPr>
        <w:t xml:space="preserve">Landscape (L)</w:t>
      </w:r>
    </w:p>
    <w:p>
      <w:pPr>
        <w:spacing w:before="80" w:after="120"/>
        <w:jc w:val="both"/>
      </w:pPr>
      <w:r>
        <w:rPr>
          <w:rFonts w:ascii="Arial" w:cs="Arial" w:eastAsia="Arial" w:hAnsi="Arial"/>
          <w:color w:val="2B2B2B"/>
          <w:sz w:val="22"/>
          <w:szCs w:val="22"/>
        </w:rPr>
        <w:t xml:space="preserve">The Landscape dimension describes the current and target-state technology ecosystem of the organisation. It provides a comprehensive view of the systems, applications, data sources, and integration mechanisms that exist within and around the enterprise.</w:t>
      </w:r>
    </w:p>
    <w:p>
      <w:pPr>
        <w:spacing w:before="80" w:after="120"/>
        <w:jc w:val="both"/>
      </w:pPr>
      <w:r>
        <w:rPr>
          <w:rFonts w:ascii="Arial" w:cs="Arial" w:eastAsia="Arial" w:hAnsi="Arial"/>
          <w:color w:val="2B2B2B"/>
          <w:sz w:val="22"/>
          <w:szCs w:val="22"/>
        </w:rPr>
        <w:t xml:space="preserve">The Landscape dimension answers the question: what have we got today? It prevents the common error of designing transformation programmes in isolation from the existing estate, which leads to integration problems, duplication, and unnecessary complexity.</w:t>
      </w:r>
    </w:p>
    <w:p>
      <w:pPr>
        <w:spacing w:before="0" w:after="120"/>
      </w:pPr>
    </w:p>
    <w:p>
      <w:pPr>
        <w:pStyle w:val="Heading3"/>
        <w:spacing w:before="220" w:after="100"/>
      </w:pPr>
      <w:r>
        <w:rPr>
          <w:rFonts w:ascii="Arial" w:cs="Arial" w:eastAsia="Arial" w:hAnsi="Arial"/>
          <w:b/>
          <w:bCs/>
          <w:color w:val="007C8A"/>
          <w:sz w:val="24"/>
          <w:szCs w:val="24"/>
        </w:rPr>
        <w:t xml:space="preserve">Architecture (A)</w:t>
      </w:r>
    </w:p>
    <w:p>
      <w:pPr>
        <w:spacing w:before="80" w:after="120"/>
        <w:jc w:val="both"/>
      </w:pPr>
      <w:r>
        <w:rPr>
          <w:rFonts w:ascii="Arial" w:cs="Arial" w:eastAsia="Arial" w:hAnsi="Arial"/>
          <w:color w:val="2B2B2B"/>
          <w:sz w:val="22"/>
          <w:szCs w:val="22"/>
        </w:rPr>
        <w:t xml:space="preserve">The Architecture dimension provides the structural framework for the enterprise. It defines how the enterprise is designed. It establishes the principles, standards, and governance mechanisms that guide all architecture and technology decisions. It describes the layers of the architecture and how they relate to one another.</w:t>
      </w:r>
    </w:p>
    <w:p>
      <w:pPr>
        <w:spacing w:before="80" w:after="120"/>
        <w:jc w:val="both"/>
      </w:pPr>
      <w:r>
        <w:rPr>
          <w:rFonts w:ascii="Arial" w:cs="Arial" w:eastAsia="Arial" w:hAnsi="Arial"/>
          <w:color w:val="2B2B2B"/>
          <w:sz w:val="22"/>
          <w:szCs w:val="22"/>
        </w:rPr>
        <w:t xml:space="preserve">The Architecture dimension ensures that transformation is coherent. It prevents solutions from being designed in isolation, creating an inconsistent and unmanageable technology estate.</w:t>
      </w:r>
    </w:p>
    <w:p>
      <w:pPr>
        <w:spacing w:before="0" w:after="120"/>
      </w:pPr>
    </w:p>
    <w:p>
      <w:pPr>
        <w:pStyle w:val="Heading3"/>
        <w:spacing w:before="220" w:after="100"/>
      </w:pPr>
      <w:r>
        <w:rPr>
          <w:rFonts w:ascii="Arial" w:cs="Arial" w:eastAsia="Arial" w:hAnsi="Arial"/>
          <w:b/>
          <w:bCs/>
          <w:color w:val="007C8A"/>
          <w:sz w:val="24"/>
          <w:szCs w:val="24"/>
        </w:rPr>
        <w:t xml:space="preserve">Capabilities (C)</w:t>
      </w:r>
    </w:p>
    <w:p>
      <w:pPr>
        <w:spacing w:before="80" w:after="120"/>
        <w:jc w:val="both"/>
      </w:pPr>
      <w:r>
        <w:rPr>
          <w:rFonts w:ascii="Arial" w:cs="Arial" w:eastAsia="Arial" w:hAnsi="Arial"/>
          <w:color w:val="2B2B2B"/>
          <w:sz w:val="22"/>
          <w:szCs w:val="22"/>
        </w:rPr>
        <w:t xml:space="preserve">The Capabilities dimension defines the organisational abilities needed to execute business strategy and deliver business outcomes. A capability describes what the organisation must be able to do, independent of how it currently does it. Capabilities are stable over time, even as the technology and processes that support them change.</w:t>
      </w:r>
    </w:p>
    <w:p>
      <w:pPr>
        <w:spacing w:before="80" w:after="120"/>
        <w:jc w:val="both"/>
      </w:pPr>
      <w:r>
        <w:rPr>
          <w:rFonts w:ascii="Arial" w:cs="Arial" w:eastAsia="Arial" w:hAnsi="Arial"/>
          <w:color w:val="2B2B2B"/>
          <w:sz w:val="22"/>
          <w:szCs w:val="22"/>
        </w:rPr>
        <w:t xml:space="preserve">The Capabilities dimension is the bridge between business strategy and technology delivery. It translates strategic intent into a set of defined organisational abilities that architecture and technology must support.</w:t>
      </w:r>
    </w:p>
    <w:p>
      <w:pPr>
        <w:spacing w:before="0" w:after="120"/>
      </w:pPr>
    </w:p>
    <w:p>
      <w:pPr>
        <w:pStyle w:val="Heading2"/>
        <w:spacing w:before="300" w:after="120"/>
      </w:pPr>
      <w:r>
        <w:rPr>
          <w:rFonts w:ascii="Arial" w:cs="Arial" w:eastAsia="Arial" w:hAnsi="Arial"/>
          <w:b/>
          <w:bCs/>
          <w:color w:val="00477A"/>
          <w:sz w:val="28"/>
          <w:szCs w:val="28"/>
        </w:rPr>
        <w:t xml:space="preserve">2.2 Relationship Between the Concepts</w:t>
      </w:r>
    </w:p>
    <w:p>
      <w:pPr>
        <w:spacing w:before="80" w:after="120"/>
        <w:jc w:val="both"/>
      </w:pPr>
      <w:r>
        <w:rPr>
          <w:rFonts w:ascii="Arial" w:cs="Arial" w:eastAsia="Arial" w:hAnsi="Arial"/>
          <w:color w:val="2B2B2B"/>
          <w:sz w:val="22"/>
          <w:szCs w:val="22"/>
        </w:rPr>
        <w:t xml:space="preserve">The four BLAC dimensions are deeply interconnected. They do not operate independently. Each dimension informs and constrains the others.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Relationship</w:t>
            </w:r>
          </w:p>
        </w:tc>
        <w:tc>
          <w:tcPr>
            <w:tcW w:type="dxa" w:w="576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36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Business informs Capabilities</w:t>
            </w:r>
          </w:p>
        </w:tc>
        <w:tc>
          <w:tcPr>
            <w:tcW w:type="dxa" w:w="57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Business strategy defines which capabilities must be developed or improved to achieve strategic objectives.</w:t>
            </w:r>
          </w:p>
        </w:tc>
      </w:tr>
      <w:tr>
        <w:tc>
          <w:tcPr>
            <w:tcW w:type="dxa" w:w="36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Capabilities inform Architecture</w:t>
            </w:r>
          </w:p>
        </w:tc>
        <w:tc>
          <w:tcPr>
            <w:tcW w:type="dxa" w:w="57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The required capabilities determine the architecture layers, patterns, and building blocks needed to support them.</w:t>
            </w:r>
          </w:p>
        </w:tc>
      </w:tr>
      <w:tr>
        <w:tc>
          <w:tcPr>
            <w:tcW w:type="dxa" w:w="36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Architecture informs Landscape</w:t>
            </w:r>
          </w:p>
        </w:tc>
        <w:tc>
          <w:tcPr>
            <w:tcW w:type="dxa" w:w="57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The target architecture defines the desired future landscape, replacing or augmenting existing systems and integrations.</w:t>
            </w:r>
          </w:p>
        </w:tc>
      </w:tr>
      <w:tr>
        <w:tc>
          <w:tcPr>
            <w:tcW w:type="dxa" w:w="36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Landscape informs Business</w:t>
            </w:r>
          </w:p>
        </w:tc>
        <w:tc>
          <w:tcPr>
            <w:tcW w:type="dxa" w:w="57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The current landscape reveals constraints and opportunities that shape what is feasible from a business and technology perspective.</w:t>
            </w:r>
          </w:p>
        </w:tc>
      </w:tr>
      <w:tr>
        <w:tc>
          <w:tcPr>
            <w:tcW w:type="dxa" w:w="36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Capabilities inform Landscape</w:t>
            </w:r>
          </w:p>
        </w:tc>
        <w:tc>
          <w:tcPr>
            <w:tcW w:type="dxa" w:w="57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Capability gaps highlight which parts of the existing landscape are inadequate and must be changed or replaced.</w:t>
            </w:r>
          </w:p>
        </w:tc>
      </w:tr>
      <w:tr>
        <w:tc>
          <w:tcPr>
            <w:tcW w:type="dxa" w:w="36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Architecture governs all dimensions</w:t>
            </w:r>
          </w:p>
        </w:tc>
        <w:tc>
          <w:tcPr>
            <w:tcW w:type="dxa" w:w="57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Architecture principles, standards, and governance apply across all four dimensions, ensuring coherence throughout.</w:t>
            </w:r>
          </w:p>
        </w:tc>
      </w:tr>
    </w:tbl>
    <w:p>
      <w:pPr>
        <w:spacing w:before="0" w:after="160"/>
      </w:pPr>
    </w:p>
    <w:p>
      <w:pPr>
        <w:pStyle w:val="Heading2"/>
        <w:spacing w:before="300" w:after="120"/>
      </w:pPr>
      <w:r>
        <w:rPr>
          <w:rFonts w:ascii="Arial" w:cs="Arial" w:eastAsia="Arial" w:hAnsi="Arial"/>
          <w:b/>
          <w:bCs/>
          <w:color w:val="00477A"/>
          <w:sz w:val="28"/>
          <w:szCs w:val="28"/>
        </w:rPr>
        <w:t xml:space="preserve">2.3 Role in Enterprise Architecture Practice</w:t>
      </w:r>
    </w:p>
    <w:p>
      <w:pPr>
        <w:spacing w:before="80" w:after="120"/>
        <w:jc w:val="both"/>
      </w:pPr>
      <w:r>
        <w:rPr>
          <w:rFonts w:ascii="Arial" w:cs="Arial" w:eastAsia="Arial" w:hAnsi="Arial"/>
          <w:color w:val="2B2B2B"/>
          <w:sz w:val="22"/>
          <w:szCs w:val="22"/>
        </w:rPr>
        <w:t xml:space="preserve">In enterprise architecture practice, the BLAC framework serves as the primary organising structure for analysis and design work. When beginning a transformation engagement, architects use BLAC to structure their discovery, analysis, and design activities across all four dimensions.</w:t>
      </w:r>
    </w:p>
    <w:p>
      <w:pPr>
        <w:spacing w:before="80" w:after="120"/>
        <w:jc w:val="both"/>
      </w:pPr>
      <w:r>
        <w:rPr>
          <w:rFonts w:ascii="Arial" w:cs="Arial" w:eastAsia="Arial" w:hAnsi="Arial"/>
          <w:color w:val="2B2B2B"/>
          <w:sz w:val="22"/>
          <w:szCs w:val="22"/>
        </w:rPr>
        <w:t xml:space="preserve">BLAC ensures that no dimension is neglected. Engagements that focus exclusively on technology miss the business and capability perspectives. Engagements that focus only on strategy miss the landscape constraints. BLAC enforces a balanced and comprehensive approach.</w:t>
      </w:r>
    </w:p>
    <w:p>
      <w:pPr>
        <w:spacing w:before="0" w:after="200"/>
      </w:pPr>
    </w:p>
    <w:p>
      <w:r>
        <w:br w:type="page"/>
      </w:r>
    </w:p>
    <w:p>
      <w:pPr>
        <w:pBdr>
          <w:bottom w:val="single" w:color="0070AD" w:sz="14" w:space="10"/>
        </w:pBdr>
        <w:spacing w:before="520" w:after="0"/>
      </w:pPr>
      <w:r>
        <w:rPr>
          <w:rFonts w:ascii="Arial" w:cs="Arial" w:eastAsia="Arial" w:hAnsi="Arial"/>
          <w:color w:val="555555"/>
          <w:sz w:val="22"/>
          <w:szCs w:val="22"/>
        </w:rPr>
        <w:t xml:space="preserve">Section 3   </w:t>
      </w:r>
      <w:r>
        <w:rPr>
          <w:rFonts w:ascii="Arial" w:cs="Arial" w:eastAsia="Arial" w:hAnsi="Arial"/>
          <w:b/>
          <w:bCs/>
          <w:color w:val="0070AD"/>
          <w:sz w:val="72"/>
          <w:szCs w:val="72"/>
        </w:rPr>
        <w:t xml:space="preserve">B</w:t>
      </w:r>
      <w:r>
        <w:rPr>
          <w:rFonts w:ascii="Arial" w:cs="Arial" w:eastAsia="Arial" w:hAnsi="Arial"/>
          <w:color w:val="2B2B2B"/>
          <w:sz w:val="34"/>
          <w:szCs w:val="34"/>
        </w:rPr>
        <w:t xml:space="preserve">   Business Dimension</w:t>
      </w:r>
    </w:p>
    <w:p>
      <w:pPr>
        <w:spacing w:before="0" w:after="180"/>
      </w:pPr>
    </w:p>
    <w:p>
      <w:pPr>
        <w:pStyle w:val="Heading1"/>
        <w:pBdr>
          <w:bottom w:val="single" w:color="0070AD" w:sz="10" w:space="8"/>
        </w:pBdr>
        <w:spacing w:before="420" w:after="180"/>
      </w:pPr>
      <w:r>
        <w:rPr>
          <w:rFonts w:ascii="Arial" w:cs="Arial" w:eastAsia="Arial" w:hAnsi="Arial"/>
          <w:b/>
          <w:bCs/>
          <w:color w:val="0070AD"/>
          <w:sz w:val="38"/>
          <w:szCs w:val="38"/>
        </w:rPr>
        <w:t xml:space="preserve">3. Business Dimension</w:t>
      </w:r>
    </w:p>
    <w:p>
      <w:pPr>
        <w:spacing w:before="80" w:after="120"/>
        <w:jc w:val="both"/>
      </w:pPr>
      <w:r>
        <w:rPr>
          <w:rFonts w:ascii="Arial" w:cs="Arial" w:eastAsia="Arial" w:hAnsi="Arial"/>
          <w:color w:val="2B2B2B"/>
          <w:sz w:val="22"/>
          <w:szCs w:val="22"/>
        </w:rPr>
        <w:t xml:space="preserve">The Business dimension is the strategic foundation of the BLAC framework. It defines the purpose, direction, and intended outcomes of the organisation. All architecture work in BLAC begins with a thorough understanding of the Business dimension.</w:t>
      </w:r>
    </w:p>
    <w:p>
      <w:pPr>
        <w:spacing w:before="0" w:after="120"/>
      </w:pPr>
    </w:p>
    <w:p>
      <w:pPr>
        <w:pStyle w:val="Heading2"/>
        <w:spacing w:before="300" w:after="120"/>
      </w:pPr>
      <w:r>
        <w:rPr>
          <w:rFonts w:ascii="Arial" w:cs="Arial" w:eastAsia="Arial" w:hAnsi="Arial"/>
          <w:b/>
          <w:bCs/>
          <w:color w:val="00477A"/>
          <w:sz w:val="28"/>
          <w:szCs w:val="28"/>
        </w:rPr>
        <w:t xml:space="preserve">3.1 Business Strategy Alignment</w:t>
      </w:r>
    </w:p>
    <w:p>
      <w:pPr>
        <w:spacing w:before="80" w:after="120"/>
        <w:jc w:val="both"/>
      </w:pPr>
      <w:r>
        <w:rPr>
          <w:rFonts w:ascii="Arial" w:cs="Arial" w:eastAsia="Arial" w:hAnsi="Arial"/>
          <w:color w:val="2B2B2B"/>
          <w:sz w:val="22"/>
          <w:szCs w:val="22"/>
        </w:rPr>
        <w:t xml:space="preserve">Business strategy alignment means ensuring that every architecture decision contributes to the achievement of the organisation's strategic goals. Without this alignment, technology investments become ends in themselves rather than enablers of business value.</w:t>
      </w:r>
    </w:p>
    <w:p>
      <w:pPr>
        <w:spacing w:before="80" w:after="120"/>
        <w:jc w:val="both"/>
      </w:pPr>
      <w:r>
        <w:rPr>
          <w:rFonts w:ascii="Arial" w:cs="Arial" w:eastAsia="Arial" w:hAnsi="Arial"/>
          <w:color w:val="2B2B2B"/>
          <w:sz w:val="22"/>
          <w:szCs w:val="22"/>
        </w:rPr>
        <w:t xml:space="preserve">To achieve business strategy alignment, architects must first understand the organisation's strategic goals. This involves working closely with business leaders to understand:</w:t>
      </w:r>
    </w:p>
    <w:p>
      <w:pPr>
        <w:pStyle w:val="ListParagraph"/>
        <w:numPr>
          <w:ilvl w:val="0"/>
          <w:numId w:val="2"/>
        </w:numPr>
        <w:spacing w:before="60" w:after="60"/>
      </w:pPr>
      <w:r>
        <w:rPr>
          <w:rFonts w:ascii="Arial" w:cs="Arial" w:eastAsia="Arial" w:hAnsi="Arial"/>
          <w:color w:val="2B2B2B"/>
          <w:sz w:val="22"/>
          <w:szCs w:val="22"/>
        </w:rPr>
        <w:t xml:space="preserve">The organisation's mission and vision.</w:t>
      </w:r>
    </w:p>
    <w:p>
      <w:pPr>
        <w:pStyle w:val="ListParagraph"/>
        <w:numPr>
          <w:ilvl w:val="0"/>
          <w:numId w:val="2"/>
        </w:numPr>
        <w:spacing w:before="60" w:after="60"/>
      </w:pPr>
      <w:r>
        <w:rPr>
          <w:rFonts w:ascii="Arial" w:cs="Arial" w:eastAsia="Arial" w:hAnsi="Arial"/>
          <w:color w:val="2B2B2B"/>
          <w:sz w:val="22"/>
          <w:szCs w:val="22"/>
        </w:rPr>
        <w:t xml:space="preserve">Its competitive positioning and market context.</w:t>
      </w:r>
    </w:p>
    <w:p>
      <w:pPr>
        <w:pStyle w:val="ListParagraph"/>
        <w:numPr>
          <w:ilvl w:val="0"/>
          <w:numId w:val="2"/>
        </w:numPr>
        <w:spacing w:before="60" w:after="60"/>
      </w:pPr>
      <w:r>
        <w:rPr>
          <w:rFonts w:ascii="Arial" w:cs="Arial" w:eastAsia="Arial" w:hAnsi="Arial"/>
          <w:color w:val="2B2B2B"/>
          <w:sz w:val="22"/>
          <w:szCs w:val="22"/>
        </w:rPr>
        <w:t xml:space="preserve">Its short-term and long-term strategic priorities.</w:t>
      </w:r>
    </w:p>
    <w:p>
      <w:pPr>
        <w:pStyle w:val="ListParagraph"/>
        <w:numPr>
          <w:ilvl w:val="0"/>
          <w:numId w:val="2"/>
        </w:numPr>
        <w:spacing w:before="60" w:after="60"/>
      </w:pPr>
      <w:r>
        <w:rPr>
          <w:rFonts w:ascii="Arial" w:cs="Arial" w:eastAsia="Arial" w:hAnsi="Arial"/>
          <w:color w:val="2B2B2B"/>
          <w:sz w:val="22"/>
          <w:szCs w:val="22"/>
        </w:rPr>
        <w:t xml:space="preserve">The business outcomes it is seeking to achieve through transformation.</w:t>
      </w:r>
    </w:p>
    <w:p>
      <w:pPr>
        <w:spacing w:before="80" w:after="120"/>
        <w:jc w:val="both"/>
      </w:pPr>
      <w:r>
        <w:rPr>
          <w:rFonts w:ascii="Arial" w:cs="Arial" w:eastAsia="Arial" w:hAnsi="Arial"/>
          <w:color w:val="2B2B2B"/>
          <w:sz w:val="22"/>
          <w:szCs w:val="22"/>
        </w:rPr>
        <w:t xml:space="preserve">Once the strategy is understood, architects can assess how well the current architecture supports those strategic goals. Gaps between the current architecture and the strategic requirements define the transformation agenda.</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D9EF" w:sz="1"/>
              <w:left w:val="single" w:color="0070AD" w:sz="18"/>
              <w:bottom w:val="single" w:color="B8D9EF" w:sz="1"/>
              <w:right w:val="single" w:color="B8D9EF" w:sz="1"/>
            </w:tcBorders>
            <w:shd w:fill="E6F2FA" w:val="clear"/>
            <w:tcMar>
              <w:top w:type="dxa" w:w="140"/>
              <w:left w:type="dxa" w:w="240"/>
              <w:bottom w:type="dxa" w:w="140"/>
              <w:right w:type="dxa" w:w="200"/>
            </w:tcMar>
          </w:tcPr>
          <w:p>
            <w:pPr>
              <w:spacing w:before="0" w:after="60"/>
            </w:pPr>
            <w:r>
              <w:rPr>
                <w:rFonts w:ascii="Arial" w:cs="Arial" w:eastAsia="Arial" w:hAnsi="Arial"/>
                <w:b/>
                <w:bCs/>
                <w:color w:val="0070AD"/>
                <w:sz w:val="22"/>
                <w:szCs w:val="22"/>
              </w:rPr>
              <w:t xml:space="preserve">Key Principle</w:t>
            </w:r>
          </w:p>
          <w:p>
            <w:pPr>
              <w:spacing w:before="0" w:after="0"/>
            </w:pPr>
            <w:r>
              <w:rPr>
                <w:rFonts w:ascii="Arial" w:cs="Arial" w:eastAsia="Arial" w:hAnsi="Arial"/>
                <w:color w:val="2B2B2B"/>
                <w:sz w:val="20"/>
                <w:szCs w:val="20"/>
              </w:rPr>
              <w:t xml:space="preserve">Architecture without business alignment is engineering for its own sake. Every design decision in BLAC must be traceable to a strategic business objective.</w:t>
            </w:r>
          </w:p>
        </w:tc>
      </w:tr>
    </w:tbl>
    <w:p>
      <w:pPr>
        <w:spacing w:before="0" w:after="160"/>
      </w:pPr>
    </w:p>
    <w:p>
      <w:pPr>
        <w:pStyle w:val="Heading2"/>
        <w:spacing w:before="300" w:after="120"/>
      </w:pPr>
      <w:r>
        <w:rPr>
          <w:rFonts w:ascii="Arial" w:cs="Arial" w:eastAsia="Arial" w:hAnsi="Arial"/>
          <w:b/>
          <w:bCs/>
          <w:color w:val="00477A"/>
          <w:sz w:val="28"/>
          <w:szCs w:val="28"/>
        </w:rPr>
        <w:t xml:space="preserve">3.2 Business Capabilities</w:t>
      </w:r>
    </w:p>
    <w:p>
      <w:pPr>
        <w:spacing w:before="80" w:after="120"/>
        <w:jc w:val="both"/>
      </w:pPr>
      <w:r>
        <w:rPr>
          <w:rFonts w:ascii="Arial" w:cs="Arial" w:eastAsia="Arial" w:hAnsi="Arial"/>
          <w:color w:val="2B2B2B"/>
          <w:sz w:val="22"/>
          <w:szCs w:val="22"/>
        </w:rPr>
        <w:t xml:space="preserve">A business capability is a stable description of something the organisation must be able to do to execute its strategy and deliver value. Capabilities describe what the organisation does, not how it does it. They are independent of organisational structure, technology, and process.</w:t>
      </w:r>
    </w:p>
    <w:p>
      <w:pPr>
        <w:spacing w:before="80" w:after="120"/>
        <w:jc w:val="both"/>
      </w:pPr>
      <w:r>
        <w:rPr>
          <w:rFonts w:ascii="Arial" w:cs="Arial" w:eastAsia="Arial" w:hAnsi="Arial"/>
          <w:color w:val="2B2B2B"/>
          <w:sz w:val="22"/>
          <w:szCs w:val="22"/>
        </w:rPr>
        <w:t xml:space="preserve">Examples of business capabilities in different industries include the following.</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Industry</w:t>
            </w:r>
          </w:p>
        </w:tc>
        <w:tc>
          <w:tcPr>
            <w:tcW w:type="dxa" w:w="656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Example Business Capabilities</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Retail Banking</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Account Management, Lending, Payments, Customer Onboarding, Fraud Detection.</w:t>
            </w:r>
          </w:p>
        </w:tc>
      </w:tr>
      <w:tr>
        <w:tc>
          <w:tcPr>
            <w:tcW w:type="dxa" w:w="2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Retail</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Demand Forecasting, Inventory Management, Order Fulfilment, Customer Loyalty Management.</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Insurance</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Policy Administration, Claims Processing, Risk Assessment, Customer Servicing.</w:t>
            </w:r>
          </w:p>
        </w:tc>
      </w:tr>
      <w:tr>
        <w:tc>
          <w:tcPr>
            <w:tcW w:type="dxa" w:w="2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Healthcare</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Patient Registration, Clinical Decision Support, Care Coordination, Billing and Coding.</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Public Sector</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Citizen Identity Management, Benefits Calculation, Case Management, Regulatory Compliance.</w:t>
            </w:r>
          </w:p>
        </w:tc>
      </w:tr>
    </w:tbl>
    <w:p>
      <w:pPr>
        <w:spacing w:before="0" w:after="160"/>
      </w:pPr>
    </w:p>
    <w:p>
      <w:pPr>
        <w:spacing w:before="80" w:after="120"/>
        <w:jc w:val="both"/>
      </w:pPr>
      <w:r>
        <w:rPr>
          <w:rFonts w:ascii="Arial" w:cs="Arial" w:eastAsia="Arial" w:hAnsi="Arial"/>
          <w:color w:val="2B2B2B"/>
          <w:sz w:val="22"/>
          <w:szCs w:val="22"/>
        </w:rPr>
        <w:t xml:space="preserve">Business capabilities are typically organised into a Business Capability Map. This is a hierarchical model that groups capabilities into domains. The map provides a stable reference frame for investment prioritisation and architecture planning.</w:t>
      </w:r>
    </w:p>
    <w:p>
      <w:pPr>
        <w:spacing w:before="0" w:after="120"/>
      </w:pPr>
    </w:p>
    <w:p>
      <w:pPr>
        <w:pStyle w:val="Heading2"/>
        <w:spacing w:before="300" w:after="120"/>
      </w:pPr>
      <w:r>
        <w:rPr>
          <w:rFonts w:ascii="Arial" w:cs="Arial" w:eastAsia="Arial" w:hAnsi="Arial"/>
          <w:b/>
          <w:bCs/>
          <w:color w:val="00477A"/>
          <w:sz w:val="28"/>
          <w:szCs w:val="28"/>
        </w:rPr>
        <w:t xml:space="preserve">3.3 Value Streams</w:t>
      </w:r>
    </w:p>
    <w:p>
      <w:pPr>
        <w:spacing w:before="80" w:after="120"/>
        <w:jc w:val="both"/>
      </w:pPr>
      <w:r>
        <w:rPr>
          <w:rFonts w:ascii="Arial" w:cs="Arial" w:eastAsia="Arial" w:hAnsi="Arial"/>
          <w:color w:val="2B2B2B"/>
          <w:sz w:val="22"/>
          <w:szCs w:val="22"/>
        </w:rPr>
        <w:t xml:space="preserve">A value stream describes the end-to-end sequence of activities that create and deliver value to a customer or stakeholder. Value streams cross organisational boundaries. They begin with a customer need and end with that need being fulfilled.</w:t>
      </w:r>
    </w:p>
    <w:p>
      <w:pPr>
        <w:spacing w:before="80" w:after="120"/>
        <w:jc w:val="both"/>
      </w:pPr>
      <w:r>
        <w:rPr>
          <w:rFonts w:ascii="Arial" w:cs="Arial" w:eastAsia="Arial" w:hAnsi="Arial"/>
          <w:color w:val="2B2B2B"/>
          <w:sz w:val="22"/>
          <w:szCs w:val="22"/>
        </w:rPr>
        <w:t xml:space="preserve">Value streams are closely related to capabilities. Each step in a value stream is supported by one or more business capabilities. Mapping capabilities to value streams reveals which capabilities are most critical to delivering customer value.</w:t>
      </w:r>
    </w:p>
    <w:p>
      <w:pPr>
        <w:spacing w:before="80" w:after="120"/>
        <w:jc w:val="both"/>
      </w:pPr>
      <w:r>
        <w:rPr>
          <w:rFonts w:ascii="Arial" w:cs="Arial" w:eastAsia="Arial" w:hAnsi="Arial"/>
          <w:color w:val="2B2B2B"/>
          <w:sz w:val="22"/>
          <w:szCs w:val="22"/>
        </w:rPr>
        <w:t xml:space="preserve">Common examples of value streams include:</w:t>
      </w:r>
    </w:p>
    <w:p>
      <w:pPr>
        <w:pStyle w:val="ListParagraph"/>
        <w:numPr>
          <w:ilvl w:val="0"/>
          <w:numId w:val="2"/>
        </w:numPr>
        <w:spacing w:before="60" w:after="60"/>
      </w:pPr>
      <w:r>
        <w:rPr>
          <w:rFonts w:ascii="Arial" w:cs="Arial" w:eastAsia="Arial" w:hAnsi="Arial"/>
          <w:color w:val="2B2B2B"/>
          <w:sz w:val="22"/>
          <w:szCs w:val="22"/>
        </w:rPr>
        <w:t xml:space="preserve">Prospect to Customer: the process of acquiring and onboarding a new customer.</w:t>
      </w:r>
    </w:p>
    <w:p>
      <w:pPr>
        <w:pStyle w:val="ListParagraph"/>
        <w:numPr>
          <w:ilvl w:val="0"/>
          <w:numId w:val="2"/>
        </w:numPr>
        <w:spacing w:before="60" w:after="60"/>
      </w:pPr>
      <w:r>
        <w:rPr>
          <w:rFonts w:ascii="Arial" w:cs="Arial" w:eastAsia="Arial" w:hAnsi="Arial"/>
          <w:color w:val="2B2B2B"/>
          <w:sz w:val="22"/>
          <w:szCs w:val="22"/>
        </w:rPr>
        <w:t xml:space="preserve">Order to Cash: the process from receiving a customer order to collecting payment.</w:t>
      </w:r>
    </w:p>
    <w:p>
      <w:pPr>
        <w:pStyle w:val="ListParagraph"/>
        <w:numPr>
          <w:ilvl w:val="0"/>
          <w:numId w:val="2"/>
        </w:numPr>
        <w:spacing w:before="60" w:after="60"/>
      </w:pPr>
      <w:r>
        <w:rPr>
          <w:rFonts w:ascii="Arial" w:cs="Arial" w:eastAsia="Arial" w:hAnsi="Arial"/>
          <w:color w:val="2B2B2B"/>
          <w:sz w:val="22"/>
          <w:szCs w:val="22"/>
        </w:rPr>
        <w:t xml:space="preserve">Concept to Market: the process of developing and launching a new product or service.</w:t>
      </w:r>
    </w:p>
    <w:p>
      <w:pPr>
        <w:pStyle w:val="ListParagraph"/>
        <w:numPr>
          <w:ilvl w:val="0"/>
          <w:numId w:val="2"/>
        </w:numPr>
        <w:spacing w:before="60" w:after="60"/>
      </w:pPr>
      <w:r>
        <w:rPr>
          <w:rFonts w:ascii="Arial" w:cs="Arial" w:eastAsia="Arial" w:hAnsi="Arial"/>
          <w:color w:val="2B2B2B"/>
          <w:sz w:val="22"/>
          <w:szCs w:val="22"/>
        </w:rPr>
        <w:t xml:space="preserve">Incident to Resolution: the process of identifying and resolving a service issue.</w:t>
      </w:r>
    </w:p>
    <w:p>
      <w:pPr>
        <w:spacing w:before="0" w:after="120"/>
      </w:pPr>
    </w:p>
    <w:p>
      <w:pPr>
        <w:pStyle w:val="Heading2"/>
        <w:spacing w:before="300" w:after="120"/>
      </w:pPr>
      <w:r>
        <w:rPr>
          <w:rFonts w:ascii="Arial" w:cs="Arial" w:eastAsia="Arial" w:hAnsi="Arial"/>
          <w:b/>
          <w:bCs/>
          <w:color w:val="00477A"/>
          <w:sz w:val="28"/>
          <w:szCs w:val="28"/>
        </w:rPr>
        <w:t xml:space="preserve">3.4 Business Processes</w:t>
      </w:r>
    </w:p>
    <w:p>
      <w:pPr>
        <w:spacing w:before="80" w:after="120"/>
        <w:jc w:val="both"/>
      </w:pPr>
      <w:r>
        <w:rPr>
          <w:rFonts w:ascii="Arial" w:cs="Arial" w:eastAsia="Arial" w:hAnsi="Arial"/>
          <w:color w:val="2B2B2B"/>
          <w:sz w:val="22"/>
          <w:szCs w:val="22"/>
        </w:rPr>
        <w:t xml:space="preserve">Business processes describe how work is performed within the organisation to support capabilities and value streams. Unlike capabilities, which describe what the organisation does, processes describe how it is done. Processes are specific to the current operating model and can change over time.</w:t>
      </w:r>
    </w:p>
    <w:p>
      <w:pPr>
        <w:spacing w:before="80" w:after="120"/>
        <w:jc w:val="both"/>
      </w:pPr>
      <w:r>
        <w:rPr>
          <w:rFonts w:ascii="Arial" w:cs="Arial" w:eastAsia="Arial" w:hAnsi="Arial"/>
          <w:color w:val="2B2B2B"/>
          <w:sz w:val="22"/>
          <w:szCs w:val="22"/>
        </w:rPr>
        <w:t xml:space="preserve">In the BLAC framework, business process analysis serves two purposes. First, it provides detail about how capabilities are currently executed. This reveals inefficiencies and pain points that transformation should address. Second, it defines the requirements for the applications and technologies that must support future processes.</w:t>
      </w:r>
    </w:p>
    <w:p>
      <w:pPr>
        <w:spacing w:before="0" w:after="120"/>
      </w:pPr>
    </w:p>
    <w:p>
      <w:pPr>
        <w:pStyle w:val="Heading2"/>
        <w:spacing w:before="300" w:after="120"/>
      </w:pPr>
      <w:r>
        <w:rPr>
          <w:rFonts w:ascii="Arial" w:cs="Arial" w:eastAsia="Arial" w:hAnsi="Arial"/>
          <w:b/>
          <w:bCs/>
          <w:color w:val="00477A"/>
          <w:sz w:val="28"/>
          <w:szCs w:val="28"/>
        </w:rPr>
        <w:t xml:space="preserve">3.5 Business Outcomes</w:t>
      </w:r>
    </w:p>
    <w:p>
      <w:pPr>
        <w:spacing w:before="80" w:after="120"/>
        <w:jc w:val="both"/>
      </w:pPr>
      <w:r>
        <w:rPr>
          <w:rFonts w:ascii="Arial" w:cs="Arial" w:eastAsia="Arial" w:hAnsi="Arial"/>
          <w:color w:val="2B2B2B"/>
          <w:sz w:val="22"/>
          <w:szCs w:val="22"/>
        </w:rPr>
        <w:t xml:space="preserve">Business outcomes are the measurable results that the organisation seeks to achieve through transformation. They are defined in business terms, not technology terms. Outcomes might include improved customer satisfaction scores, reduced cost of processing, faster time to market, or improved regulatory compliance rates.</w:t>
      </w:r>
    </w:p>
    <w:p>
      <w:pPr>
        <w:spacing w:before="80" w:after="120"/>
        <w:jc w:val="both"/>
      </w:pPr>
      <w:r>
        <w:rPr>
          <w:rFonts w:ascii="Arial" w:cs="Arial" w:eastAsia="Arial" w:hAnsi="Arial"/>
          <w:color w:val="2B2B2B"/>
          <w:sz w:val="22"/>
          <w:szCs w:val="22"/>
        </w:rPr>
        <w:t xml:space="preserve">Defining outcomes explicitly at the start of a BLAC engagement serves several important purposes.</w:t>
      </w:r>
    </w:p>
    <w:p>
      <w:pPr>
        <w:pStyle w:val="ListParagraph"/>
        <w:numPr>
          <w:ilvl w:val="0"/>
          <w:numId w:val="2"/>
        </w:numPr>
        <w:spacing w:before="60" w:after="60"/>
      </w:pPr>
      <w:r>
        <w:rPr>
          <w:rFonts w:ascii="Arial" w:cs="Arial" w:eastAsia="Arial" w:hAnsi="Arial"/>
          <w:color w:val="2B2B2B"/>
          <w:sz w:val="22"/>
          <w:szCs w:val="22"/>
        </w:rPr>
        <w:t xml:space="preserve">It provides a clear definition of success for the transformation programme.</w:t>
      </w:r>
    </w:p>
    <w:p>
      <w:pPr>
        <w:pStyle w:val="ListParagraph"/>
        <w:numPr>
          <w:ilvl w:val="0"/>
          <w:numId w:val="2"/>
        </w:numPr>
        <w:spacing w:before="60" w:after="60"/>
      </w:pPr>
      <w:r>
        <w:rPr>
          <w:rFonts w:ascii="Arial" w:cs="Arial" w:eastAsia="Arial" w:hAnsi="Arial"/>
          <w:color w:val="2B2B2B"/>
          <w:sz w:val="22"/>
          <w:szCs w:val="22"/>
        </w:rPr>
        <w:t xml:space="preserve">It creates a basis for prioritising architecture and technology investments.</w:t>
      </w:r>
    </w:p>
    <w:p>
      <w:pPr>
        <w:pStyle w:val="ListParagraph"/>
        <w:numPr>
          <w:ilvl w:val="0"/>
          <w:numId w:val="2"/>
        </w:numPr>
        <w:spacing w:before="60" w:after="60"/>
      </w:pPr>
      <w:r>
        <w:rPr>
          <w:rFonts w:ascii="Arial" w:cs="Arial" w:eastAsia="Arial" w:hAnsi="Arial"/>
          <w:color w:val="2B2B2B"/>
          <w:sz w:val="22"/>
          <w:szCs w:val="22"/>
        </w:rPr>
        <w:t xml:space="preserve">It enables post-transformation measurement and validation.</w:t>
      </w:r>
    </w:p>
    <w:p>
      <w:pPr>
        <w:pStyle w:val="ListParagraph"/>
        <w:numPr>
          <w:ilvl w:val="0"/>
          <w:numId w:val="2"/>
        </w:numPr>
        <w:spacing w:before="60" w:after="60"/>
      </w:pPr>
      <w:r>
        <w:rPr>
          <w:rFonts w:ascii="Arial" w:cs="Arial" w:eastAsia="Arial" w:hAnsi="Arial"/>
          <w:color w:val="2B2B2B"/>
          <w:sz w:val="22"/>
          <w:szCs w:val="22"/>
        </w:rPr>
        <w:t xml:space="preserve">It maintains the focus of all architecture work on delivering business value.</w:t>
      </w:r>
    </w:p>
    <w:p>
      <w:pPr>
        <w:spacing w:before="0" w:after="200"/>
      </w:pPr>
    </w:p>
    <w:p>
      <w:r>
        <w:br w:type="page"/>
      </w:r>
    </w:p>
    <w:p>
      <w:pPr>
        <w:pBdr>
          <w:bottom w:val="single" w:color="0070AD" w:sz="14" w:space="10"/>
        </w:pBdr>
        <w:spacing w:before="520" w:after="0"/>
      </w:pPr>
      <w:r>
        <w:rPr>
          <w:rFonts w:ascii="Arial" w:cs="Arial" w:eastAsia="Arial" w:hAnsi="Arial"/>
          <w:color w:val="555555"/>
          <w:sz w:val="22"/>
          <w:szCs w:val="22"/>
        </w:rPr>
        <w:t xml:space="preserve">Section 4   </w:t>
      </w:r>
      <w:r>
        <w:rPr>
          <w:rFonts w:ascii="Arial" w:cs="Arial" w:eastAsia="Arial" w:hAnsi="Arial"/>
          <w:b/>
          <w:bCs/>
          <w:color w:val="0070AD"/>
          <w:sz w:val="72"/>
          <w:szCs w:val="72"/>
        </w:rPr>
        <w:t xml:space="preserve">L</w:t>
      </w:r>
      <w:r>
        <w:rPr>
          <w:rFonts w:ascii="Arial" w:cs="Arial" w:eastAsia="Arial" w:hAnsi="Arial"/>
          <w:color w:val="2B2B2B"/>
          <w:sz w:val="34"/>
          <w:szCs w:val="34"/>
        </w:rPr>
        <w:t xml:space="preserve">   Landscape Dimension</w:t>
      </w:r>
    </w:p>
    <w:p>
      <w:pPr>
        <w:spacing w:before="0" w:after="180"/>
      </w:pPr>
    </w:p>
    <w:p>
      <w:pPr>
        <w:pStyle w:val="Heading1"/>
        <w:pBdr>
          <w:bottom w:val="single" w:color="0070AD" w:sz="10" w:space="8"/>
        </w:pBdr>
        <w:spacing w:before="420" w:after="180"/>
      </w:pPr>
      <w:r>
        <w:rPr>
          <w:rFonts w:ascii="Arial" w:cs="Arial" w:eastAsia="Arial" w:hAnsi="Arial"/>
          <w:b/>
          <w:bCs/>
          <w:color w:val="0070AD"/>
          <w:sz w:val="38"/>
          <w:szCs w:val="38"/>
        </w:rPr>
        <w:t xml:space="preserve">4. Landscape Dimension</w:t>
      </w:r>
    </w:p>
    <w:p>
      <w:pPr>
        <w:spacing w:before="80" w:after="120"/>
        <w:jc w:val="both"/>
      </w:pPr>
      <w:r>
        <w:rPr>
          <w:rFonts w:ascii="Arial" w:cs="Arial" w:eastAsia="Arial" w:hAnsi="Arial"/>
          <w:color w:val="2B2B2B"/>
          <w:sz w:val="22"/>
          <w:szCs w:val="22"/>
        </w:rPr>
        <w:t xml:space="preserve">The Landscape dimension provides a comprehensive view of the organisation's existing technology estate. It describes the systems, applications, data, and integrations that currently exist. It also describes the target landscape that the organisation is seeking to build through transformation.</w:t>
      </w:r>
    </w:p>
    <w:p>
      <w:pPr>
        <w:spacing w:before="0" w:after="120"/>
      </w:pPr>
    </w:p>
    <w:p>
      <w:pPr>
        <w:pStyle w:val="Heading2"/>
        <w:spacing w:before="300" w:after="120"/>
      </w:pPr>
      <w:r>
        <w:rPr>
          <w:rFonts w:ascii="Arial" w:cs="Arial" w:eastAsia="Arial" w:hAnsi="Arial"/>
          <w:b/>
          <w:bCs/>
          <w:color w:val="00477A"/>
          <w:sz w:val="28"/>
          <w:szCs w:val="28"/>
        </w:rPr>
        <w:t xml:space="preserve">4.1 IT Landscape Overview</w:t>
      </w:r>
    </w:p>
    <w:p>
      <w:pPr>
        <w:spacing w:before="80" w:after="120"/>
        <w:jc w:val="both"/>
      </w:pPr>
      <w:r>
        <w:rPr>
          <w:rFonts w:ascii="Arial" w:cs="Arial" w:eastAsia="Arial" w:hAnsi="Arial"/>
          <w:color w:val="2B2B2B"/>
          <w:sz w:val="22"/>
          <w:szCs w:val="22"/>
        </w:rPr>
        <w:t xml:space="preserve">The IT landscape is the full set of technology systems and services that the organisation operates, owns, or depends upon. It includes internally developed applications, purchased software packages, cloud services, and third-party platforms. It also includes the infrastructure on which these systems run and the networks that connect them.</w:t>
      </w:r>
    </w:p>
    <w:p>
      <w:pPr>
        <w:spacing w:before="80" w:after="120"/>
        <w:jc w:val="both"/>
      </w:pPr>
      <w:r>
        <w:rPr>
          <w:rFonts w:ascii="Arial" w:cs="Arial" w:eastAsia="Arial" w:hAnsi="Arial"/>
          <w:color w:val="2B2B2B"/>
          <w:sz w:val="22"/>
          <w:szCs w:val="22"/>
        </w:rPr>
        <w:t xml:space="preserve">Understanding the IT landscape is essential before designing any transformation. A landscape that is not well understood produces integration surprises, duplication of investment, and unmanaged technical debt.</w:t>
      </w:r>
    </w:p>
    <w:p>
      <w:pPr>
        <w:spacing w:before="80" w:after="120"/>
        <w:jc w:val="both"/>
      </w:pPr>
      <w:r>
        <w:rPr>
          <w:rFonts w:ascii="Arial" w:cs="Arial" w:eastAsia="Arial" w:hAnsi="Arial"/>
          <w:color w:val="2B2B2B"/>
          <w:sz w:val="22"/>
          <w:szCs w:val="22"/>
        </w:rPr>
        <w:t xml:space="preserve">A landscape assessment typically examines the following dimensions.</w:t>
      </w:r>
    </w:p>
    <w:p>
      <w:pPr>
        <w:pStyle w:val="ListParagraph"/>
        <w:numPr>
          <w:ilvl w:val="0"/>
          <w:numId w:val="2"/>
        </w:numPr>
        <w:spacing w:before="60" w:after="60"/>
      </w:pPr>
      <w:r>
        <w:rPr>
          <w:rFonts w:ascii="Arial" w:cs="Arial" w:eastAsia="Arial" w:hAnsi="Arial"/>
          <w:color w:val="2B2B2B"/>
          <w:sz w:val="22"/>
          <w:szCs w:val="22"/>
        </w:rPr>
        <w:t xml:space="preserve">System inventory: a complete list of all systems, applications, and services.</w:t>
      </w:r>
    </w:p>
    <w:p>
      <w:pPr>
        <w:pStyle w:val="ListParagraph"/>
        <w:numPr>
          <w:ilvl w:val="0"/>
          <w:numId w:val="2"/>
        </w:numPr>
        <w:spacing w:before="60" w:after="60"/>
      </w:pPr>
      <w:r>
        <w:rPr>
          <w:rFonts w:ascii="Arial" w:cs="Arial" w:eastAsia="Arial" w:hAnsi="Arial"/>
          <w:color w:val="2B2B2B"/>
          <w:sz w:val="22"/>
          <w:szCs w:val="22"/>
        </w:rPr>
        <w:t xml:space="preserve">System ownership: identifying which teams or business units are responsible for each system.</w:t>
      </w:r>
    </w:p>
    <w:p>
      <w:pPr>
        <w:pStyle w:val="ListParagraph"/>
        <w:numPr>
          <w:ilvl w:val="0"/>
          <w:numId w:val="2"/>
        </w:numPr>
        <w:spacing w:before="60" w:after="60"/>
      </w:pPr>
      <w:r>
        <w:rPr>
          <w:rFonts w:ascii="Arial" w:cs="Arial" w:eastAsia="Arial" w:hAnsi="Arial"/>
          <w:color w:val="2B2B2B"/>
          <w:sz w:val="22"/>
          <w:szCs w:val="22"/>
        </w:rPr>
        <w:t xml:space="preserve">System health: assessing the technical condition, supportability, and fitness for purpose of each system.</w:t>
      </w:r>
    </w:p>
    <w:p>
      <w:pPr>
        <w:pStyle w:val="ListParagraph"/>
        <w:numPr>
          <w:ilvl w:val="0"/>
          <w:numId w:val="2"/>
        </w:numPr>
        <w:spacing w:before="60" w:after="60"/>
      </w:pPr>
      <w:r>
        <w:rPr>
          <w:rFonts w:ascii="Arial" w:cs="Arial" w:eastAsia="Arial" w:hAnsi="Arial"/>
          <w:color w:val="2B2B2B"/>
          <w:sz w:val="22"/>
          <w:szCs w:val="22"/>
        </w:rPr>
        <w:t xml:space="preserve">System dependencies: mapping the relationships and data flows between systems.</w:t>
      </w:r>
    </w:p>
    <w:p>
      <w:pPr>
        <w:pStyle w:val="ListParagraph"/>
        <w:numPr>
          <w:ilvl w:val="0"/>
          <w:numId w:val="2"/>
        </w:numPr>
        <w:spacing w:before="60" w:after="60"/>
      </w:pPr>
      <w:r>
        <w:rPr>
          <w:rFonts w:ascii="Arial" w:cs="Arial" w:eastAsia="Arial" w:hAnsi="Arial"/>
          <w:color w:val="2B2B2B"/>
          <w:sz w:val="22"/>
          <w:szCs w:val="22"/>
        </w:rPr>
        <w:t xml:space="preserve">System costs: understanding the total cost of ownership of each major system.</w:t>
      </w:r>
    </w:p>
    <w:p>
      <w:pPr>
        <w:spacing w:before="0" w:after="120"/>
      </w:pPr>
    </w:p>
    <w:p>
      <w:pPr>
        <w:pStyle w:val="Heading2"/>
        <w:spacing w:before="300" w:after="120"/>
      </w:pPr>
      <w:r>
        <w:rPr>
          <w:rFonts w:ascii="Arial" w:cs="Arial" w:eastAsia="Arial" w:hAnsi="Arial"/>
          <w:b/>
          <w:bCs/>
          <w:color w:val="00477A"/>
          <w:sz w:val="28"/>
          <w:szCs w:val="28"/>
        </w:rPr>
        <w:t xml:space="preserve">4.2 System Ecosystems</w:t>
      </w:r>
    </w:p>
    <w:p>
      <w:pPr>
        <w:spacing w:before="80" w:after="120"/>
        <w:jc w:val="both"/>
      </w:pPr>
      <w:r>
        <w:rPr>
          <w:rFonts w:ascii="Arial" w:cs="Arial" w:eastAsia="Arial" w:hAnsi="Arial"/>
          <w:color w:val="2B2B2B"/>
          <w:sz w:val="22"/>
          <w:szCs w:val="22"/>
        </w:rPr>
        <w:t xml:space="preserve">A system ecosystem is a cluster of systems that work together to support a specific business domain or capability. Rather than viewing systems in isolation, ecosystem thinking encourages architects to consider how groups of systems interact and depend upon one another.</w:t>
      </w:r>
    </w:p>
    <w:p>
      <w:pPr>
        <w:spacing w:before="80" w:after="120"/>
        <w:jc w:val="both"/>
      </w:pPr>
      <w:r>
        <w:rPr>
          <w:rFonts w:ascii="Arial" w:cs="Arial" w:eastAsia="Arial" w:hAnsi="Arial"/>
          <w:color w:val="2B2B2B"/>
          <w:sz w:val="22"/>
          <w:szCs w:val="22"/>
        </w:rPr>
        <w:t xml:space="preserve">Ecosystem analysis reveals:</w:t>
      </w:r>
    </w:p>
    <w:p>
      <w:pPr>
        <w:pStyle w:val="ListParagraph"/>
        <w:numPr>
          <w:ilvl w:val="0"/>
          <w:numId w:val="2"/>
        </w:numPr>
        <w:spacing w:before="60" w:after="60"/>
      </w:pPr>
      <w:r>
        <w:rPr>
          <w:rFonts w:ascii="Arial" w:cs="Arial" w:eastAsia="Arial" w:hAnsi="Arial"/>
          <w:color w:val="2B2B2B"/>
          <w:sz w:val="22"/>
          <w:szCs w:val="22"/>
        </w:rPr>
        <w:t xml:space="preserve">Which systems are core to the business and cannot easily be replaced.</w:t>
      </w:r>
    </w:p>
    <w:p>
      <w:pPr>
        <w:pStyle w:val="ListParagraph"/>
        <w:numPr>
          <w:ilvl w:val="0"/>
          <w:numId w:val="2"/>
        </w:numPr>
        <w:spacing w:before="60" w:after="60"/>
      </w:pPr>
      <w:r>
        <w:rPr>
          <w:rFonts w:ascii="Arial" w:cs="Arial" w:eastAsia="Arial" w:hAnsi="Arial"/>
          <w:color w:val="2B2B2B"/>
          <w:sz w:val="22"/>
          <w:szCs w:val="22"/>
        </w:rPr>
        <w:t xml:space="preserve">Which systems are peripheral and could be decommissioned or consolidated.</w:t>
      </w:r>
    </w:p>
    <w:p>
      <w:pPr>
        <w:pStyle w:val="ListParagraph"/>
        <w:numPr>
          <w:ilvl w:val="0"/>
          <w:numId w:val="2"/>
        </w:numPr>
        <w:spacing w:before="60" w:after="60"/>
      </w:pPr>
      <w:r>
        <w:rPr>
          <w:rFonts w:ascii="Arial" w:cs="Arial" w:eastAsia="Arial" w:hAnsi="Arial"/>
          <w:color w:val="2B2B2B"/>
          <w:sz w:val="22"/>
          <w:szCs w:val="22"/>
        </w:rPr>
        <w:t xml:space="preserve">Where integration complexity is concentrated, indicating potential transformation risk.</w:t>
      </w:r>
    </w:p>
    <w:p>
      <w:pPr>
        <w:pStyle w:val="ListParagraph"/>
        <w:numPr>
          <w:ilvl w:val="0"/>
          <w:numId w:val="2"/>
        </w:numPr>
        <w:spacing w:before="60" w:after="60"/>
      </w:pPr>
      <w:r>
        <w:rPr>
          <w:rFonts w:ascii="Arial" w:cs="Arial" w:eastAsia="Arial" w:hAnsi="Arial"/>
          <w:color w:val="2B2B2B"/>
          <w:sz w:val="22"/>
          <w:szCs w:val="22"/>
        </w:rPr>
        <w:t xml:space="preserve">Which ecosystems are well-supported and which carry significant technical debt.</w:t>
      </w:r>
    </w:p>
    <w:p>
      <w:pPr>
        <w:spacing w:before="0" w:after="120"/>
      </w:pPr>
    </w:p>
    <w:p>
      <w:pPr>
        <w:pStyle w:val="Heading2"/>
        <w:spacing w:before="300" w:after="120"/>
      </w:pPr>
      <w:r>
        <w:rPr>
          <w:rFonts w:ascii="Arial" w:cs="Arial" w:eastAsia="Arial" w:hAnsi="Arial"/>
          <w:b/>
          <w:bCs/>
          <w:color w:val="00477A"/>
          <w:sz w:val="28"/>
          <w:szCs w:val="28"/>
        </w:rPr>
        <w:t xml:space="preserve">4.3 Application Portfolios</w:t>
      </w:r>
    </w:p>
    <w:p>
      <w:pPr>
        <w:spacing w:before="80" w:after="120"/>
        <w:jc w:val="both"/>
      </w:pPr>
      <w:r>
        <w:rPr>
          <w:rFonts w:ascii="Arial" w:cs="Arial" w:eastAsia="Arial" w:hAnsi="Arial"/>
          <w:color w:val="2B2B2B"/>
          <w:sz w:val="22"/>
          <w:szCs w:val="22"/>
        </w:rPr>
        <w:t xml:space="preserve">An application portfolio is the full set of software applications that the organisation uses to support its operations. Portfolio management involves categorising applications according to their business value, technical condition, and strategic fit.</w:t>
      </w:r>
    </w:p>
    <w:p>
      <w:pPr>
        <w:spacing w:before="80" w:after="120"/>
        <w:jc w:val="both"/>
      </w:pPr>
      <w:r>
        <w:rPr>
          <w:rFonts w:ascii="Arial" w:cs="Arial" w:eastAsia="Arial" w:hAnsi="Arial"/>
          <w:color w:val="2B2B2B"/>
          <w:sz w:val="22"/>
          <w:szCs w:val="22"/>
        </w:rPr>
        <w:t xml:space="preserve">A widely used portfolio categorisation model applies four quadrants.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Category</w:t>
            </w:r>
          </w:p>
        </w:tc>
        <w:tc>
          <w:tcPr>
            <w:tcW w:type="dxa" w:w="456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c>
          <w:tcPr>
            <w:tcW w:type="dxa" w:w="26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Typical Action</w:t>
            </w:r>
          </w:p>
        </w:tc>
      </w:tr>
      <w:tr>
        <w:tc>
          <w:tcPr>
            <w:tcW w:type="dxa" w:w="22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Strategic</w:t>
            </w:r>
          </w:p>
        </w:tc>
        <w:tc>
          <w:tcPr>
            <w:tcW w:type="dxa" w:w="4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High business value, technically sound, aligned with future direction.</w:t>
            </w:r>
          </w:p>
        </w:tc>
        <w:tc>
          <w:tcPr>
            <w:tcW w:type="dxa" w:w="26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Invest and enhance.</w:t>
            </w:r>
          </w:p>
        </w:tc>
      </w:tr>
      <w:tr>
        <w:tc>
          <w:tcPr>
            <w:tcW w:type="dxa" w:w="22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Operational</w:t>
            </w:r>
          </w:p>
        </w:tc>
        <w:tc>
          <w:tcPr>
            <w:tcW w:type="dxa" w:w="4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High business value, technically ageing, but critical to operations.</w:t>
            </w:r>
          </w:p>
        </w:tc>
        <w:tc>
          <w:tcPr>
            <w:tcW w:type="dxa" w:w="26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Modernise or replace.</w:t>
            </w:r>
          </w:p>
        </w:tc>
      </w:tr>
      <w:tr>
        <w:tc>
          <w:tcPr>
            <w:tcW w:type="dxa" w:w="22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Invest</w:t>
            </w:r>
          </w:p>
        </w:tc>
        <w:tc>
          <w:tcPr>
            <w:tcW w:type="dxa" w:w="4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Low current value, high potential, aligned with future strategy.</w:t>
            </w:r>
          </w:p>
        </w:tc>
        <w:tc>
          <w:tcPr>
            <w:tcW w:type="dxa" w:w="26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Develop and grow.</w:t>
            </w:r>
          </w:p>
        </w:tc>
      </w:tr>
      <w:tr>
        <w:tc>
          <w:tcPr>
            <w:tcW w:type="dxa" w:w="22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Retire</w:t>
            </w:r>
          </w:p>
        </w:tc>
        <w:tc>
          <w:tcPr>
            <w:tcW w:type="dxa" w:w="4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Low business value, technically poor, no strategic fit.</w:t>
            </w:r>
          </w:p>
        </w:tc>
        <w:tc>
          <w:tcPr>
            <w:tcW w:type="dxa" w:w="26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Decommission.</w:t>
            </w:r>
          </w:p>
        </w:tc>
      </w:tr>
    </w:tbl>
    <w:p>
      <w:pPr>
        <w:spacing w:before="0" w:after="160"/>
      </w:pPr>
    </w:p>
    <w:p>
      <w:pPr>
        <w:spacing w:before="80" w:after="120"/>
        <w:jc w:val="both"/>
      </w:pPr>
      <w:r>
        <w:rPr>
          <w:rFonts w:ascii="Arial" w:cs="Arial" w:eastAsia="Arial" w:hAnsi="Arial"/>
          <w:color w:val="2B2B2B"/>
          <w:sz w:val="22"/>
          <w:szCs w:val="22"/>
        </w:rPr>
        <w:t xml:space="preserve">Portfolio categorisation provides a structured basis for investment prioritisation. It ensures that resources are directed toward applications that deliver the greatest business value and strategic alignment.</w:t>
      </w:r>
    </w:p>
    <w:p>
      <w:pPr>
        <w:spacing w:before="0" w:after="120"/>
      </w:pPr>
    </w:p>
    <w:p>
      <w:pPr>
        <w:pStyle w:val="Heading2"/>
        <w:spacing w:before="300" w:after="120"/>
      </w:pPr>
      <w:r>
        <w:rPr>
          <w:rFonts w:ascii="Arial" w:cs="Arial" w:eastAsia="Arial" w:hAnsi="Arial"/>
          <w:b/>
          <w:bCs/>
          <w:color w:val="00477A"/>
          <w:sz w:val="28"/>
          <w:szCs w:val="28"/>
        </w:rPr>
        <w:t xml:space="preserve">4.4 Data Landscape</w:t>
      </w:r>
    </w:p>
    <w:p>
      <w:pPr>
        <w:spacing w:before="80" w:after="120"/>
        <w:jc w:val="both"/>
      </w:pPr>
      <w:r>
        <w:rPr>
          <w:rFonts w:ascii="Arial" w:cs="Arial" w:eastAsia="Arial" w:hAnsi="Arial"/>
          <w:color w:val="2B2B2B"/>
          <w:sz w:val="22"/>
          <w:szCs w:val="22"/>
        </w:rPr>
        <w:t xml:space="preserve">The data landscape describes all the data assets of the organisation: where data originates, how it flows through systems, where it is stored, and how it is used. Understanding the data landscape is essential for designing data governance, analytics, and data platform architectures.</w:t>
      </w:r>
    </w:p>
    <w:p>
      <w:pPr>
        <w:spacing w:before="80" w:after="120"/>
        <w:jc w:val="both"/>
      </w:pPr>
      <w:r>
        <w:rPr>
          <w:rFonts w:ascii="Arial" w:cs="Arial" w:eastAsia="Arial" w:hAnsi="Arial"/>
          <w:color w:val="2B2B2B"/>
          <w:sz w:val="22"/>
          <w:szCs w:val="22"/>
        </w:rPr>
        <w:t xml:space="preserve">Key components of the data landscape include:</w:t>
      </w:r>
    </w:p>
    <w:p>
      <w:pPr>
        <w:pStyle w:val="ListParagraph"/>
        <w:numPr>
          <w:ilvl w:val="0"/>
          <w:numId w:val="2"/>
        </w:numPr>
        <w:spacing w:before="60" w:after="60"/>
      </w:pPr>
      <w:r>
        <w:rPr>
          <w:rFonts w:ascii="Arial" w:cs="Arial" w:eastAsia="Arial" w:hAnsi="Arial"/>
          <w:color w:val="2B2B2B"/>
          <w:sz w:val="22"/>
          <w:szCs w:val="22"/>
        </w:rPr>
        <w:t xml:space="preserve">Data sources, including transactional systems, external feeds, and IoT sensors.</w:t>
      </w:r>
    </w:p>
    <w:p>
      <w:pPr>
        <w:pStyle w:val="ListParagraph"/>
        <w:numPr>
          <w:ilvl w:val="0"/>
          <w:numId w:val="2"/>
        </w:numPr>
        <w:spacing w:before="60" w:after="60"/>
      </w:pPr>
      <w:r>
        <w:rPr>
          <w:rFonts w:ascii="Arial" w:cs="Arial" w:eastAsia="Arial" w:hAnsi="Arial"/>
          <w:color w:val="2B2B2B"/>
          <w:sz w:val="22"/>
          <w:szCs w:val="22"/>
        </w:rPr>
        <w:t xml:space="preserve">Data stores, including operational databases, data warehouses, data lakes, and data marts.</w:t>
      </w:r>
    </w:p>
    <w:p>
      <w:pPr>
        <w:pStyle w:val="ListParagraph"/>
        <w:numPr>
          <w:ilvl w:val="0"/>
          <w:numId w:val="2"/>
        </w:numPr>
        <w:spacing w:before="60" w:after="60"/>
      </w:pPr>
      <w:r>
        <w:rPr>
          <w:rFonts w:ascii="Arial" w:cs="Arial" w:eastAsia="Arial" w:hAnsi="Arial"/>
          <w:color w:val="2B2B2B"/>
          <w:sz w:val="22"/>
          <w:szCs w:val="22"/>
        </w:rPr>
        <w:t xml:space="preserve">Data flows, describing how data moves between systems and across organisational boundaries.</w:t>
      </w:r>
    </w:p>
    <w:p>
      <w:pPr>
        <w:pStyle w:val="ListParagraph"/>
        <w:numPr>
          <w:ilvl w:val="0"/>
          <w:numId w:val="2"/>
        </w:numPr>
        <w:spacing w:before="60" w:after="60"/>
      </w:pPr>
      <w:r>
        <w:rPr>
          <w:rFonts w:ascii="Arial" w:cs="Arial" w:eastAsia="Arial" w:hAnsi="Arial"/>
          <w:color w:val="2B2B2B"/>
          <w:sz w:val="22"/>
          <w:szCs w:val="22"/>
        </w:rPr>
        <w:t xml:space="preserve">Master data entities, such as Customer, Product, and Location, and the systems that own them.</w:t>
      </w:r>
    </w:p>
    <w:p>
      <w:pPr>
        <w:pStyle w:val="ListParagraph"/>
        <w:numPr>
          <w:ilvl w:val="0"/>
          <w:numId w:val="2"/>
        </w:numPr>
        <w:spacing w:before="60" w:after="60"/>
      </w:pPr>
      <w:r>
        <w:rPr>
          <w:rFonts w:ascii="Arial" w:cs="Arial" w:eastAsia="Arial" w:hAnsi="Arial"/>
          <w:color w:val="2B2B2B"/>
          <w:sz w:val="22"/>
          <w:szCs w:val="22"/>
        </w:rPr>
        <w:t xml:space="preserve">Data quality indicators, assessing the accuracy, completeness, and consistency of key data sets.</w:t>
      </w:r>
    </w:p>
    <w:p>
      <w:pPr>
        <w:spacing w:before="0" w:after="120"/>
      </w:pPr>
    </w:p>
    <w:p>
      <w:pPr>
        <w:pStyle w:val="Heading2"/>
        <w:spacing w:before="300" w:after="120"/>
      </w:pPr>
      <w:r>
        <w:rPr>
          <w:rFonts w:ascii="Arial" w:cs="Arial" w:eastAsia="Arial" w:hAnsi="Arial"/>
          <w:b/>
          <w:bCs/>
          <w:color w:val="00477A"/>
          <w:sz w:val="28"/>
          <w:szCs w:val="28"/>
        </w:rPr>
        <w:t xml:space="preserve">4.5 Integration Landscape</w:t>
      </w:r>
    </w:p>
    <w:p>
      <w:pPr>
        <w:spacing w:before="80" w:after="120"/>
        <w:jc w:val="both"/>
      </w:pPr>
      <w:r>
        <w:rPr>
          <w:rFonts w:ascii="Arial" w:cs="Arial" w:eastAsia="Arial" w:hAnsi="Arial"/>
          <w:color w:val="2B2B2B"/>
          <w:sz w:val="22"/>
          <w:szCs w:val="22"/>
        </w:rPr>
        <w:t xml:space="preserve">The integration landscape describes all the connections between systems: how they exchange data, which integration patterns are in use, and where integration complexity is concentrated. Many organisations have accumulated hundreds or thousands of point-to-point integrations over time. This creates fragility and impedes transformation.</w:t>
      </w:r>
    </w:p>
    <w:p>
      <w:pPr>
        <w:spacing w:before="80" w:after="120"/>
        <w:jc w:val="both"/>
      </w:pPr>
      <w:r>
        <w:rPr>
          <w:rFonts w:ascii="Arial" w:cs="Arial" w:eastAsia="Arial" w:hAnsi="Arial"/>
          <w:color w:val="2B2B2B"/>
          <w:sz w:val="22"/>
          <w:szCs w:val="22"/>
        </w:rPr>
        <w:t xml:space="preserve">Analysing the integration landscape reveals:</w:t>
      </w:r>
    </w:p>
    <w:p>
      <w:pPr>
        <w:pStyle w:val="ListParagraph"/>
        <w:numPr>
          <w:ilvl w:val="0"/>
          <w:numId w:val="2"/>
        </w:numPr>
        <w:spacing w:before="60" w:after="60"/>
      </w:pPr>
      <w:r>
        <w:rPr>
          <w:rFonts w:ascii="Arial" w:cs="Arial" w:eastAsia="Arial" w:hAnsi="Arial"/>
          <w:color w:val="2B2B2B"/>
          <w:sz w:val="22"/>
          <w:szCs w:val="22"/>
        </w:rPr>
        <w:t xml:space="preserve">The volume and complexity of existing integrations.</w:t>
      </w:r>
    </w:p>
    <w:p>
      <w:pPr>
        <w:pStyle w:val="ListParagraph"/>
        <w:numPr>
          <w:ilvl w:val="0"/>
          <w:numId w:val="2"/>
        </w:numPr>
        <w:spacing w:before="60" w:after="60"/>
      </w:pPr>
      <w:r>
        <w:rPr>
          <w:rFonts w:ascii="Arial" w:cs="Arial" w:eastAsia="Arial" w:hAnsi="Arial"/>
          <w:color w:val="2B2B2B"/>
          <w:sz w:val="22"/>
          <w:szCs w:val="22"/>
        </w:rPr>
        <w:t xml:space="preserve">The integration technologies in use, such as ESBs, message queues, REST APIs, and file transfers.</w:t>
      </w:r>
    </w:p>
    <w:p>
      <w:pPr>
        <w:pStyle w:val="ListParagraph"/>
        <w:numPr>
          <w:ilvl w:val="0"/>
          <w:numId w:val="2"/>
        </w:numPr>
        <w:spacing w:before="60" w:after="60"/>
      </w:pPr>
      <w:r>
        <w:rPr>
          <w:rFonts w:ascii="Arial" w:cs="Arial" w:eastAsia="Arial" w:hAnsi="Arial"/>
          <w:color w:val="2B2B2B"/>
          <w:sz w:val="22"/>
          <w:szCs w:val="22"/>
        </w:rPr>
        <w:t xml:space="preserve">Hotspot systems that are heavily integrated and would be disruptive to change.</w:t>
      </w:r>
    </w:p>
    <w:p>
      <w:pPr>
        <w:pStyle w:val="ListParagraph"/>
        <w:numPr>
          <w:ilvl w:val="0"/>
          <w:numId w:val="2"/>
        </w:numPr>
        <w:spacing w:before="60" w:after="60"/>
      </w:pPr>
      <w:r>
        <w:rPr>
          <w:rFonts w:ascii="Arial" w:cs="Arial" w:eastAsia="Arial" w:hAnsi="Arial"/>
          <w:color w:val="2B2B2B"/>
          <w:sz w:val="22"/>
          <w:szCs w:val="22"/>
        </w:rPr>
        <w:t xml:space="preserve">Opportunities to simplify the integration estate through the adoption of modern API and event-driven patterns.</w:t>
      </w:r>
    </w:p>
    <w:p>
      <w:pPr>
        <w:spacing w:before="0" w:after="200"/>
      </w:pPr>
    </w:p>
    <w:p>
      <w:r>
        <w:br w:type="page"/>
      </w:r>
    </w:p>
    <w:p>
      <w:pPr>
        <w:pBdr>
          <w:bottom w:val="single" w:color="0070AD" w:sz="14" w:space="10"/>
        </w:pBdr>
        <w:spacing w:before="520" w:after="0"/>
      </w:pPr>
      <w:r>
        <w:rPr>
          <w:rFonts w:ascii="Arial" w:cs="Arial" w:eastAsia="Arial" w:hAnsi="Arial"/>
          <w:color w:val="555555"/>
          <w:sz w:val="22"/>
          <w:szCs w:val="22"/>
        </w:rPr>
        <w:t xml:space="preserve">Section 5   </w:t>
      </w:r>
      <w:r>
        <w:rPr>
          <w:rFonts w:ascii="Arial" w:cs="Arial" w:eastAsia="Arial" w:hAnsi="Arial"/>
          <w:b/>
          <w:bCs/>
          <w:color w:val="0070AD"/>
          <w:sz w:val="72"/>
          <w:szCs w:val="72"/>
        </w:rPr>
        <w:t xml:space="preserve">A</w:t>
      </w:r>
      <w:r>
        <w:rPr>
          <w:rFonts w:ascii="Arial" w:cs="Arial" w:eastAsia="Arial" w:hAnsi="Arial"/>
          <w:color w:val="2B2B2B"/>
          <w:sz w:val="34"/>
          <w:szCs w:val="34"/>
        </w:rPr>
        <w:t xml:space="preserve">   Architecture Dimension</w:t>
      </w:r>
    </w:p>
    <w:p>
      <w:pPr>
        <w:spacing w:before="0" w:after="180"/>
      </w:pPr>
    </w:p>
    <w:p>
      <w:pPr>
        <w:pStyle w:val="Heading1"/>
        <w:pBdr>
          <w:bottom w:val="single" w:color="0070AD" w:sz="10" w:space="8"/>
        </w:pBdr>
        <w:spacing w:before="420" w:after="180"/>
      </w:pPr>
      <w:r>
        <w:rPr>
          <w:rFonts w:ascii="Arial" w:cs="Arial" w:eastAsia="Arial" w:hAnsi="Arial"/>
          <w:b/>
          <w:bCs/>
          <w:color w:val="0070AD"/>
          <w:sz w:val="38"/>
          <w:szCs w:val="38"/>
        </w:rPr>
        <w:t xml:space="preserve">5. Architecture Dimension</w:t>
      </w:r>
    </w:p>
    <w:p>
      <w:pPr>
        <w:spacing w:before="80" w:after="120"/>
        <w:jc w:val="both"/>
      </w:pPr>
      <w:r>
        <w:rPr>
          <w:rFonts w:ascii="Arial" w:cs="Arial" w:eastAsia="Arial" w:hAnsi="Arial"/>
          <w:color w:val="2B2B2B"/>
          <w:sz w:val="22"/>
          <w:szCs w:val="22"/>
        </w:rPr>
        <w:t xml:space="preserve">The Architecture dimension defines the structural framework of the enterprise. It establishes how the organisation's technology and information systems should be designed, governed, and evolved to support business strategy and capability requirements.</w:t>
      </w:r>
    </w:p>
    <w:p>
      <w:pPr>
        <w:spacing w:before="0" w:after="120"/>
      </w:pPr>
    </w:p>
    <w:p>
      <w:pPr>
        <w:pStyle w:val="Heading2"/>
        <w:spacing w:before="300" w:after="120"/>
      </w:pPr>
      <w:r>
        <w:rPr>
          <w:rFonts w:ascii="Arial" w:cs="Arial" w:eastAsia="Arial" w:hAnsi="Arial"/>
          <w:b/>
          <w:bCs/>
          <w:color w:val="00477A"/>
          <w:sz w:val="28"/>
          <w:szCs w:val="28"/>
        </w:rPr>
        <w:t xml:space="preserve">5.1 Enterprise Architecture Structure</w:t>
      </w:r>
    </w:p>
    <w:p>
      <w:pPr>
        <w:spacing w:before="80" w:after="120"/>
        <w:jc w:val="both"/>
      </w:pPr>
      <w:r>
        <w:rPr>
          <w:rFonts w:ascii="Arial" w:cs="Arial" w:eastAsia="Arial" w:hAnsi="Arial"/>
          <w:color w:val="2B2B2B"/>
          <w:sz w:val="22"/>
          <w:szCs w:val="22"/>
        </w:rPr>
        <w:t xml:space="preserve">Enterprise architecture organises design thinking across multiple levels of abstraction. At the highest level, it defines the strategic direction and principles that guide all design decisions. At lower levels, it provides detailed design guidance for specific solution domains and technology platforms.</w:t>
      </w:r>
    </w:p>
    <w:p>
      <w:pPr>
        <w:spacing w:before="80" w:after="120"/>
        <w:jc w:val="both"/>
      </w:pPr>
      <w:r>
        <w:rPr>
          <w:rFonts w:ascii="Arial" w:cs="Arial" w:eastAsia="Arial" w:hAnsi="Arial"/>
          <w:color w:val="2B2B2B"/>
          <w:sz w:val="22"/>
          <w:szCs w:val="22"/>
        </w:rPr>
        <w:t xml:space="preserve">Capgemini's enterprise architecture structure within BLAC follows a layered model. Each layer builds on the one below it and provides context for the one above it. The layers range from business architecture at the top to physical infrastructure at the bottom.</w:t>
      </w:r>
    </w:p>
    <w:p>
      <w:pPr>
        <w:spacing w:before="0" w:after="120"/>
      </w:pPr>
    </w:p>
    <w:p>
      <w:pPr>
        <w:pStyle w:val="Heading2"/>
        <w:spacing w:before="300" w:after="120"/>
      </w:pPr>
      <w:r>
        <w:rPr>
          <w:rFonts w:ascii="Arial" w:cs="Arial" w:eastAsia="Arial" w:hAnsi="Arial"/>
          <w:b/>
          <w:bCs/>
          <w:color w:val="00477A"/>
          <w:sz w:val="28"/>
          <w:szCs w:val="28"/>
        </w:rPr>
        <w:t xml:space="preserve">5.2 Architecture Layers</w:t>
      </w:r>
    </w:p>
    <w:p>
      <w:pPr>
        <w:spacing w:before="80" w:after="120"/>
        <w:jc w:val="both"/>
      </w:pPr>
      <w:r>
        <w:rPr>
          <w:rFonts w:ascii="Arial" w:cs="Arial" w:eastAsia="Arial" w:hAnsi="Arial"/>
          <w:color w:val="2B2B2B"/>
          <w:sz w:val="22"/>
          <w:szCs w:val="22"/>
        </w:rPr>
        <w:t xml:space="preserve">The BLAC Architecture dimension organises design across six interconnected layers.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Layer</w:t>
            </w:r>
          </w:p>
        </w:tc>
        <w:tc>
          <w:tcPr>
            <w:tcW w:type="dxa" w:w="36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Focus</w:t>
            </w:r>
          </w:p>
        </w:tc>
        <w:tc>
          <w:tcPr>
            <w:tcW w:type="dxa" w:w="336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Key Artefacts</w:t>
            </w:r>
          </w:p>
        </w:tc>
      </w:tr>
      <w:tr>
        <w:tc>
          <w:tcPr>
            <w:tcW w:type="dxa" w:w="24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Business Architecture</w:t>
            </w:r>
          </w:p>
        </w:tc>
        <w:tc>
          <w:tcPr>
            <w:tcW w:type="dxa" w:w="36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Operating model, capabilities, processes, and organisational structures.</w:t>
            </w:r>
          </w:p>
        </w:tc>
        <w:tc>
          <w:tcPr>
            <w:tcW w:type="dxa" w:w="33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Capability maps, process models, value stream diagrams.</w:t>
            </w:r>
          </w:p>
        </w:tc>
      </w:tr>
      <w:tr>
        <w:tc>
          <w:tcPr>
            <w:tcW w:type="dxa" w:w="24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Information Architecture</w:t>
            </w:r>
          </w:p>
        </w:tc>
        <w:tc>
          <w:tcPr>
            <w:tcW w:type="dxa" w:w="36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Data models, data governance, master data, and information flows.</w:t>
            </w:r>
          </w:p>
        </w:tc>
        <w:tc>
          <w:tcPr>
            <w:tcW w:type="dxa" w:w="33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Data models, data flow diagrams, data governance policies.</w:t>
            </w:r>
          </w:p>
        </w:tc>
      </w:tr>
      <w:tr>
        <w:tc>
          <w:tcPr>
            <w:tcW w:type="dxa" w:w="24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Application Architecture</w:t>
            </w:r>
          </w:p>
        </w:tc>
        <w:tc>
          <w:tcPr>
            <w:tcW w:type="dxa" w:w="36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Application portfolio, microservices, APIs, and application interactions.</w:t>
            </w:r>
          </w:p>
        </w:tc>
        <w:tc>
          <w:tcPr>
            <w:tcW w:type="dxa" w:w="33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Application landscape maps, component diagrams, API catalogues.</w:t>
            </w:r>
          </w:p>
        </w:tc>
      </w:tr>
      <w:tr>
        <w:tc>
          <w:tcPr>
            <w:tcW w:type="dxa" w:w="24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Integration Architecture</w:t>
            </w:r>
          </w:p>
        </w:tc>
        <w:tc>
          <w:tcPr>
            <w:tcW w:type="dxa" w:w="36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Integration patterns, message flows, API management, and event streaming.</w:t>
            </w:r>
          </w:p>
        </w:tc>
        <w:tc>
          <w:tcPr>
            <w:tcW w:type="dxa" w:w="33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Integration diagrams, API specifications, event catalogues.</w:t>
            </w:r>
          </w:p>
        </w:tc>
      </w:tr>
      <w:tr>
        <w:tc>
          <w:tcPr>
            <w:tcW w:type="dxa" w:w="24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Security Architecture</w:t>
            </w:r>
          </w:p>
        </w:tc>
        <w:tc>
          <w:tcPr>
            <w:tcW w:type="dxa" w:w="36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Identity, access control, data protection, and threat management.</w:t>
            </w:r>
          </w:p>
        </w:tc>
        <w:tc>
          <w:tcPr>
            <w:tcW w:type="dxa" w:w="33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Security models, identity architectures, threat assessments.</w:t>
            </w:r>
          </w:p>
        </w:tc>
      </w:tr>
      <w:tr>
        <w:tc>
          <w:tcPr>
            <w:tcW w:type="dxa" w:w="24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Technology Architecture</w:t>
            </w:r>
          </w:p>
        </w:tc>
        <w:tc>
          <w:tcPr>
            <w:tcW w:type="dxa" w:w="36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Infrastructure, cloud platforms, compute, storage, and networks.</w:t>
            </w:r>
          </w:p>
        </w:tc>
        <w:tc>
          <w:tcPr>
            <w:tcW w:type="dxa" w:w="33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Infrastructure diagrams, cloud blueprints, platform standards.</w:t>
            </w:r>
          </w:p>
        </w:tc>
      </w:tr>
    </w:tbl>
    <w:p>
      <w:pPr>
        <w:spacing w:before="0" w:after="160"/>
      </w:pPr>
    </w:p>
    <w:p>
      <w:pPr>
        <w:pStyle w:val="Heading2"/>
        <w:spacing w:before="300" w:after="120"/>
      </w:pPr>
      <w:r>
        <w:rPr>
          <w:rFonts w:ascii="Arial" w:cs="Arial" w:eastAsia="Arial" w:hAnsi="Arial"/>
          <w:b/>
          <w:bCs/>
          <w:color w:val="00477A"/>
          <w:sz w:val="28"/>
          <w:szCs w:val="28"/>
        </w:rPr>
        <w:t xml:space="preserve">5.3 Architecture Governance</w:t>
      </w:r>
    </w:p>
    <w:p>
      <w:pPr>
        <w:spacing w:before="80" w:after="120"/>
        <w:jc w:val="both"/>
      </w:pPr>
      <w:r>
        <w:rPr>
          <w:rFonts w:ascii="Arial" w:cs="Arial" w:eastAsia="Arial" w:hAnsi="Arial"/>
          <w:color w:val="2B2B2B"/>
          <w:sz w:val="22"/>
          <w:szCs w:val="22"/>
        </w:rPr>
        <w:t xml:space="preserve">Architecture governance is the set of processes, structures, and controls that ensure architecture remains aligned with strategy, principles, and standards as the organisation transforms. Without governance, architectures drift. Standards are ignored. Technical debt accumulates. Transformation costs increase.</w:t>
      </w:r>
    </w:p>
    <w:p>
      <w:pPr>
        <w:spacing w:before="80" w:after="120"/>
        <w:jc w:val="both"/>
      </w:pPr>
      <w:r>
        <w:rPr>
          <w:rFonts w:ascii="Arial" w:cs="Arial" w:eastAsia="Arial" w:hAnsi="Arial"/>
          <w:color w:val="2B2B2B"/>
          <w:sz w:val="22"/>
          <w:szCs w:val="22"/>
        </w:rPr>
        <w:t xml:space="preserve">Governance in the BLAC Architecture dimension operates at three levels.</w:t>
      </w:r>
    </w:p>
    <w:p>
      <w:pPr>
        <w:pStyle w:val="ListParagraph"/>
        <w:numPr>
          <w:ilvl w:val="0"/>
          <w:numId w:val="2"/>
        </w:numPr>
        <w:spacing w:before="60" w:after="60"/>
      </w:pPr>
      <w:r>
        <w:rPr>
          <w:rFonts w:ascii="Arial" w:cs="Arial" w:eastAsia="Arial" w:hAnsi="Arial"/>
          <w:b w:val="false"/>
          <w:bCs w:val="false"/>
          <w:color w:val="2B2B2B"/>
          <w:sz w:val="22"/>
          <w:szCs w:val="22"/>
        </w:rPr>
        <w:t xml:space="preserve">Strategic governance: </w:t>
      </w:r>
      <w:r>
        <w:rPr>
          <w:rFonts w:ascii="Arial" w:cs="Arial" w:eastAsia="Arial" w:hAnsi="Arial"/>
          <w:b w:val="false"/>
          <w:bCs w:val="false"/>
          <w:color w:val="2B2B2B"/>
          <w:sz w:val="22"/>
          <w:szCs w:val="22"/>
        </w:rPr>
        <w:t xml:space="preserve">Ensures that the overall architecture direction is aligned with business strategy. Typically managed by a Chief Architect or Architecture Review Board.</w:t>
      </w:r>
    </w:p>
    <w:p>
      <w:pPr>
        <w:pStyle w:val="ListParagraph"/>
        <w:numPr>
          <w:ilvl w:val="0"/>
          <w:numId w:val="2"/>
        </w:numPr>
        <w:spacing w:before="60" w:after="60"/>
      </w:pPr>
      <w:r>
        <w:rPr>
          <w:rFonts w:ascii="Arial" w:cs="Arial" w:eastAsia="Arial" w:hAnsi="Arial"/>
          <w:b w:val="false"/>
          <w:bCs w:val="false"/>
          <w:color w:val="2B2B2B"/>
          <w:sz w:val="22"/>
          <w:szCs w:val="22"/>
        </w:rPr>
        <w:t xml:space="preserve">Programme governance: </w:t>
      </w:r>
      <w:r>
        <w:rPr>
          <w:rFonts w:ascii="Arial" w:cs="Arial" w:eastAsia="Arial" w:hAnsi="Arial"/>
          <w:b w:val="false"/>
          <w:bCs w:val="false"/>
          <w:color w:val="2B2B2B"/>
          <w:sz w:val="22"/>
          <w:szCs w:val="22"/>
        </w:rPr>
        <w:t xml:space="preserve">Ensures that solution architectures within transformation programmes comply with enterprise standards and principles. Managed by domain architects and programme-level review processes.</w:t>
      </w:r>
    </w:p>
    <w:p>
      <w:pPr>
        <w:pStyle w:val="ListParagraph"/>
        <w:numPr>
          <w:ilvl w:val="0"/>
          <w:numId w:val="2"/>
        </w:numPr>
        <w:spacing w:before="60" w:after="60"/>
      </w:pPr>
      <w:r>
        <w:rPr>
          <w:rFonts w:ascii="Arial" w:cs="Arial" w:eastAsia="Arial" w:hAnsi="Arial"/>
          <w:b w:val="false"/>
          <w:bCs w:val="false"/>
          <w:color w:val="2B2B2B"/>
          <w:sz w:val="22"/>
          <w:szCs w:val="22"/>
        </w:rPr>
        <w:t xml:space="preserve">Solution governance: </w:t>
      </w:r>
      <w:r>
        <w:rPr>
          <w:rFonts w:ascii="Arial" w:cs="Arial" w:eastAsia="Arial" w:hAnsi="Arial"/>
          <w:b w:val="false"/>
          <w:bCs w:val="false"/>
          <w:color w:val="2B2B2B"/>
          <w:sz w:val="22"/>
          <w:szCs w:val="22"/>
        </w:rPr>
        <w:t xml:space="preserve">Ensures that individual solution designs meet architecture standards. Managed by solution architects working within approved guardrails.</w:t>
      </w:r>
    </w:p>
    <w:p>
      <w:pPr>
        <w:spacing w:before="0" w:after="120"/>
      </w:pPr>
    </w:p>
    <w:p>
      <w:pPr>
        <w:pStyle w:val="Heading2"/>
        <w:spacing w:before="300" w:after="120"/>
      </w:pPr>
      <w:r>
        <w:rPr>
          <w:rFonts w:ascii="Arial" w:cs="Arial" w:eastAsia="Arial" w:hAnsi="Arial"/>
          <w:b/>
          <w:bCs/>
          <w:color w:val="00477A"/>
          <w:sz w:val="28"/>
          <w:szCs w:val="28"/>
        </w:rPr>
        <w:t xml:space="preserve">5.4 Architecture Standards and Principles</w:t>
      </w:r>
    </w:p>
    <w:p>
      <w:pPr>
        <w:spacing w:before="80" w:after="120"/>
        <w:jc w:val="both"/>
      </w:pPr>
      <w:r>
        <w:rPr>
          <w:rFonts w:ascii="Arial" w:cs="Arial" w:eastAsia="Arial" w:hAnsi="Arial"/>
          <w:color w:val="2B2B2B"/>
          <w:sz w:val="22"/>
          <w:szCs w:val="22"/>
        </w:rPr>
        <w:t xml:space="preserve">Architecture principles are fundamental statements that guide all architecture decisions. They express what the organisation believes constitutes good architecture. Architecture standards are the specific technical requirements that all solutions must comply with.</w:t>
      </w:r>
    </w:p>
    <w:p>
      <w:pPr>
        <w:spacing w:before="80" w:after="120"/>
        <w:jc w:val="both"/>
      </w:pPr>
      <w:r>
        <w:rPr>
          <w:rFonts w:ascii="Arial" w:cs="Arial" w:eastAsia="Arial" w:hAnsi="Arial"/>
          <w:color w:val="2B2B2B"/>
          <w:sz w:val="22"/>
          <w:szCs w:val="22"/>
        </w:rPr>
        <w:t xml:space="preserve">Examples of architecture principles commonly applied within BLAC engagements include the following.</w:t>
      </w:r>
    </w:p>
    <w:p>
      <w:pPr>
        <w:pStyle w:val="ListParagraph"/>
        <w:numPr>
          <w:ilvl w:val="0"/>
          <w:numId w:val="2"/>
        </w:numPr>
        <w:spacing w:before="60" w:after="60"/>
      </w:pPr>
      <w:r>
        <w:rPr>
          <w:rFonts w:ascii="Arial" w:cs="Arial" w:eastAsia="Arial" w:hAnsi="Arial"/>
          <w:color w:val="2B2B2B"/>
          <w:sz w:val="22"/>
          <w:szCs w:val="22"/>
        </w:rPr>
        <w:t xml:space="preserve">Business alignment: every architecture decision must be traceable to a business capability or outcome.</w:t>
      </w:r>
    </w:p>
    <w:p>
      <w:pPr>
        <w:pStyle w:val="ListParagraph"/>
        <w:numPr>
          <w:ilvl w:val="0"/>
          <w:numId w:val="2"/>
        </w:numPr>
        <w:spacing w:before="60" w:after="60"/>
      </w:pPr>
      <w:r>
        <w:rPr>
          <w:rFonts w:ascii="Arial" w:cs="Arial" w:eastAsia="Arial" w:hAnsi="Arial"/>
          <w:color w:val="2B2B2B"/>
          <w:sz w:val="22"/>
          <w:szCs w:val="22"/>
        </w:rPr>
        <w:t xml:space="preserve">Cloud first: cloud-based solutions are the default choice for new investments.</w:t>
      </w:r>
    </w:p>
    <w:p>
      <w:pPr>
        <w:pStyle w:val="ListParagraph"/>
        <w:numPr>
          <w:ilvl w:val="0"/>
          <w:numId w:val="2"/>
        </w:numPr>
        <w:spacing w:before="60" w:after="60"/>
      </w:pPr>
      <w:r>
        <w:rPr>
          <w:rFonts w:ascii="Arial" w:cs="Arial" w:eastAsia="Arial" w:hAnsi="Arial"/>
          <w:color w:val="2B2B2B"/>
          <w:sz w:val="22"/>
          <w:szCs w:val="22"/>
        </w:rPr>
        <w:t xml:space="preserve">Security by design: security controls are designed into solutions from the outset.</w:t>
      </w:r>
    </w:p>
    <w:p>
      <w:pPr>
        <w:pStyle w:val="ListParagraph"/>
        <w:numPr>
          <w:ilvl w:val="0"/>
          <w:numId w:val="2"/>
        </w:numPr>
        <w:spacing w:before="60" w:after="60"/>
      </w:pPr>
      <w:r>
        <w:rPr>
          <w:rFonts w:ascii="Arial" w:cs="Arial" w:eastAsia="Arial" w:hAnsi="Arial"/>
          <w:color w:val="2B2B2B"/>
          <w:sz w:val="22"/>
          <w:szCs w:val="22"/>
        </w:rPr>
        <w:t xml:space="preserve">Design for reuse: components should be designed to serve multiple solutions.</w:t>
      </w:r>
    </w:p>
    <w:p>
      <w:pPr>
        <w:pStyle w:val="ListParagraph"/>
        <w:numPr>
          <w:ilvl w:val="0"/>
          <w:numId w:val="2"/>
        </w:numPr>
        <w:spacing w:before="60" w:after="60"/>
      </w:pPr>
      <w:r>
        <w:rPr>
          <w:rFonts w:ascii="Arial" w:cs="Arial" w:eastAsia="Arial" w:hAnsi="Arial"/>
          <w:color w:val="2B2B2B"/>
          <w:sz w:val="22"/>
          <w:szCs w:val="22"/>
        </w:rPr>
        <w:t xml:space="preserve">Loose coupling: systems should be connected through well-defined interfaces to minimise dependencies.</w:t>
      </w:r>
    </w:p>
    <w:p>
      <w:pPr>
        <w:pStyle w:val="ListParagraph"/>
        <w:numPr>
          <w:ilvl w:val="0"/>
          <w:numId w:val="2"/>
        </w:numPr>
        <w:spacing w:before="60" w:after="60"/>
      </w:pPr>
      <w:r>
        <w:rPr>
          <w:rFonts w:ascii="Arial" w:cs="Arial" w:eastAsia="Arial" w:hAnsi="Arial"/>
          <w:color w:val="2B2B2B"/>
          <w:sz w:val="22"/>
          <w:szCs w:val="22"/>
        </w:rPr>
        <w:t xml:space="preserve">Data as a strategic asset: data is governed, managed, and made accessible as a core organisational resource.</w:t>
      </w:r>
    </w:p>
    <w:p>
      <w:pPr>
        <w:spacing w:before="0" w:after="200"/>
      </w:pPr>
    </w:p>
    <w:p>
      <w:r>
        <w:br w:type="page"/>
      </w:r>
    </w:p>
    <w:p>
      <w:pPr>
        <w:pBdr>
          <w:bottom w:val="single" w:color="0070AD" w:sz="14" w:space="10"/>
        </w:pBdr>
        <w:spacing w:before="520" w:after="0"/>
      </w:pPr>
      <w:r>
        <w:rPr>
          <w:rFonts w:ascii="Arial" w:cs="Arial" w:eastAsia="Arial" w:hAnsi="Arial"/>
          <w:color w:val="555555"/>
          <w:sz w:val="22"/>
          <w:szCs w:val="22"/>
        </w:rPr>
        <w:t xml:space="preserve">Section 6   </w:t>
      </w:r>
      <w:r>
        <w:rPr>
          <w:rFonts w:ascii="Arial" w:cs="Arial" w:eastAsia="Arial" w:hAnsi="Arial"/>
          <w:b/>
          <w:bCs/>
          <w:color w:val="0070AD"/>
          <w:sz w:val="72"/>
          <w:szCs w:val="72"/>
        </w:rPr>
        <w:t xml:space="preserve">C</w:t>
      </w:r>
      <w:r>
        <w:rPr>
          <w:rFonts w:ascii="Arial" w:cs="Arial" w:eastAsia="Arial" w:hAnsi="Arial"/>
          <w:color w:val="2B2B2B"/>
          <w:sz w:val="34"/>
          <w:szCs w:val="34"/>
        </w:rPr>
        <w:t xml:space="preserve">   Capability Dimension</w:t>
      </w:r>
    </w:p>
    <w:p>
      <w:pPr>
        <w:spacing w:before="0" w:after="180"/>
      </w:pPr>
    </w:p>
    <w:p>
      <w:pPr>
        <w:pStyle w:val="Heading1"/>
        <w:pBdr>
          <w:bottom w:val="single" w:color="0070AD" w:sz="10" w:space="8"/>
        </w:pBdr>
        <w:spacing w:before="420" w:after="180"/>
      </w:pPr>
      <w:r>
        <w:rPr>
          <w:rFonts w:ascii="Arial" w:cs="Arial" w:eastAsia="Arial" w:hAnsi="Arial"/>
          <w:b/>
          <w:bCs/>
          <w:color w:val="0070AD"/>
          <w:sz w:val="38"/>
          <w:szCs w:val="38"/>
        </w:rPr>
        <w:t xml:space="preserve">6. Capability Dimension</w:t>
      </w:r>
    </w:p>
    <w:p>
      <w:pPr>
        <w:spacing w:before="80" w:after="120"/>
        <w:jc w:val="both"/>
      </w:pPr>
      <w:r>
        <w:rPr>
          <w:rFonts w:ascii="Arial" w:cs="Arial" w:eastAsia="Arial" w:hAnsi="Arial"/>
          <w:color w:val="2B2B2B"/>
          <w:sz w:val="22"/>
          <w:szCs w:val="22"/>
        </w:rPr>
        <w:t xml:space="preserve">The Capability dimension is the bridge between business strategy and technology architecture. It defines what the organisation must be able to do to execute its strategy. It then maps those abilities to the processes, information, applications, and technologies that support them.</w:t>
      </w:r>
    </w:p>
    <w:p>
      <w:pPr>
        <w:spacing w:before="0" w:after="120"/>
      </w:pPr>
    </w:p>
    <w:p>
      <w:pPr>
        <w:pStyle w:val="Heading2"/>
        <w:spacing w:before="300" w:after="120"/>
      </w:pPr>
      <w:r>
        <w:rPr>
          <w:rFonts w:ascii="Arial" w:cs="Arial" w:eastAsia="Arial" w:hAnsi="Arial"/>
          <w:b/>
          <w:bCs/>
          <w:color w:val="00477A"/>
          <w:sz w:val="28"/>
          <w:szCs w:val="28"/>
        </w:rPr>
        <w:t xml:space="preserve">6.1 Capability Modelling</w:t>
      </w:r>
    </w:p>
    <w:p>
      <w:pPr>
        <w:spacing w:before="80" w:after="120"/>
        <w:jc w:val="both"/>
      </w:pPr>
      <w:r>
        <w:rPr>
          <w:rFonts w:ascii="Arial" w:cs="Arial" w:eastAsia="Arial" w:hAnsi="Arial"/>
          <w:color w:val="2B2B2B"/>
          <w:sz w:val="22"/>
          <w:szCs w:val="22"/>
        </w:rPr>
        <w:t xml:space="preserve">Capability modelling is the process of identifying, defining, and structuring the business capabilities of the organisation. A capability model describes the full set of abilities the organisation needs, organised into a logical hierarchy.</w:t>
      </w:r>
    </w:p>
    <w:p>
      <w:pPr>
        <w:spacing w:before="80" w:after="120"/>
        <w:jc w:val="both"/>
      </w:pPr>
      <w:r>
        <w:rPr>
          <w:rFonts w:ascii="Arial" w:cs="Arial" w:eastAsia="Arial" w:hAnsi="Arial"/>
          <w:color w:val="2B2B2B"/>
          <w:sz w:val="22"/>
          <w:szCs w:val="22"/>
        </w:rPr>
        <w:t xml:space="preserve">A well-constructed capability model has the following characteristics.</w:t>
      </w:r>
    </w:p>
    <w:p>
      <w:pPr>
        <w:pStyle w:val="ListParagraph"/>
        <w:numPr>
          <w:ilvl w:val="0"/>
          <w:numId w:val="2"/>
        </w:numPr>
        <w:spacing w:before="60" w:after="60"/>
      </w:pPr>
      <w:r>
        <w:rPr>
          <w:rFonts w:ascii="Arial" w:cs="Arial" w:eastAsia="Arial" w:hAnsi="Arial"/>
          <w:color w:val="2B2B2B"/>
          <w:sz w:val="22"/>
          <w:szCs w:val="22"/>
        </w:rPr>
        <w:t xml:space="preserve">It is business-led, not technology-led. Capabilities describe what the business does, not how its systems work.</w:t>
      </w:r>
    </w:p>
    <w:p>
      <w:pPr>
        <w:pStyle w:val="ListParagraph"/>
        <w:numPr>
          <w:ilvl w:val="0"/>
          <w:numId w:val="2"/>
        </w:numPr>
        <w:spacing w:before="60" w:after="60"/>
      </w:pPr>
      <w:r>
        <w:rPr>
          <w:rFonts w:ascii="Arial" w:cs="Arial" w:eastAsia="Arial" w:hAnsi="Arial"/>
          <w:color w:val="2B2B2B"/>
          <w:sz w:val="22"/>
          <w:szCs w:val="22"/>
        </w:rPr>
        <w:t xml:space="preserve">It is stable over time. While processes and technologies change, capabilities remain relatively constant.</w:t>
      </w:r>
    </w:p>
    <w:p>
      <w:pPr>
        <w:pStyle w:val="ListParagraph"/>
        <w:numPr>
          <w:ilvl w:val="0"/>
          <w:numId w:val="2"/>
        </w:numPr>
        <w:spacing w:before="60" w:after="60"/>
      </w:pPr>
      <w:r>
        <w:rPr>
          <w:rFonts w:ascii="Arial" w:cs="Arial" w:eastAsia="Arial" w:hAnsi="Arial"/>
          <w:color w:val="2B2B2B"/>
          <w:sz w:val="22"/>
          <w:szCs w:val="22"/>
        </w:rPr>
        <w:t xml:space="preserve">It is comprehensive. The model covers all areas of the organisation relevant to the transformation scope.</w:t>
      </w:r>
    </w:p>
    <w:p>
      <w:pPr>
        <w:pStyle w:val="ListParagraph"/>
        <w:numPr>
          <w:ilvl w:val="0"/>
          <w:numId w:val="2"/>
        </w:numPr>
        <w:spacing w:before="60" w:after="60"/>
      </w:pPr>
      <w:r>
        <w:rPr>
          <w:rFonts w:ascii="Arial" w:cs="Arial" w:eastAsia="Arial" w:hAnsi="Arial"/>
          <w:color w:val="2B2B2B"/>
          <w:sz w:val="22"/>
          <w:szCs w:val="22"/>
        </w:rPr>
        <w:t xml:space="preserve">It is non-redundant. Each capability appears only once in the model, regardless of how many teams or systems contribute to it.</w:t>
      </w:r>
    </w:p>
    <w:p>
      <w:pPr>
        <w:spacing w:before="80" w:after="120"/>
        <w:jc w:val="both"/>
      </w:pPr>
      <w:r>
        <w:rPr>
          <w:rFonts w:ascii="Arial" w:cs="Arial" w:eastAsia="Arial" w:hAnsi="Arial"/>
          <w:color w:val="2B2B2B"/>
          <w:sz w:val="22"/>
          <w:szCs w:val="22"/>
        </w:rPr>
        <w:t xml:space="preserve">The output of capability modelling is a Business Capability Map: a hierarchical diagram that organises capabilities into domains and sub-domains.</w:t>
      </w:r>
    </w:p>
    <w:p>
      <w:pPr>
        <w:spacing w:before="0" w:after="120"/>
      </w:pPr>
    </w:p>
    <w:p>
      <w:pPr>
        <w:pStyle w:val="Heading2"/>
        <w:spacing w:before="300" w:after="120"/>
      </w:pPr>
      <w:r>
        <w:rPr>
          <w:rFonts w:ascii="Arial" w:cs="Arial" w:eastAsia="Arial" w:hAnsi="Arial"/>
          <w:b/>
          <w:bCs/>
          <w:color w:val="00477A"/>
          <w:sz w:val="28"/>
          <w:szCs w:val="28"/>
        </w:rPr>
        <w:t xml:space="preserve">6.2 Capability Mapping</w:t>
      </w:r>
    </w:p>
    <w:p>
      <w:pPr>
        <w:spacing w:before="80" w:after="120"/>
        <w:jc w:val="both"/>
      </w:pPr>
      <w:r>
        <w:rPr>
          <w:rFonts w:ascii="Arial" w:cs="Arial" w:eastAsia="Arial" w:hAnsi="Arial"/>
          <w:color w:val="2B2B2B"/>
          <w:sz w:val="22"/>
          <w:szCs w:val="22"/>
        </w:rPr>
        <w:t xml:space="preserve">Capability mapping is the process of connecting capabilities to the elements that support them. This includes mapping capabilities to:</w:t>
      </w:r>
    </w:p>
    <w:p>
      <w:pPr>
        <w:pStyle w:val="ListParagraph"/>
        <w:numPr>
          <w:ilvl w:val="0"/>
          <w:numId w:val="2"/>
        </w:numPr>
        <w:spacing w:before="60" w:after="60"/>
      </w:pPr>
      <w:r>
        <w:rPr>
          <w:rFonts w:ascii="Arial" w:cs="Arial" w:eastAsia="Arial" w:hAnsi="Arial"/>
          <w:color w:val="2B2B2B"/>
          <w:sz w:val="22"/>
          <w:szCs w:val="22"/>
        </w:rPr>
        <w:t xml:space="preserve">Business processes: which processes execute each capability.</w:t>
      </w:r>
    </w:p>
    <w:p>
      <w:pPr>
        <w:pStyle w:val="ListParagraph"/>
        <w:numPr>
          <w:ilvl w:val="0"/>
          <w:numId w:val="2"/>
        </w:numPr>
        <w:spacing w:before="60" w:after="60"/>
      </w:pPr>
      <w:r>
        <w:rPr>
          <w:rFonts w:ascii="Arial" w:cs="Arial" w:eastAsia="Arial" w:hAnsi="Arial"/>
          <w:color w:val="2B2B2B"/>
          <w:sz w:val="22"/>
          <w:szCs w:val="22"/>
        </w:rPr>
        <w:t xml:space="preserve">Organisational units: which teams are responsible for each capability.</w:t>
      </w:r>
    </w:p>
    <w:p>
      <w:pPr>
        <w:pStyle w:val="ListParagraph"/>
        <w:numPr>
          <w:ilvl w:val="0"/>
          <w:numId w:val="2"/>
        </w:numPr>
        <w:spacing w:before="60" w:after="60"/>
      </w:pPr>
      <w:r>
        <w:rPr>
          <w:rFonts w:ascii="Arial" w:cs="Arial" w:eastAsia="Arial" w:hAnsi="Arial"/>
          <w:color w:val="2B2B2B"/>
          <w:sz w:val="22"/>
          <w:szCs w:val="22"/>
        </w:rPr>
        <w:t xml:space="preserve">Applications: which systems support each capability.</w:t>
      </w:r>
    </w:p>
    <w:p>
      <w:pPr>
        <w:pStyle w:val="ListParagraph"/>
        <w:numPr>
          <w:ilvl w:val="0"/>
          <w:numId w:val="2"/>
        </w:numPr>
        <w:spacing w:before="60" w:after="60"/>
      </w:pPr>
      <w:r>
        <w:rPr>
          <w:rFonts w:ascii="Arial" w:cs="Arial" w:eastAsia="Arial" w:hAnsi="Arial"/>
          <w:color w:val="2B2B2B"/>
          <w:sz w:val="22"/>
          <w:szCs w:val="22"/>
        </w:rPr>
        <w:t xml:space="preserve">Data: which data assets are needed to perform each capability.</w:t>
      </w:r>
    </w:p>
    <w:p>
      <w:pPr>
        <w:pStyle w:val="ListParagraph"/>
        <w:numPr>
          <w:ilvl w:val="0"/>
          <w:numId w:val="2"/>
        </w:numPr>
        <w:spacing w:before="60" w:after="60"/>
      </w:pPr>
      <w:r>
        <w:rPr>
          <w:rFonts w:ascii="Arial" w:cs="Arial" w:eastAsia="Arial" w:hAnsi="Arial"/>
          <w:color w:val="2B2B2B"/>
          <w:sz w:val="22"/>
          <w:szCs w:val="22"/>
        </w:rPr>
        <w:t xml:space="preserve">People and skills: which roles and competencies are required to execute each capability.</w:t>
      </w:r>
    </w:p>
    <w:p>
      <w:pPr>
        <w:spacing w:before="80" w:after="120"/>
        <w:jc w:val="both"/>
      </w:pPr>
      <w:r>
        <w:rPr>
          <w:rFonts w:ascii="Arial" w:cs="Arial" w:eastAsia="Arial" w:hAnsi="Arial"/>
          <w:color w:val="2B2B2B"/>
          <w:sz w:val="22"/>
          <w:szCs w:val="22"/>
        </w:rPr>
        <w:t xml:space="preserve">Capability mapping is one of the most powerful analytical tools in the BLAC framework. It reveals where capabilities are well-supported and where gaps exist. It also reveals duplication, where multiple systems support the same capability, creating unnecessary complexity and cost.</w:t>
      </w:r>
    </w:p>
    <w:p>
      <w:pPr>
        <w:spacing w:before="0" w:after="120"/>
      </w:pPr>
    </w:p>
    <w:p>
      <w:pPr>
        <w:pStyle w:val="Heading2"/>
        <w:spacing w:before="300" w:after="120"/>
      </w:pPr>
      <w:r>
        <w:rPr>
          <w:rFonts w:ascii="Arial" w:cs="Arial" w:eastAsia="Arial" w:hAnsi="Arial"/>
          <w:b/>
          <w:bCs/>
          <w:color w:val="00477A"/>
          <w:sz w:val="28"/>
          <w:szCs w:val="28"/>
        </w:rPr>
        <w:t xml:space="preserve">6.3 Capability Maturity</w:t>
      </w:r>
    </w:p>
    <w:p>
      <w:pPr>
        <w:spacing w:before="80" w:after="120"/>
        <w:jc w:val="both"/>
      </w:pPr>
      <w:r>
        <w:rPr>
          <w:rFonts w:ascii="Arial" w:cs="Arial" w:eastAsia="Arial" w:hAnsi="Arial"/>
          <w:color w:val="2B2B2B"/>
          <w:sz w:val="22"/>
          <w:szCs w:val="22"/>
        </w:rPr>
        <w:t xml:space="preserve">Capability maturity is an assessment of how well the organisation performs a given capability today. A maturity model provides a scale against which capabilities can be assessed. Capgemini typically uses a five-level maturity scale.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6560"/>
      </w:tblGrid>
      <w:tr>
        <w:tc>
          <w:tcPr>
            <w:tcW w:type="dxa" w:w="10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Level</w:t>
            </w:r>
          </w:p>
        </w:tc>
        <w:tc>
          <w:tcPr>
            <w:tcW w:type="dxa" w:w="18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Name</w:t>
            </w:r>
          </w:p>
        </w:tc>
        <w:tc>
          <w:tcPr>
            <w:tcW w:type="dxa" w:w="656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10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1</w:t>
            </w:r>
          </w:p>
        </w:tc>
        <w:tc>
          <w:tcPr>
            <w:tcW w:type="dxa" w:w="1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Initial</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Capability is performed inconsistently. There are no defined processes or standards.</w:t>
            </w:r>
          </w:p>
        </w:tc>
      </w:tr>
      <w:tr>
        <w:tc>
          <w:tcPr>
            <w:tcW w:type="dxa" w:w="10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2</w:t>
            </w:r>
          </w:p>
        </w:tc>
        <w:tc>
          <w:tcPr>
            <w:tcW w:type="dxa" w:w="1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Developing</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Basic processes exist but are not consistently applied. Results are variable.</w:t>
            </w:r>
          </w:p>
        </w:tc>
      </w:tr>
      <w:tr>
        <w:tc>
          <w:tcPr>
            <w:tcW w:type="dxa" w:w="10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3</w:t>
            </w:r>
          </w:p>
        </w:tc>
        <w:tc>
          <w:tcPr>
            <w:tcW w:type="dxa" w:w="1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Defined</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Processes are documented and consistently applied. Results are predictable.</w:t>
            </w:r>
          </w:p>
        </w:tc>
      </w:tr>
      <w:tr>
        <w:tc>
          <w:tcPr>
            <w:tcW w:type="dxa" w:w="10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4</w:t>
            </w:r>
          </w:p>
        </w:tc>
        <w:tc>
          <w:tcPr>
            <w:tcW w:type="dxa" w:w="1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Managed</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Performance is measured and actively managed. Continuous improvement is practised.</w:t>
            </w:r>
          </w:p>
        </w:tc>
      </w:tr>
      <w:tr>
        <w:tc>
          <w:tcPr>
            <w:tcW w:type="dxa" w:w="10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5</w:t>
            </w:r>
          </w:p>
        </w:tc>
        <w:tc>
          <w:tcPr>
            <w:tcW w:type="dxa" w:w="1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Optimised</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The capability is a source of competitive advantage. Innovation is systematic.</w:t>
            </w:r>
          </w:p>
        </w:tc>
      </w:tr>
    </w:tbl>
    <w:p>
      <w:pPr>
        <w:spacing w:before="0" w:after="160"/>
      </w:pPr>
    </w:p>
    <w:p>
      <w:pPr>
        <w:spacing w:before="80" w:after="120"/>
        <w:jc w:val="both"/>
      </w:pPr>
      <w:r>
        <w:rPr>
          <w:rFonts w:ascii="Arial" w:cs="Arial" w:eastAsia="Arial" w:hAnsi="Arial"/>
          <w:color w:val="2B2B2B"/>
          <w:sz w:val="22"/>
          <w:szCs w:val="22"/>
        </w:rPr>
        <w:t xml:space="preserve">Capability maturity assessments are used to identify which capabilities require the greatest investment. They inform the prioritisation of the transformation roadmap. Capabilities that are critical to strategy but low in maturity receive the highest priority.</w:t>
      </w:r>
    </w:p>
    <w:p>
      <w:pPr>
        <w:spacing w:before="0" w:after="120"/>
      </w:pPr>
    </w:p>
    <w:p>
      <w:pPr>
        <w:pStyle w:val="Heading2"/>
        <w:spacing w:before="300" w:after="120"/>
      </w:pPr>
      <w:r>
        <w:rPr>
          <w:rFonts w:ascii="Arial" w:cs="Arial" w:eastAsia="Arial" w:hAnsi="Arial"/>
          <w:b/>
          <w:bCs/>
          <w:color w:val="00477A"/>
          <w:sz w:val="28"/>
          <w:szCs w:val="28"/>
        </w:rPr>
        <w:t xml:space="preserve">6.4 Capability-Driven Transformation</w:t>
      </w:r>
    </w:p>
    <w:p>
      <w:pPr>
        <w:spacing w:before="80" w:after="120"/>
        <w:jc w:val="both"/>
      </w:pPr>
      <w:r>
        <w:rPr>
          <w:rFonts w:ascii="Arial" w:cs="Arial" w:eastAsia="Arial" w:hAnsi="Arial"/>
          <w:color w:val="2B2B2B"/>
          <w:sz w:val="22"/>
          <w:szCs w:val="22"/>
        </w:rPr>
        <w:t xml:space="preserve">Capability-driven transformation means using the capability model and maturity assessment as the primary basis for planning and prioritising transformation work. Rather than starting with a list of technology projects, capability-driven transformation starts with the question: which capabilities must we improve, and by how much, to achieve our strategic goals?</w:t>
      </w:r>
    </w:p>
    <w:p>
      <w:pPr>
        <w:spacing w:before="80" w:after="120"/>
        <w:jc w:val="both"/>
      </w:pPr>
      <w:r>
        <w:rPr>
          <w:rFonts w:ascii="Arial" w:cs="Arial" w:eastAsia="Arial" w:hAnsi="Arial"/>
          <w:color w:val="2B2B2B"/>
          <w:sz w:val="22"/>
          <w:szCs w:val="22"/>
        </w:rPr>
        <w:t xml:space="preserve">This approach delivers several important benefits.</w:t>
      </w:r>
    </w:p>
    <w:p>
      <w:pPr>
        <w:pStyle w:val="ListParagraph"/>
        <w:numPr>
          <w:ilvl w:val="0"/>
          <w:numId w:val="2"/>
        </w:numPr>
        <w:spacing w:before="60" w:after="60"/>
      </w:pPr>
      <w:r>
        <w:rPr>
          <w:rFonts w:ascii="Arial" w:cs="Arial" w:eastAsia="Arial" w:hAnsi="Arial"/>
          <w:color w:val="2B2B2B"/>
          <w:sz w:val="22"/>
          <w:szCs w:val="22"/>
        </w:rPr>
        <w:t xml:space="preserve">It ensures that transformation investment is directed toward the capabilities that create the most business value.</w:t>
      </w:r>
    </w:p>
    <w:p>
      <w:pPr>
        <w:pStyle w:val="ListParagraph"/>
        <w:numPr>
          <w:ilvl w:val="0"/>
          <w:numId w:val="2"/>
        </w:numPr>
        <w:spacing w:before="60" w:after="60"/>
      </w:pPr>
      <w:r>
        <w:rPr>
          <w:rFonts w:ascii="Arial" w:cs="Arial" w:eastAsia="Arial" w:hAnsi="Arial"/>
          <w:color w:val="2B2B2B"/>
          <w:sz w:val="22"/>
          <w:szCs w:val="22"/>
        </w:rPr>
        <w:t xml:space="preserve">It provides a stable planning framework that is not disrupted by changes in technology or organisational structure.</w:t>
      </w:r>
    </w:p>
    <w:p>
      <w:pPr>
        <w:pStyle w:val="ListParagraph"/>
        <w:numPr>
          <w:ilvl w:val="0"/>
          <w:numId w:val="2"/>
        </w:numPr>
        <w:spacing w:before="60" w:after="60"/>
      </w:pPr>
      <w:r>
        <w:rPr>
          <w:rFonts w:ascii="Arial" w:cs="Arial" w:eastAsia="Arial" w:hAnsi="Arial"/>
          <w:color w:val="2B2B2B"/>
          <w:sz w:val="22"/>
          <w:szCs w:val="22"/>
        </w:rPr>
        <w:t xml:space="preserve">It creates a clear narrative for senior stakeholders: we are improving these capabilities because they are critical to delivering these business outcomes.</w:t>
      </w:r>
    </w:p>
    <w:p>
      <w:pPr>
        <w:pStyle w:val="ListParagraph"/>
        <w:numPr>
          <w:ilvl w:val="0"/>
          <w:numId w:val="2"/>
        </w:numPr>
        <w:spacing w:before="60" w:after="60"/>
      </w:pPr>
      <w:r>
        <w:rPr>
          <w:rFonts w:ascii="Arial" w:cs="Arial" w:eastAsia="Arial" w:hAnsi="Arial"/>
          <w:color w:val="2B2B2B"/>
          <w:sz w:val="22"/>
          <w:szCs w:val="22"/>
        </w:rPr>
        <w:t xml:space="preserve">It enables measurement of transformation progress in business terms rather than technology delivery terms.</w:t>
      </w:r>
    </w:p>
    <w:p>
      <w:pPr>
        <w:spacing w:before="0" w:after="200"/>
      </w:pPr>
    </w:p>
    <w:p>
      <w:r>
        <w:br w:type="page"/>
      </w:r>
    </w:p>
    <w:p>
      <w:pPr>
        <w:pBdr>
          <w:bottom w:val="single" w:color="0070AD" w:sz="14" w:space="10"/>
        </w:pBdr>
        <w:spacing w:before="520" w:after="0"/>
      </w:pPr>
      <w:r>
        <w:rPr>
          <w:rFonts w:ascii="Arial" w:cs="Arial" w:eastAsia="Arial" w:hAnsi="Arial"/>
          <w:color w:val="555555"/>
          <w:sz w:val="22"/>
          <w:szCs w:val="22"/>
        </w:rPr>
        <w:t xml:space="preserve">Section 7   </w:t>
      </w:r>
      <w:r>
        <w:rPr>
          <w:rFonts w:ascii="Arial" w:cs="Arial" w:eastAsia="Arial" w:hAnsi="Arial"/>
          <w:b/>
          <w:bCs/>
          <w:color w:val="0070AD"/>
          <w:sz w:val="72"/>
          <w:szCs w:val="72"/>
        </w:rPr>
        <w:t xml:space="preserve">BLAC</w:t>
      </w:r>
      <w:r>
        <w:rPr>
          <w:rFonts w:ascii="Arial" w:cs="Arial" w:eastAsia="Arial" w:hAnsi="Arial"/>
          <w:color w:val="2B2B2B"/>
          <w:sz w:val="34"/>
          <w:szCs w:val="34"/>
        </w:rPr>
        <w:t xml:space="preserve">   in Digital Transformation</w:t>
      </w:r>
    </w:p>
    <w:p>
      <w:pPr>
        <w:spacing w:before="0" w:after="180"/>
      </w:pPr>
    </w:p>
    <w:p>
      <w:pPr>
        <w:pStyle w:val="Heading1"/>
        <w:pBdr>
          <w:bottom w:val="single" w:color="0070AD" w:sz="10" w:space="8"/>
        </w:pBdr>
        <w:spacing w:before="420" w:after="180"/>
      </w:pPr>
      <w:r>
        <w:rPr>
          <w:rFonts w:ascii="Arial" w:cs="Arial" w:eastAsia="Arial" w:hAnsi="Arial"/>
          <w:b/>
          <w:bCs/>
          <w:color w:val="0070AD"/>
          <w:sz w:val="38"/>
          <w:szCs w:val="38"/>
        </w:rPr>
        <w:t xml:space="preserve">7. BLAC in Digital Transformation</w:t>
      </w:r>
    </w:p>
    <w:p>
      <w:pPr>
        <w:spacing w:before="80" w:after="120"/>
        <w:jc w:val="both"/>
      </w:pPr>
      <w:r>
        <w:rPr>
          <w:rFonts w:ascii="Arial" w:cs="Arial" w:eastAsia="Arial" w:hAnsi="Arial"/>
          <w:color w:val="2B2B2B"/>
          <w:sz w:val="22"/>
          <w:szCs w:val="22"/>
        </w:rPr>
        <w:t xml:space="preserve">Digital transformation programmes are among the most complex and high-risk initiatives an organisation can undertake. They span multiple business domains, involve significant technology change, and require sustained organisational commitment over several years. BLAC provides the framework needed to manage this complexity.</w:t>
      </w:r>
    </w:p>
    <w:p>
      <w:pPr>
        <w:spacing w:before="0" w:after="120"/>
      </w:pPr>
    </w:p>
    <w:p>
      <w:pPr>
        <w:pStyle w:val="Heading2"/>
        <w:spacing w:before="300" w:after="120"/>
      </w:pPr>
      <w:r>
        <w:rPr>
          <w:rFonts w:ascii="Arial" w:cs="Arial" w:eastAsia="Arial" w:hAnsi="Arial"/>
          <w:b/>
          <w:bCs/>
          <w:color w:val="00477A"/>
          <w:sz w:val="28"/>
          <w:szCs w:val="28"/>
        </w:rPr>
        <w:t xml:space="preserve">7.1 How BLAC Supports Transformation Programmes</w:t>
      </w:r>
    </w:p>
    <w:p>
      <w:pPr>
        <w:spacing w:before="80" w:after="120"/>
        <w:jc w:val="both"/>
      </w:pPr>
      <w:r>
        <w:rPr>
          <w:rFonts w:ascii="Arial" w:cs="Arial" w:eastAsia="Arial" w:hAnsi="Arial"/>
          <w:color w:val="2B2B2B"/>
          <w:sz w:val="22"/>
          <w:szCs w:val="22"/>
        </w:rPr>
        <w:t xml:space="preserve">BLAC supports transformation programmes by providing a common framework that connects all four dimensions of the enterprise throughout the transformation lifecycle. From initial assessment to target state definition to delivery governance, BLAC ensures that each phase of the transformation is grounded in a complete and consistent understanding of the enterprise.</w:t>
      </w:r>
    </w:p>
    <w:p>
      <w:pPr>
        <w:spacing w:before="80" w:after="120"/>
        <w:jc w:val="both"/>
      </w:pPr>
      <w:r>
        <w:rPr>
          <w:rFonts w:ascii="Arial" w:cs="Arial" w:eastAsia="Arial" w:hAnsi="Arial"/>
          <w:color w:val="2B2B2B"/>
          <w:sz w:val="22"/>
          <w:szCs w:val="22"/>
        </w:rPr>
        <w:t xml:space="preserve">The BLAC framework contributes to digital transformation at each stage.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Transformation Stage</w:t>
            </w:r>
          </w:p>
        </w:tc>
        <w:tc>
          <w:tcPr>
            <w:tcW w:type="dxa" w:w="616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BLAC Contribution</w:t>
            </w:r>
          </w:p>
        </w:tc>
      </w:tr>
      <w:tr>
        <w:tc>
          <w:tcPr>
            <w:tcW w:type="dxa" w:w="32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Discovery and Assessment</w:t>
            </w:r>
          </w:p>
        </w:tc>
        <w:tc>
          <w:tcPr>
            <w:tcW w:type="dxa" w:w="61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BLAC provides the structure for assessing the current state across all four dimensions: business strategy, existing landscape, architecture health, and capability maturity.</w:t>
            </w:r>
          </w:p>
        </w:tc>
      </w:tr>
      <w:tr>
        <w:tc>
          <w:tcPr>
            <w:tcW w:type="dxa" w:w="32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Vision and Target State</w:t>
            </w:r>
          </w:p>
        </w:tc>
        <w:tc>
          <w:tcPr>
            <w:tcW w:type="dxa" w:w="61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BLAC enables the definition of a target state that is coherent across all four dimensions, ensuring business, landscape, architecture, and capability views are aligned.</w:t>
            </w:r>
          </w:p>
        </w:tc>
      </w:tr>
      <w:tr>
        <w:tc>
          <w:tcPr>
            <w:tcW w:type="dxa" w:w="32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Transformation Planning</w:t>
            </w:r>
          </w:p>
        </w:tc>
        <w:tc>
          <w:tcPr>
            <w:tcW w:type="dxa" w:w="61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BLAC's capability-driven approach provides the basis for prioritising transformation initiatives and sequencing them into a realistic roadmap.</w:t>
            </w:r>
          </w:p>
        </w:tc>
      </w:tr>
      <w:tr>
        <w:tc>
          <w:tcPr>
            <w:tcW w:type="dxa" w:w="32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Delivery Governance</w:t>
            </w:r>
          </w:p>
        </w:tc>
        <w:tc>
          <w:tcPr>
            <w:tcW w:type="dxa" w:w="61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BLAC's architecture governance mechanisms ensure that delivery remains aligned with the target architecture and that decisions are made consistently.</w:t>
            </w:r>
          </w:p>
        </w:tc>
      </w:tr>
      <w:tr>
        <w:tc>
          <w:tcPr>
            <w:tcW w:type="dxa" w:w="32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Benefits Realisation</w:t>
            </w:r>
          </w:p>
        </w:tc>
        <w:tc>
          <w:tcPr>
            <w:tcW w:type="dxa" w:w="61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BLAC's business outcome and capability maturity perspectives provide the measures needed to demonstrate that transformation has delivered its intended value.</w:t>
            </w:r>
          </w:p>
        </w:tc>
      </w:tr>
    </w:tbl>
    <w:p>
      <w:pPr>
        <w:spacing w:before="0" w:after="160"/>
      </w:pPr>
    </w:p>
    <w:p>
      <w:pPr>
        <w:pStyle w:val="Heading2"/>
        <w:spacing w:before="300" w:after="120"/>
      </w:pPr>
      <w:r>
        <w:rPr>
          <w:rFonts w:ascii="Arial" w:cs="Arial" w:eastAsia="Arial" w:hAnsi="Arial"/>
          <w:b/>
          <w:bCs/>
          <w:color w:val="00477A"/>
          <w:sz w:val="28"/>
          <w:szCs w:val="28"/>
        </w:rPr>
        <w:t xml:space="preserve">7.2 Mapping Business Capabilities to Technology Solutions</w:t>
      </w:r>
    </w:p>
    <w:p>
      <w:pPr>
        <w:spacing w:before="80" w:after="120"/>
        <w:jc w:val="both"/>
      </w:pPr>
      <w:r>
        <w:rPr>
          <w:rFonts w:ascii="Arial" w:cs="Arial" w:eastAsia="Arial" w:hAnsi="Arial"/>
          <w:color w:val="2B2B2B"/>
          <w:sz w:val="22"/>
          <w:szCs w:val="22"/>
        </w:rPr>
        <w:t xml:space="preserve">One of the most important activities in a BLAC-driven transformation is mapping business capabilities to the technology solutions that support them. This mapping reveals where the current technology estate is well-aligned with business needs and where it is not.</w:t>
      </w:r>
    </w:p>
    <w:p>
      <w:pPr>
        <w:spacing w:before="80" w:after="120"/>
        <w:jc w:val="both"/>
      </w:pPr>
      <w:r>
        <w:rPr>
          <w:rFonts w:ascii="Arial" w:cs="Arial" w:eastAsia="Arial" w:hAnsi="Arial"/>
          <w:color w:val="2B2B2B"/>
          <w:sz w:val="22"/>
          <w:szCs w:val="22"/>
        </w:rPr>
        <w:t xml:space="preserve">The mapping process follows a structured sequence.</w:t>
      </w:r>
    </w:p>
    <w:p>
      <w:pPr>
        <w:pStyle w:val="ListParagraph"/>
        <w:numPr>
          <w:ilvl w:val="0"/>
          <w:numId w:val="3"/>
        </w:numPr>
        <w:spacing w:before="60" w:after="60"/>
      </w:pPr>
      <w:r>
        <w:rPr>
          <w:rFonts w:ascii="Arial" w:cs="Arial" w:eastAsia="Arial" w:hAnsi="Arial"/>
          <w:color w:val="2B2B2B"/>
          <w:sz w:val="22"/>
          <w:szCs w:val="22"/>
        </w:rPr>
        <w:t xml:space="preserve">Define the Business Capability Map for the relevant scope of the transformation.</w:t>
      </w:r>
    </w:p>
    <w:p>
      <w:pPr>
        <w:pStyle w:val="ListParagraph"/>
        <w:numPr>
          <w:ilvl w:val="0"/>
          <w:numId w:val="3"/>
        </w:numPr>
        <w:spacing w:before="60" w:after="60"/>
      </w:pPr>
      <w:r>
        <w:rPr>
          <w:rFonts w:ascii="Arial" w:cs="Arial" w:eastAsia="Arial" w:hAnsi="Arial"/>
          <w:color w:val="2B2B2B"/>
          <w:sz w:val="22"/>
          <w:szCs w:val="22"/>
        </w:rPr>
        <w:t xml:space="preserve">Assess the maturity of each capability in the current state.</w:t>
      </w:r>
    </w:p>
    <w:p>
      <w:pPr>
        <w:pStyle w:val="ListParagraph"/>
        <w:numPr>
          <w:ilvl w:val="0"/>
          <w:numId w:val="3"/>
        </w:numPr>
        <w:spacing w:before="60" w:after="60"/>
      </w:pPr>
      <w:r>
        <w:rPr>
          <w:rFonts w:ascii="Arial" w:cs="Arial" w:eastAsia="Arial" w:hAnsi="Arial"/>
          <w:color w:val="2B2B2B"/>
          <w:sz w:val="22"/>
          <w:szCs w:val="22"/>
        </w:rPr>
        <w:t xml:space="preserve">Identify the target maturity for each capability based on strategic requirements.</w:t>
      </w:r>
    </w:p>
    <w:p>
      <w:pPr>
        <w:pStyle w:val="ListParagraph"/>
        <w:numPr>
          <w:ilvl w:val="0"/>
          <w:numId w:val="3"/>
        </w:numPr>
        <w:spacing w:before="60" w:after="60"/>
      </w:pPr>
      <w:r>
        <w:rPr>
          <w:rFonts w:ascii="Arial" w:cs="Arial" w:eastAsia="Arial" w:hAnsi="Arial"/>
          <w:color w:val="2B2B2B"/>
          <w:sz w:val="22"/>
          <w:szCs w:val="22"/>
        </w:rPr>
        <w:t xml:space="preserve">Map current applications and systems to the capabilities they support.</w:t>
      </w:r>
    </w:p>
    <w:p>
      <w:pPr>
        <w:pStyle w:val="ListParagraph"/>
        <w:numPr>
          <w:ilvl w:val="0"/>
          <w:numId w:val="3"/>
        </w:numPr>
        <w:spacing w:before="60" w:after="60"/>
      </w:pPr>
      <w:r>
        <w:rPr>
          <w:rFonts w:ascii="Arial" w:cs="Arial" w:eastAsia="Arial" w:hAnsi="Arial"/>
          <w:color w:val="2B2B2B"/>
          <w:sz w:val="22"/>
          <w:szCs w:val="22"/>
        </w:rPr>
        <w:t xml:space="preserve">Identify capability gaps where the current technology estate does not adequately support the required capability.</w:t>
      </w:r>
    </w:p>
    <w:p>
      <w:pPr>
        <w:pStyle w:val="ListParagraph"/>
        <w:numPr>
          <w:ilvl w:val="0"/>
          <w:numId w:val="3"/>
        </w:numPr>
        <w:spacing w:before="60" w:after="60"/>
      </w:pPr>
      <w:r>
        <w:rPr>
          <w:rFonts w:ascii="Arial" w:cs="Arial" w:eastAsia="Arial" w:hAnsi="Arial"/>
          <w:color w:val="2B2B2B"/>
          <w:sz w:val="22"/>
          <w:szCs w:val="22"/>
        </w:rPr>
        <w:t xml:space="preserve">Design the target technology solutions needed to close those gaps.</w:t>
      </w:r>
    </w:p>
    <w:p>
      <w:pPr>
        <w:pStyle w:val="ListParagraph"/>
        <w:numPr>
          <w:ilvl w:val="0"/>
          <w:numId w:val="3"/>
        </w:numPr>
        <w:spacing w:before="60" w:after="60"/>
      </w:pPr>
      <w:r>
        <w:rPr>
          <w:rFonts w:ascii="Arial" w:cs="Arial" w:eastAsia="Arial" w:hAnsi="Arial"/>
          <w:color w:val="2B2B2B"/>
          <w:sz w:val="22"/>
          <w:szCs w:val="22"/>
        </w:rPr>
        <w:t xml:space="preserve">Develop a prioritised roadmap to deliver those solutions.</w:t>
      </w:r>
    </w:p>
    <w:p>
      <w:pPr>
        <w:spacing w:before="80" w:after="120"/>
        <w:jc w:val="both"/>
      </w:pPr>
      <w:r>
        <w:rPr>
          <w:rFonts w:ascii="Arial" w:cs="Arial" w:eastAsia="Arial" w:hAnsi="Arial"/>
          <w:color w:val="2B2B2B"/>
          <w:sz w:val="22"/>
          <w:szCs w:val="22"/>
        </w:rPr>
        <w:t xml:space="preserve">This approach ensures that every technology investment is directly connected to a capability improvement, which is in turn connected to a strategic business outcome.</w:t>
      </w:r>
    </w:p>
    <w:p>
      <w:pPr>
        <w:spacing w:before="0" w:after="120"/>
      </w:pPr>
    </w:p>
    <w:p>
      <w:pPr>
        <w:pStyle w:val="Heading2"/>
        <w:spacing w:before="300" w:after="120"/>
      </w:pPr>
      <w:r>
        <w:rPr>
          <w:rFonts w:ascii="Arial" w:cs="Arial" w:eastAsia="Arial" w:hAnsi="Arial"/>
          <w:b/>
          <w:bCs/>
          <w:color w:val="00477A"/>
          <w:sz w:val="28"/>
          <w:szCs w:val="28"/>
        </w:rPr>
        <w:t xml:space="preserve">7.3 Architecture-Driven Planning</w:t>
      </w:r>
    </w:p>
    <w:p>
      <w:pPr>
        <w:spacing w:before="80" w:after="120"/>
        <w:jc w:val="both"/>
      </w:pPr>
      <w:r>
        <w:rPr>
          <w:rFonts w:ascii="Arial" w:cs="Arial" w:eastAsia="Arial" w:hAnsi="Arial"/>
          <w:color w:val="2B2B2B"/>
          <w:sz w:val="22"/>
          <w:szCs w:val="22"/>
        </w:rPr>
        <w:t xml:space="preserve">Architecture-driven planning means using the architecture dimension of BLAC to inform and structure programme and portfolio planning. Rather than planning transformation as a collection of technology projects, architecture-driven planning organises work around architecture building blocks, transition architectures, and delivery work packages.</w:t>
      </w:r>
    </w:p>
    <w:p>
      <w:pPr>
        <w:spacing w:before="80" w:after="120"/>
        <w:jc w:val="both"/>
      </w:pPr>
      <w:r>
        <w:rPr>
          <w:rFonts w:ascii="Arial" w:cs="Arial" w:eastAsia="Arial" w:hAnsi="Arial"/>
          <w:color w:val="2B2B2B"/>
          <w:sz w:val="22"/>
          <w:szCs w:val="22"/>
        </w:rPr>
        <w:t xml:space="preserve">The key outputs of architecture-driven planning include:</w:t>
      </w:r>
    </w:p>
    <w:p>
      <w:pPr>
        <w:pStyle w:val="ListParagraph"/>
        <w:numPr>
          <w:ilvl w:val="0"/>
          <w:numId w:val="2"/>
        </w:numPr>
        <w:spacing w:before="60" w:after="60"/>
      </w:pPr>
      <w:r>
        <w:rPr>
          <w:rFonts w:ascii="Arial" w:cs="Arial" w:eastAsia="Arial" w:hAnsi="Arial"/>
          <w:color w:val="2B2B2B"/>
          <w:sz w:val="22"/>
          <w:szCs w:val="22"/>
        </w:rPr>
        <w:t xml:space="preserve">A Target Architecture that describes the desired end state across all architecture layers.</w:t>
      </w:r>
    </w:p>
    <w:p>
      <w:pPr>
        <w:pStyle w:val="ListParagraph"/>
        <w:numPr>
          <w:ilvl w:val="0"/>
          <w:numId w:val="2"/>
        </w:numPr>
        <w:spacing w:before="60" w:after="60"/>
      </w:pPr>
      <w:r>
        <w:rPr>
          <w:rFonts w:ascii="Arial" w:cs="Arial" w:eastAsia="Arial" w:hAnsi="Arial"/>
          <w:color w:val="2B2B2B"/>
          <w:sz w:val="22"/>
          <w:szCs w:val="22"/>
        </w:rPr>
        <w:t xml:space="preserve">Transition Architectures that represent stable intermediate states on the journey to the target.</w:t>
      </w:r>
    </w:p>
    <w:p>
      <w:pPr>
        <w:pStyle w:val="ListParagraph"/>
        <w:numPr>
          <w:ilvl w:val="0"/>
          <w:numId w:val="2"/>
        </w:numPr>
        <w:spacing w:before="60" w:after="60"/>
      </w:pPr>
      <w:r>
        <w:rPr>
          <w:rFonts w:ascii="Arial" w:cs="Arial" w:eastAsia="Arial" w:hAnsi="Arial"/>
          <w:color w:val="2B2B2B"/>
          <w:sz w:val="22"/>
          <w:szCs w:val="22"/>
        </w:rPr>
        <w:t xml:space="preserve">An Architecture Roadmap that sequences delivery work packages to build toward the target architecture.</w:t>
      </w:r>
    </w:p>
    <w:p>
      <w:pPr>
        <w:pStyle w:val="ListParagraph"/>
        <w:numPr>
          <w:ilvl w:val="0"/>
          <w:numId w:val="2"/>
        </w:numPr>
        <w:spacing w:before="60" w:after="60"/>
      </w:pPr>
      <w:r>
        <w:rPr>
          <w:rFonts w:ascii="Arial" w:cs="Arial" w:eastAsia="Arial" w:hAnsi="Arial"/>
          <w:color w:val="2B2B2B"/>
          <w:sz w:val="22"/>
          <w:szCs w:val="22"/>
        </w:rPr>
        <w:t xml:space="preserve">Architecture guardrails that define the constraints within which delivery teams must operate.</w:t>
      </w:r>
    </w:p>
    <w:p>
      <w:pPr>
        <w:spacing w:before="0" w:after="200"/>
      </w:pPr>
    </w:p>
    <w:p>
      <w:r>
        <w:br w:type="page"/>
      </w:r>
    </w:p>
    <w:p>
      <w:pPr>
        <w:pBdr>
          <w:bottom w:val="single" w:color="0070AD" w:sz="14" w:space="10"/>
        </w:pBdr>
        <w:spacing w:before="520" w:after="0"/>
      </w:pPr>
      <w:r>
        <w:rPr>
          <w:rFonts w:ascii="Arial" w:cs="Arial" w:eastAsia="Arial" w:hAnsi="Arial"/>
          <w:color w:val="555555"/>
          <w:sz w:val="22"/>
          <w:szCs w:val="22"/>
        </w:rPr>
        <w:t xml:space="preserve">Section 8   </w:t>
      </w:r>
      <w:r>
        <w:rPr>
          <w:rFonts w:ascii="Arial" w:cs="Arial" w:eastAsia="Arial" w:hAnsi="Arial"/>
          <w:b/>
          <w:bCs/>
          <w:color w:val="0070AD"/>
          <w:sz w:val="72"/>
          <w:szCs w:val="72"/>
        </w:rPr>
        <w:t xml:space="preserve">Artefacts</w:t>
      </w:r>
      <w:r>
        <w:rPr>
          <w:rFonts w:ascii="Arial" w:cs="Arial" w:eastAsia="Arial" w:hAnsi="Arial"/>
          <w:color w:val="2B2B2B"/>
          <w:sz w:val="34"/>
          <w:szCs w:val="34"/>
        </w:rPr>
        <w:t xml:space="preserve">   Used in BLAC</w:t>
      </w:r>
    </w:p>
    <w:p>
      <w:pPr>
        <w:spacing w:before="0" w:after="180"/>
      </w:pPr>
    </w:p>
    <w:p>
      <w:pPr>
        <w:pStyle w:val="Heading1"/>
        <w:pBdr>
          <w:bottom w:val="single" w:color="0070AD" w:sz="10" w:space="8"/>
        </w:pBdr>
        <w:spacing w:before="420" w:after="180"/>
      </w:pPr>
      <w:r>
        <w:rPr>
          <w:rFonts w:ascii="Arial" w:cs="Arial" w:eastAsia="Arial" w:hAnsi="Arial"/>
          <w:b/>
          <w:bCs/>
          <w:color w:val="0070AD"/>
          <w:sz w:val="38"/>
          <w:szCs w:val="38"/>
        </w:rPr>
        <w:t xml:space="preserve">8. Architecture Artefacts Used in BLAC</w:t>
      </w:r>
    </w:p>
    <w:p>
      <w:pPr>
        <w:spacing w:before="80" w:after="120"/>
        <w:jc w:val="both"/>
      </w:pPr>
      <w:r>
        <w:rPr>
          <w:rFonts w:ascii="Arial" w:cs="Arial" w:eastAsia="Arial" w:hAnsi="Arial"/>
          <w:color w:val="2B2B2B"/>
          <w:sz w:val="22"/>
          <w:szCs w:val="22"/>
        </w:rPr>
        <w:t xml:space="preserve">Architecture artefacts are the documented outputs of BLAC analysis and design work. They translate complex architecture work into forms that can be understood, reviewed, and acted upon by a wide range of stakeholders. Well-maintained artefacts are essential for governance, delivery, and knowledge management.</w:t>
      </w:r>
    </w:p>
    <w:p>
      <w:pPr>
        <w:spacing w:before="0" w:after="120"/>
      </w:pPr>
    </w:p>
    <w:p>
      <w:pPr>
        <w:pStyle w:val="Heading2"/>
        <w:spacing w:before="300" w:after="120"/>
      </w:pPr>
      <w:r>
        <w:rPr>
          <w:rFonts w:ascii="Arial" w:cs="Arial" w:eastAsia="Arial" w:hAnsi="Arial"/>
          <w:b/>
          <w:bCs/>
          <w:color w:val="00477A"/>
          <w:sz w:val="28"/>
          <w:szCs w:val="28"/>
        </w:rPr>
        <w:t xml:space="preserve">8.1 Capability Maps</w:t>
      </w:r>
    </w:p>
    <w:p>
      <w:pPr>
        <w:spacing w:before="80" w:after="120"/>
        <w:jc w:val="both"/>
      </w:pPr>
      <w:r>
        <w:rPr>
          <w:rFonts w:ascii="Arial" w:cs="Arial" w:eastAsia="Arial" w:hAnsi="Arial"/>
          <w:color w:val="2B2B2B"/>
          <w:sz w:val="22"/>
          <w:szCs w:val="22"/>
        </w:rPr>
        <w:t xml:space="preserve">A Capability Map is the primary artefact of the Capability dimension. It presents the full hierarchy of business capabilities in a visual, structured format. Capability maps are used throughout the transformation lifecycle.</w:t>
      </w:r>
    </w:p>
    <w:p>
      <w:pPr>
        <w:spacing w:before="80" w:after="120"/>
        <w:jc w:val="both"/>
      </w:pPr>
      <w:r>
        <w:rPr>
          <w:rFonts w:ascii="Arial" w:cs="Arial" w:eastAsia="Arial" w:hAnsi="Arial"/>
          <w:color w:val="2B2B2B"/>
          <w:sz w:val="22"/>
          <w:szCs w:val="22"/>
        </w:rPr>
        <w:t xml:space="preserve">A well-constructed capability map includes the following features.</w:t>
      </w:r>
    </w:p>
    <w:p>
      <w:pPr>
        <w:pStyle w:val="ListParagraph"/>
        <w:numPr>
          <w:ilvl w:val="0"/>
          <w:numId w:val="2"/>
        </w:numPr>
        <w:spacing w:before="60" w:after="60"/>
      </w:pPr>
      <w:r>
        <w:rPr>
          <w:rFonts w:ascii="Arial" w:cs="Arial" w:eastAsia="Arial" w:hAnsi="Arial"/>
          <w:color w:val="2B2B2B"/>
          <w:sz w:val="22"/>
          <w:szCs w:val="22"/>
        </w:rPr>
        <w:t xml:space="preserve">A clear hierarchy of capability domains, capabilities, and sub-capabilities.</w:t>
      </w:r>
    </w:p>
    <w:p>
      <w:pPr>
        <w:pStyle w:val="ListParagraph"/>
        <w:numPr>
          <w:ilvl w:val="0"/>
          <w:numId w:val="2"/>
        </w:numPr>
        <w:spacing w:before="60" w:after="60"/>
      </w:pPr>
      <w:r>
        <w:rPr>
          <w:rFonts w:ascii="Arial" w:cs="Arial" w:eastAsia="Arial" w:hAnsi="Arial"/>
          <w:color w:val="2B2B2B"/>
          <w:sz w:val="22"/>
          <w:szCs w:val="22"/>
        </w:rPr>
        <w:t xml:space="preserve">Heat mapping to show the current maturity or investment priority of each capability.</w:t>
      </w:r>
    </w:p>
    <w:p>
      <w:pPr>
        <w:pStyle w:val="ListParagraph"/>
        <w:numPr>
          <w:ilvl w:val="0"/>
          <w:numId w:val="2"/>
        </w:numPr>
        <w:spacing w:before="60" w:after="60"/>
      </w:pPr>
      <w:r>
        <w:rPr>
          <w:rFonts w:ascii="Arial" w:cs="Arial" w:eastAsia="Arial" w:hAnsi="Arial"/>
          <w:color w:val="2B2B2B"/>
          <w:sz w:val="22"/>
          <w:szCs w:val="22"/>
        </w:rPr>
        <w:t xml:space="preserve">Colour coding to highlight capabilities that are in scope for transformation.</w:t>
      </w:r>
    </w:p>
    <w:p>
      <w:pPr>
        <w:pStyle w:val="ListParagraph"/>
        <w:numPr>
          <w:ilvl w:val="0"/>
          <w:numId w:val="2"/>
        </w:numPr>
        <w:spacing w:before="60" w:after="60"/>
      </w:pPr>
      <w:r>
        <w:rPr>
          <w:rFonts w:ascii="Arial" w:cs="Arial" w:eastAsia="Arial" w:hAnsi="Arial"/>
          <w:color w:val="2B2B2B"/>
          <w:sz w:val="22"/>
          <w:szCs w:val="22"/>
        </w:rPr>
        <w:t xml:space="preserve">Annotations linking capabilities to the value streams they support.</w:t>
      </w:r>
    </w:p>
    <w:p>
      <w:pPr>
        <w:spacing w:before="80" w:after="120"/>
        <w:jc w:val="both"/>
      </w:pPr>
      <w:r>
        <w:rPr>
          <w:rFonts w:ascii="Arial" w:cs="Arial" w:eastAsia="Arial" w:hAnsi="Arial"/>
          <w:color w:val="2B2B2B"/>
          <w:sz w:val="22"/>
          <w:szCs w:val="22"/>
        </w:rPr>
        <w:t xml:space="preserve">Capability maps are typically the single most effective artefact for engaging senior business stakeholders. They present the transformation agenda in business language, without requiring any technical knowledge to interpret.</w:t>
      </w:r>
    </w:p>
    <w:p>
      <w:pPr>
        <w:spacing w:before="0" w:after="120"/>
      </w:pPr>
    </w:p>
    <w:p>
      <w:pPr>
        <w:pStyle w:val="Heading2"/>
        <w:spacing w:before="300" w:after="120"/>
      </w:pPr>
      <w:r>
        <w:rPr>
          <w:rFonts w:ascii="Arial" w:cs="Arial" w:eastAsia="Arial" w:hAnsi="Arial"/>
          <w:b/>
          <w:bCs/>
          <w:color w:val="00477A"/>
          <w:sz w:val="28"/>
          <w:szCs w:val="28"/>
        </w:rPr>
        <w:t xml:space="preserve">8.2 Architecture Diagrams</w:t>
      </w:r>
    </w:p>
    <w:p>
      <w:pPr>
        <w:spacing w:before="80" w:after="120"/>
        <w:jc w:val="both"/>
      </w:pPr>
      <w:r>
        <w:rPr>
          <w:rFonts w:ascii="Arial" w:cs="Arial" w:eastAsia="Arial" w:hAnsi="Arial"/>
          <w:color w:val="2B2B2B"/>
          <w:sz w:val="22"/>
          <w:szCs w:val="22"/>
        </w:rPr>
        <w:t xml:space="preserve">Architecture diagrams provide visual representations of the architecture across all layers and dimensions. They communicate design decisions to both technical and non-technical audiences. Common diagram types within BLAC include:</w:t>
      </w:r>
    </w:p>
    <w:p>
      <w:pPr>
        <w:pStyle w:val="ListParagraph"/>
        <w:numPr>
          <w:ilvl w:val="0"/>
          <w:numId w:val="2"/>
        </w:numPr>
        <w:spacing w:before="60" w:after="60"/>
      </w:pPr>
      <w:r>
        <w:rPr>
          <w:rFonts w:ascii="Arial" w:cs="Arial" w:eastAsia="Arial" w:hAnsi="Arial"/>
          <w:color w:val="2B2B2B"/>
          <w:sz w:val="22"/>
          <w:szCs w:val="22"/>
        </w:rPr>
        <w:t xml:space="preserve">Context diagrams: showing the system in relation to its external environment and dependencies.</w:t>
      </w:r>
    </w:p>
    <w:p>
      <w:pPr>
        <w:pStyle w:val="ListParagraph"/>
        <w:numPr>
          <w:ilvl w:val="0"/>
          <w:numId w:val="2"/>
        </w:numPr>
        <w:spacing w:before="60" w:after="60"/>
      </w:pPr>
      <w:r>
        <w:rPr>
          <w:rFonts w:ascii="Arial" w:cs="Arial" w:eastAsia="Arial" w:hAnsi="Arial"/>
          <w:color w:val="2B2B2B"/>
          <w:sz w:val="22"/>
          <w:szCs w:val="22"/>
        </w:rPr>
        <w:t xml:space="preserve">Capability-to-application maps: showing which applications support which capabilities.</w:t>
      </w:r>
    </w:p>
    <w:p>
      <w:pPr>
        <w:pStyle w:val="ListParagraph"/>
        <w:numPr>
          <w:ilvl w:val="0"/>
          <w:numId w:val="2"/>
        </w:numPr>
        <w:spacing w:before="60" w:after="60"/>
      </w:pPr>
      <w:r>
        <w:rPr>
          <w:rFonts w:ascii="Arial" w:cs="Arial" w:eastAsia="Arial" w:hAnsi="Arial"/>
          <w:color w:val="2B2B2B"/>
          <w:sz w:val="22"/>
          <w:szCs w:val="22"/>
        </w:rPr>
        <w:t xml:space="preserve">Application interaction diagrams: showing how applications exchange data and invoke services.</w:t>
      </w:r>
    </w:p>
    <w:p>
      <w:pPr>
        <w:pStyle w:val="ListParagraph"/>
        <w:numPr>
          <w:ilvl w:val="0"/>
          <w:numId w:val="2"/>
        </w:numPr>
        <w:spacing w:before="60" w:after="60"/>
      </w:pPr>
      <w:r>
        <w:rPr>
          <w:rFonts w:ascii="Arial" w:cs="Arial" w:eastAsia="Arial" w:hAnsi="Arial"/>
          <w:color w:val="2B2B2B"/>
          <w:sz w:val="22"/>
          <w:szCs w:val="22"/>
        </w:rPr>
        <w:t xml:space="preserve">Integration architecture diagrams: mapping the flows of data between systems through integration layers.</w:t>
      </w:r>
    </w:p>
    <w:p>
      <w:pPr>
        <w:pStyle w:val="ListParagraph"/>
        <w:numPr>
          <w:ilvl w:val="0"/>
          <w:numId w:val="2"/>
        </w:numPr>
        <w:spacing w:before="60" w:after="60"/>
      </w:pPr>
      <w:r>
        <w:rPr>
          <w:rFonts w:ascii="Arial" w:cs="Arial" w:eastAsia="Arial" w:hAnsi="Arial"/>
          <w:color w:val="2B2B2B"/>
          <w:sz w:val="22"/>
          <w:szCs w:val="22"/>
        </w:rPr>
        <w:t xml:space="preserve">Infrastructure and cloud diagrams: showing the physical and logical structure of the technology platform.</w:t>
      </w:r>
    </w:p>
    <w:p>
      <w:pPr>
        <w:pStyle w:val="ListParagraph"/>
        <w:numPr>
          <w:ilvl w:val="0"/>
          <w:numId w:val="2"/>
        </w:numPr>
        <w:spacing w:before="60" w:after="60"/>
      </w:pPr>
      <w:r>
        <w:rPr>
          <w:rFonts w:ascii="Arial" w:cs="Arial" w:eastAsia="Arial" w:hAnsi="Arial"/>
          <w:color w:val="2B2B2B"/>
          <w:sz w:val="22"/>
          <w:szCs w:val="22"/>
        </w:rPr>
        <w:t xml:space="preserve">Data flow diagrams: tracing the movement of key data entities across the landscape.</w:t>
      </w:r>
    </w:p>
    <w:p>
      <w:pPr>
        <w:spacing w:before="0" w:after="120"/>
      </w:pPr>
    </w:p>
    <w:p>
      <w:pPr>
        <w:pStyle w:val="Heading2"/>
        <w:spacing w:before="300" w:after="120"/>
      </w:pPr>
      <w:r>
        <w:rPr>
          <w:rFonts w:ascii="Arial" w:cs="Arial" w:eastAsia="Arial" w:hAnsi="Arial"/>
          <w:b/>
          <w:bCs/>
          <w:color w:val="00477A"/>
          <w:sz w:val="28"/>
          <w:szCs w:val="28"/>
        </w:rPr>
        <w:t xml:space="preserve">8.3 Architecture Roadmaps</w:t>
      </w:r>
    </w:p>
    <w:p>
      <w:pPr>
        <w:spacing w:before="80" w:after="120"/>
        <w:jc w:val="both"/>
      </w:pPr>
      <w:r>
        <w:rPr>
          <w:rFonts w:ascii="Arial" w:cs="Arial" w:eastAsia="Arial" w:hAnsi="Arial"/>
          <w:color w:val="2B2B2B"/>
          <w:sz w:val="22"/>
          <w:szCs w:val="22"/>
        </w:rPr>
        <w:t xml:space="preserve">An Architecture Roadmap defines the sequence and timing of transformation initiatives required to move from the current state to the target state. It organises work into phases or waves, each of which delivers a defined set of capability improvements and architecture changes.</w:t>
      </w:r>
    </w:p>
    <w:p>
      <w:pPr>
        <w:spacing w:before="80" w:after="120"/>
        <w:jc w:val="both"/>
      </w:pPr>
      <w:r>
        <w:rPr>
          <w:rFonts w:ascii="Arial" w:cs="Arial" w:eastAsia="Arial" w:hAnsi="Arial"/>
          <w:color w:val="2B2B2B"/>
          <w:sz w:val="22"/>
          <w:szCs w:val="22"/>
        </w:rPr>
        <w:t xml:space="preserve">A well-structured architecture roadmap includes:</w:t>
      </w:r>
    </w:p>
    <w:p>
      <w:pPr>
        <w:pStyle w:val="ListParagraph"/>
        <w:numPr>
          <w:ilvl w:val="0"/>
          <w:numId w:val="2"/>
        </w:numPr>
        <w:spacing w:before="60" w:after="60"/>
      </w:pPr>
      <w:r>
        <w:rPr>
          <w:rFonts w:ascii="Arial" w:cs="Arial" w:eastAsia="Arial" w:hAnsi="Arial"/>
          <w:color w:val="2B2B2B"/>
          <w:sz w:val="22"/>
          <w:szCs w:val="22"/>
        </w:rPr>
        <w:t xml:space="preserve">A clear baseline showing the current state of the architecture.</w:t>
      </w:r>
    </w:p>
    <w:p>
      <w:pPr>
        <w:pStyle w:val="ListParagraph"/>
        <w:numPr>
          <w:ilvl w:val="0"/>
          <w:numId w:val="2"/>
        </w:numPr>
        <w:spacing w:before="60" w:after="60"/>
      </w:pPr>
      <w:r>
        <w:rPr>
          <w:rFonts w:ascii="Arial" w:cs="Arial" w:eastAsia="Arial" w:hAnsi="Arial"/>
          <w:color w:val="2B2B2B"/>
          <w:sz w:val="22"/>
          <w:szCs w:val="22"/>
        </w:rPr>
        <w:t xml:space="preserve">A defined target architecture representing the desired end state.</w:t>
      </w:r>
    </w:p>
    <w:p>
      <w:pPr>
        <w:pStyle w:val="ListParagraph"/>
        <w:numPr>
          <w:ilvl w:val="0"/>
          <w:numId w:val="2"/>
        </w:numPr>
        <w:spacing w:before="60" w:after="60"/>
      </w:pPr>
      <w:r>
        <w:rPr>
          <w:rFonts w:ascii="Arial" w:cs="Arial" w:eastAsia="Arial" w:hAnsi="Arial"/>
          <w:color w:val="2B2B2B"/>
          <w:sz w:val="22"/>
          <w:szCs w:val="22"/>
        </w:rPr>
        <w:t xml:space="preserve">Transition architectures representing stable intermediate states.</w:t>
      </w:r>
    </w:p>
    <w:p>
      <w:pPr>
        <w:pStyle w:val="ListParagraph"/>
        <w:numPr>
          <w:ilvl w:val="0"/>
          <w:numId w:val="2"/>
        </w:numPr>
        <w:spacing w:before="60" w:after="60"/>
      </w:pPr>
      <w:r>
        <w:rPr>
          <w:rFonts w:ascii="Arial" w:cs="Arial" w:eastAsia="Arial" w:hAnsi="Arial"/>
          <w:color w:val="2B2B2B"/>
          <w:sz w:val="22"/>
          <w:szCs w:val="22"/>
        </w:rPr>
        <w:t xml:space="preserve">Delivery work packages organised into phases, with dependencies clearly identified.</w:t>
      </w:r>
    </w:p>
    <w:p>
      <w:pPr>
        <w:pStyle w:val="ListParagraph"/>
        <w:numPr>
          <w:ilvl w:val="0"/>
          <w:numId w:val="2"/>
        </w:numPr>
        <w:spacing w:before="60" w:after="60"/>
      </w:pPr>
      <w:r>
        <w:rPr>
          <w:rFonts w:ascii="Arial" w:cs="Arial" w:eastAsia="Arial" w:hAnsi="Arial"/>
          <w:color w:val="2B2B2B"/>
          <w:sz w:val="22"/>
          <w:szCs w:val="22"/>
        </w:rPr>
        <w:t xml:space="preserve">A timeline that is realistic, accounting for business priorities, resource constraints, and technical dependencies.</w:t>
      </w:r>
    </w:p>
    <w:p>
      <w:pPr>
        <w:spacing w:before="0" w:after="120"/>
      </w:pPr>
    </w:p>
    <w:p>
      <w:pPr>
        <w:pStyle w:val="Heading2"/>
        <w:spacing w:before="300" w:after="120"/>
      </w:pPr>
      <w:r>
        <w:rPr>
          <w:rFonts w:ascii="Arial" w:cs="Arial" w:eastAsia="Arial" w:hAnsi="Arial"/>
          <w:b/>
          <w:bCs/>
          <w:color w:val="00477A"/>
          <w:sz w:val="28"/>
          <w:szCs w:val="28"/>
        </w:rPr>
        <w:t xml:space="preserve">8.4 Target Architecture Models</w:t>
      </w:r>
    </w:p>
    <w:p>
      <w:pPr>
        <w:spacing w:before="80" w:after="120"/>
        <w:jc w:val="both"/>
      </w:pPr>
      <w:r>
        <w:rPr>
          <w:rFonts w:ascii="Arial" w:cs="Arial" w:eastAsia="Arial" w:hAnsi="Arial"/>
          <w:color w:val="2B2B2B"/>
          <w:sz w:val="22"/>
          <w:szCs w:val="22"/>
        </w:rPr>
        <w:t xml:space="preserve">A Target Architecture Model is a comprehensive description of the desired future state of the architecture. It covers all relevant architecture layers and shows how they work together to support the target capabilities and business outcomes.</w:t>
      </w:r>
    </w:p>
    <w:p>
      <w:pPr>
        <w:spacing w:before="80" w:after="120"/>
        <w:jc w:val="both"/>
      </w:pPr>
      <w:r>
        <w:rPr>
          <w:rFonts w:ascii="Arial" w:cs="Arial" w:eastAsia="Arial" w:hAnsi="Arial"/>
          <w:color w:val="2B2B2B"/>
          <w:sz w:val="22"/>
          <w:szCs w:val="22"/>
        </w:rPr>
        <w:t xml:space="preserve">The target architecture model serves as the primary reference document for all delivery teams. It defines what they are building toward. It provides the context within which individual solution designs must sit. It is the architectural north star for the transformation programme.</w:t>
      </w:r>
    </w:p>
    <w:p>
      <w:pPr>
        <w:spacing w:before="0" w:after="120"/>
      </w:pPr>
    </w:p>
    <w:p>
      <w:pPr>
        <w:pStyle w:val="Heading2"/>
        <w:spacing w:before="300" w:after="120"/>
      </w:pPr>
      <w:r>
        <w:rPr>
          <w:rFonts w:ascii="Arial" w:cs="Arial" w:eastAsia="Arial" w:hAnsi="Arial"/>
          <w:b/>
          <w:bCs/>
          <w:color w:val="00477A"/>
          <w:sz w:val="28"/>
          <w:szCs w:val="28"/>
        </w:rPr>
        <w:t xml:space="preserve">8.5 Transformation Roadmaps</w:t>
      </w:r>
    </w:p>
    <w:p>
      <w:pPr>
        <w:spacing w:before="80" w:after="120"/>
        <w:jc w:val="both"/>
      </w:pPr>
      <w:r>
        <w:rPr>
          <w:rFonts w:ascii="Arial" w:cs="Arial" w:eastAsia="Arial" w:hAnsi="Arial"/>
          <w:color w:val="2B2B2B"/>
          <w:sz w:val="22"/>
          <w:szCs w:val="22"/>
        </w:rPr>
        <w:t xml:space="preserve">A Transformation Roadmap is broader than an architecture roadmap. It combines architecture changes with business change, process redesign, organisational development, and technology delivery into a single, coherent plan. It is typically presented as a multi-year programme plan organised around business capability improvements.</w:t>
      </w:r>
    </w:p>
    <w:p>
      <w:pPr>
        <w:spacing w:before="80" w:after="120"/>
        <w:jc w:val="both"/>
      </w:pPr>
      <w:r>
        <w:rPr>
          <w:rFonts w:ascii="Arial" w:cs="Arial" w:eastAsia="Arial" w:hAnsi="Arial"/>
          <w:color w:val="2B2B2B"/>
          <w:sz w:val="22"/>
          <w:szCs w:val="22"/>
        </w:rPr>
        <w:t xml:space="preserve">The transformation roadmap is the primary planning artefact for programme leadership. It answers the question: what are we going to do, in what order, and what will we have achieved at the end of each phase?</w:t>
      </w:r>
    </w:p>
    <w:p>
      <w:pPr>
        <w:spacing w:before="0" w:after="200"/>
      </w:pPr>
    </w:p>
    <w:p>
      <w:r>
        <w:br w:type="page"/>
      </w:r>
    </w:p>
    <w:p>
      <w:pPr>
        <w:pBdr>
          <w:bottom w:val="single" w:color="0070AD" w:sz="14" w:space="10"/>
        </w:pBdr>
        <w:spacing w:before="520" w:after="0"/>
      </w:pPr>
      <w:r>
        <w:rPr>
          <w:rFonts w:ascii="Arial" w:cs="Arial" w:eastAsia="Arial" w:hAnsi="Arial"/>
          <w:color w:val="555555"/>
          <w:sz w:val="22"/>
          <w:szCs w:val="22"/>
        </w:rPr>
        <w:t xml:space="preserve">Section 9   </w:t>
      </w:r>
      <w:r>
        <w:rPr>
          <w:rFonts w:ascii="Arial" w:cs="Arial" w:eastAsia="Arial" w:hAnsi="Arial"/>
          <w:b/>
          <w:bCs/>
          <w:color w:val="0070AD"/>
          <w:sz w:val="72"/>
          <w:szCs w:val="72"/>
        </w:rPr>
        <w:t xml:space="preserve">Governance</w:t>
      </w:r>
      <w:r>
        <w:rPr>
          <w:rFonts w:ascii="Arial" w:cs="Arial" w:eastAsia="Arial" w:hAnsi="Arial"/>
          <w:color w:val="2B2B2B"/>
          <w:sz w:val="34"/>
          <w:szCs w:val="34"/>
        </w:rPr>
        <w:t xml:space="preserve">   and Decision Making</w:t>
      </w:r>
    </w:p>
    <w:p>
      <w:pPr>
        <w:spacing w:before="0" w:after="180"/>
      </w:pPr>
    </w:p>
    <w:p>
      <w:pPr>
        <w:pStyle w:val="Heading1"/>
        <w:pBdr>
          <w:bottom w:val="single" w:color="0070AD" w:sz="10" w:space="8"/>
        </w:pBdr>
        <w:spacing w:before="420" w:after="180"/>
      </w:pPr>
      <w:r>
        <w:rPr>
          <w:rFonts w:ascii="Arial" w:cs="Arial" w:eastAsia="Arial" w:hAnsi="Arial"/>
          <w:b/>
          <w:bCs/>
          <w:color w:val="0070AD"/>
          <w:sz w:val="38"/>
          <w:szCs w:val="38"/>
        </w:rPr>
        <w:t xml:space="preserve">9. Governance and Decision Making</w:t>
      </w:r>
    </w:p>
    <w:p>
      <w:pPr>
        <w:spacing w:before="80" w:after="120"/>
        <w:jc w:val="both"/>
      </w:pPr>
      <w:r>
        <w:rPr>
          <w:rFonts w:ascii="Arial" w:cs="Arial" w:eastAsia="Arial" w:hAnsi="Arial"/>
          <w:color w:val="2B2B2B"/>
          <w:sz w:val="22"/>
          <w:szCs w:val="22"/>
        </w:rPr>
        <w:t xml:space="preserve">Governance is what makes BLAC a durable and scalable framework. Without governance, the careful analysis and design work performed across the four BLAC dimensions can quickly be undermined by inconsistent decisions, scope creep, and technical debt.</w:t>
      </w:r>
    </w:p>
    <w:p>
      <w:pPr>
        <w:spacing w:before="0" w:after="120"/>
      </w:pPr>
    </w:p>
    <w:p>
      <w:pPr>
        <w:pStyle w:val="Heading2"/>
        <w:spacing w:before="300" w:after="120"/>
      </w:pPr>
      <w:r>
        <w:rPr>
          <w:rFonts w:ascii="Arial" w:cs="Arial" w:eastAsia="Arial" w:hAnsi="Arial"/>
          <w:b/>
          <w:bCs/>
          <w:color w:val="00477A"/>
          <w:sz w:val="28"/>
          <w:szCs w:val="28"/>
        </w:rPr>
        <w:t xml:space="preserve">9.1 Architecture Governance Processes</w:t>
      </w:r>
    </w:p>
    <w:p>
      <w:pPr>
        <w:spacing w:before="80" w:after="120"/>
        <w:jc w:val="both"/>
      </w:pPr>
      <w:r>
        <w:rPr>
          <w:rFonts w:ascii="Arial" w:cs="Arial" w:eastAsia="Arial" w:hAnsi="Arial"/>
          <w:color w:val="2B2B2B"/>
          <w:sz w:val="22"/>
          <w:szCs w:val="22"/>
        </w:rPr>
        <w:t xml:space="preserve">Architecture governance in BLAC operates through a set of defined processes that cover the full lifecycle of architecture work. These processes ensure that all significant architecture decisions are reviewed, approved, and recorded.</w:t>
      </w:r>
    </w:p>
    <w:p>
      <w:pPr>
        <w:spacing w:before="80" w:after="120"/>
        <w:jc w:val="both"/>
      </w:pPr>
      <w:r>
        <w:rPr>
          <w:rFonts w:ascii="Arial" w:cs="Arial" w:eastAsia="Arial" w:hAnsi="Arial"/>
          <w:color w:val="2B2B2B"/>
          <w:sz w:val="22"/>
          <w:szCs w:val="22"/>
        </w:rPr>
        <w:t xml:space="preserve">The core governance processes include the following.</w:t>
      </w:r>
    </w:p>
    <w:p>
      <w:pPr>
        <w:pStyle w:val="ListParagraph"/>
        <w:numPr>
          <w:ilvl w:val="0"/>
          <w:numId w:val="2"/>
        </w:numPr>
        <w:spacing w:before="60" w:after="60"/>
      </w:pPr>
      <w:r>
        <w:rPr>
          <w:rFonts w:ascii="Arial" w:cs="Arial" w:eastAsia="Arial" w:hAnsi="Arial"/>
          <w:b w:val="false"/>
          <w:bCs w:val="false"/>
          <w:color w:val="2B2B2B"/>
          <w:sz w:val="22"/>
          <w:szCs w:val="22"/>
        </w:rPr>
        <w:t xml:space="preserve">Architecture engagement initiation: </w:t>
      </w:r>
      <w:r>
        <w:rPr>
          <w:rFonts w:ascii="Arial" w:cs="Arial" w:eastAsia="Arial" w:hAnsi="Arial"/>
          <w:b w:val="false"/>
          <w:bCs w:val="false"/>
          <w:color w:val="2B2B2B"/>
          <w:sz w:val="22"/>
          <w:szCs w:val="22"/>
        </w:rPr>
        <w:t xml:space="preserve">Defining the scope, objectives, and governance arrangements for a new architecture engagement at the start of a programme.</w:t>
      </w:r>
    </w:p>
    <w:p>
      <w:pPr>
        <w:pStyle w:val="ListParagraph"/>
        <w:numPr>
          <w:ilvl w:val="0"/>
          <w:numId w:val="2"/>
        </w:numPr>
        <w:spacing w:before="60" w:after="60"/>
      </w:pPr>
      <w:r>
        <w:rPr>
          <w:rFonts w:ascii="Arial" w:cs="Arial" w:eastAsia="Arial" w:hAnsi="Arial"/>
          <w:b w:val="false"/>
          <w:bCs w:val="false"/>
          <w:color w:val="2B2B2B"/>
          <w:sz w:val="22"/>
          <w:szCs w:val="22"/>
        </w:rPr>
        <w:t xml:space="preserve">Architecture definition review: </w:t>
      </w:r>
      <w:r>
        <w:rPr>
          <w:rFonts w:ascii="Arial" w:cs="Arial" w:eastAsia="Arial" w:hAnsi="Arial"/>
          <w:b w:val="false"/>
          <w:bCs w:val="false"/>
          <w:color w:val="2B2B2B"/>
          <w:sz w:val="22"/>
          <w:szCs w:val="22"/>
        </w:rPr>
        <w:t xml:space="preserve">Reviewing proposed architecture designs against principles, standards, and strategic alignment criteria before design is finalised.</w:t>
      </w:r>
    </w:p>
    <w:p>
      <w:pPr>
        <w:pStyle w:val="ListParagraph"/>
        <w:numPr>
          <w:ilvl w:val="0"/>
          <w:numId w:val="2"/>
        </w:numPr>
        <w:spacing w:before="60" w:after="60"/>
      </w:pPr>
      <w:r>
        <w:rPr>
          <w:rFonts w:ascii="Arial" w:cs="Arial" w:eastAsia="Arial" w:hAnsi="Arial"/>
          <w:b w:val="false"/>
          <w:bCs w:val="false"/>
          <w:color w:val="2B2B2B"/>
          <w:sz w:val="22"/>
          <w:szCs w:val="22"/>
        </w:rPr>
        <w:t xml:space="preserve">Architecture compliance assessment: </w:t>
      </w:r>
      <w:r>
        <w:rPr>
          <w:rFonts w:ascii="Arial" w:cs="Arial" w:eastAsia="Arial" w:hAnsi="Arial"/>
          <w:b w:val="false"/>
          <w:bCs w:val="false"/>
          <w:color w:val="2B2B2B"/>
          <w:sz w:val="22"/>
          <w:szCs w:val="22"/>
        </w:rPr>
        <w:t xml:space="preserve">Evaluating whether solutions under development comply with the approved architecture. Conducted at defined milestones in the delivery lifecycle.</w:t>
      </w:r>
    </w:p>
    <w:p>
      <w:pPr>
        <w:pStyle w:val="ListParagraph"/>
        <w:numPr>
          <w:ilvl w:val="0"/>
          <w:numId w:val="2"/>
        </w:numPr>
        <w:spacing w:before="60" w:after="60"/>
      </w:pPr>
      <w:r>
        <w:rPr>
          <w:rFonts w:ascii="Arial" w:cs="Arial" w:eastAsia="Arial" w:hAnsi="Arial"/>
          <w:b w:val="false"/>
          <w:bCs w:val="false"/>
          <w:color w:val="2B2B2B"/>
          <w:sz w:val="22"/>
          <w:szCs w:val="22"/>
        </w:rPr>
        <w:t xml:space="preserve">Architecture change control: </w:t>
      </w:r>
      <w:r>
        <w:rPr>
          <w:rFonts w:ascii="Arial" w:cs="Arial" w:eastAsia="Arial" w:hAnsi="Arial"/>
          <w:b w:val="false"/>
          <w:bCs w:val="false"/>
          <w:color w:val="2B2B2B"/>
          <w:sz w:val="22"/>
          <w:szCs w:val="22"/>
        </w:rPr>
        <w:t xml:space="preserve">Managing requests to change the approved architecture, assessing the impact of proposed changes, and approving or rejecting them through a formal process.</w:t>
      </w:r>
    </w:p>
    <w:p>
      <w:pPr>
        <w:pStyle w:val="ListParagraph"/>
        <w:numPr>
          <w:ilvl w:val="0"/>
          <w:numId w:val="2"/>
        </w:numPr>
        <w:spacing w:before="60" w:after="60"/>
      </w:pPr>
      <w:r>
        <w:rPr>
          <w:rFonts w:ascii="Arial" w:cs="Arial" w:eastAsia="Arial" w:hAnsi="Arial"/>
          <w:b w:val="false"/>
          <w:bCs w:val="false"/>
          <w:color w:val="2B2B2B"/>
          <w:sz w:val="22"/>
          <w:szCs w:val="22"/>
        </w:rPr>
        <w:t xml:space="preserve">Post-implementation architecture review: </w:t>
      </w:r>
      <w:r>
        <w:rPr>
          <w:rFonts w:ascii="Arial" w:cs="Arial" w:eastAsia="Arial" w:hAnsi="Arial"/>
          <w:b w:val="false"/>
          <w:bCs w:val="false"/>
          <w:color w:val="2B2B2B"/>
          <w:sz w:val="22"/>
          <w:szCs w:val="22"/>
        </w:rPr>
        <w:t xml:space="preserve">Assessing whether delivered solutions meet their architecture commitments and identifying lessons learned for future engagements.</w:t>
      </w:r>
    </w:p>
    <w:p>
      <w:pPr>
        <w:spacing w:before="0" w:after="120"/>
      </w:pPr>
    </w:p>
    <w:p>
      <w:pPr>
        <w:pStyle w:val="Heading2"/>
        <w:spacing w:before="300" w:after="120"/>
      </w:pPr>
      <w:r>
        <w:rPr>
          <w:rFonts w:ascii="Arial" w:cs="Arial" w:eastAsia="Arial" w:hAnsi="Arial"/>
          <w:b/>
          <w:bCs/>
          <w:color w:val="00477A"/>
          <w:sz w:val="28"/>
          <w:szCs w:val="28"/>
        </w:rPr>
        <w:t xml:space="preserve">9.2 Architecture Boards</w:t>
      </w:r>
    </w:p>
    <w:p>
      <w:pPr>
        <w:spacing w:before="80" w:after="120"/>
        <w:jc w:val="both"/>
      </w:pPr>
      <w:r>
        <w:rPr>
          <w:rFonts w:ascii="Arial" w:cs="Arial" w:eastAsia="Arial" w:hAnsi="Arial"/>
          <w:color w:val="2B2B2B"/>
          <w:sz w:val="22"/>
          <w:szCs w:val="22"/>
        </w:rPr>
        <w:t xml:space="preserve">An Architecture Review Board, commonly called an ARB, is the governance body responsible for overseeing architecture decisions across the enterprise or programme. It provides independent scrutiny of architecture proposals and ensures that decisions are aligned with the enterprise architecture and transformation strategy.</w:t>
      </w:r>
    </w:p>
    <w:p>
      <w:pPr>
        <w:spacing w:before="80" w:after="120"/>
        <w:jc w:val="both"/>
      </w:pPr>
      <w:r>
        <w:rPr>
          <w:rFonts w:ascii="Arial" w:cs="Arial" w:eastAsia="Arial" w:hAnsi="Arial"/>
          <w:color w:val="2B2B2B"/>
          <w:sz w:val="22"/>
          <w:szCs w:val="22"/>
        </w:rPr>
        <w:t xml:space="preserve">A typical ARB includes:</w:t>
      </w:r>
    </w:p>
    <w:p>
      <w:pPr>
        <w:pStyle w:val="ListParagraph"/>
        <w:numPr>
          <w:ilvl w:val="0"/>
          <w:numId w:val="2"/>
        </w:numPr>
        <w:spacing w:before="60" w:after="60"/>
      </w:pPr>
      <w:r>
        <w:rPr>
          <w:rFonts w:ascii="Arial" w:cs="Arial" w:eastAsia="Arial" w:hAnsi="Arial"/>
          <w:color w:val="2B2B2B"/>
          <w:sz w:val="22"/>
          <w:szCs w:val="22"/>
        </w:rPr>
        <w:t xml:space="preserve">Chief Architect or Enterprise Architect, who chairs the board.</w:t>
      </w:r>
    </w:p>
    <w:p>
      <w:pPr>
        <w:pStyle w:val="ListParagraph"/>
        <w:numPr>
          <w:ilvl w:val="0"/>
          <w:numId w:val="2"/>
        </w:numPr>
        <w:spacing w:before="60" w:after="60"/>
      </w:pPr>
      <w:r>
        <w:rPr>
          <w:rFonts w:ascii="Arial" w:cs="Arial" w:eastAsia="Arial" w:hAnsi="Arial"/>
          <w:color w:val="2B2B2B"/>
          <w:sz w:val="22"/>
          <w:szCs w:val="22"/>
        </w:rPr>
        <w:t xml:space="preserve">Domain Architects representing the key architecture domains: business, data, application, integration, security, and infrastructure.</w:t>
      </w:r>
    </w:p>
    <w:p>
      <w:pPr>
        <w:pStyle w:val="ListParagraph"/>
        <w:numPr>
          <w:ilvl w:val="0"/>
          <w:numId w:val="2"/>
        </w:numPr>
        <w:spacing w:before="60" w:after="60"/>
      </w:pPr>
      <w:r>
        <w:rPr>
          <w:rFonts w:ascii="Arial" w:cs="Arial" w:eastAsia="Arial" w:hAnsi="Arial"/>
          <w:color w:val="2B2B2B"/>
          <w:sz w:val="22"/>
          <w:szCs w:val="22"/>
        </w:rPr>
        <w:t xml:space="preserve">Business representatives who provide strategic context and prioritisation guidance.</w:t>
      </w:r>
    </w:p>
    <w:p>
      <w:pPr>
        <w:pStyle w:val="ListParagraph"/>
        <w:numPr>
          <w:ilvl w:val="0"/>
          <w:numId w:val="2"/>
        </w:numPr>
        <w:spacing w:before="60" w:after="60"/>
      </w:pPr>
      <w:r>
        <w:rPr>
          <w:rFonts w:ascii="Arial" w:cs="Arial" w:eastAsia="Arial" w:hAnsi="Arial"/>
          <w:color w:val="2B2B2B"/>
          <w:sz w:val="22"/>
          <w:szCs w:val="22"/>
        </w:rPr>
        <w:t xml:space="preserve">Solution Architects presenting proposals for review.</w:t>
      </w:r>
    </w:p>
    <w:p>
      <w:pPr>
        <w:pStyle w:val="ListParagraph"/>
        <w:numPr>
          <w:ilvl w:val="0"/>
          <w:numId w:val="2"/>
        </w:numPr>
        <w:spacing w:before="60" w:after="60"/>
      </w:pPr>
      <w:r>
        <w:rPr>
          <w:rFonts w:ascii="Arial" w:cs="Arial" w:eastAsia="Arial" w:hAnsi="Arial"/>
          <w:color w:val="2B2B2B"/>
          <w:sz w:val="22"/>
          <w:szCs w:val="22"/>
        </w:rPr>
        <w:t xml:space="preserve">Risk and security representatives who advise on risk implications of proposed designs.</w:t>
      </w:r>
    </w:p>
    <w:p>
      <w:pPr>
        <w:spacing w:before="80" w:after="120"/>
        <w:jc w:val="both"/>
      </w:pPr>
      <w:r>
        <w:rPr>
          <w:rFonts w:ascii="Arial" w:cs="Arial" w:eastAsia="Arial" w:hAnsi="Arial"/>
          <w:color w:val="2B2B2B"/>
          <w:sz w:val="22"/>
          <w:szCs w:val="22"/>
        </w:rPr>
        <w:t xml:space="preserve">The ARB meets at defined intervals, typically fortnightly or monthly. It reviews architecture proposals against a defined set of criteria. All decisions are recorded, together with the rationale for approval, conditional approval, or rejection.</w:t>
      </w:r>
    </w:p>
    <w:p>
      <w:pPr>
        <w:spacing w:before="0" w:after="120"/>
      </w:pPr>
    </w:p>
    <w:p>
      <w:pPr>
        <w:pStyle w:val="Heading2"/>
        <w:spacing w:before="300" w:after="120"/>
      </w:pPr>
      <w:r>
        <w:rPr>
          <w:rFonts w:ascii="Arial" w:cs="Arial" w:eastAsia="Arial" w:hAnsi="Arial"/>
          <w:b/>
          <w:bCs/>
          <w:color w:val="00477A"/>
          <w:sz w:val="28"/>
          <w:szCs w:val="28"/>
        </w:rPr>
        <w:t xml:space="preserve">9.3 Decision Management</w:t>
      </w:r>
    </w:p>
    <w:p>
      <w:pPr>
        <w:spacing w:before="80" w:after="120"/>
        <w:jc w:val="both"/>
      </w:pPr>
      <w:r>
        <w:rPr>
          <w:rFonts w:ascii="Arial" w:cs="Arial" w:eastAsia="Arial" w:hAnsi="Arial"/>
          <w:color w:val="2B2B2B"/>
          <w:sz w:val="22"/>
          <w:szCs w:val="22"/>
        </w:rPr>
        <w:t xml:space="preserve">Architecture decision management is the practice of recording, tracking, and governing all significant architecture decisions made during a transformation programme. The primary instrument for decision management is the Architecture Decision Record, or ADR.</w:t>
      </w:r>
    </w:p>
    <w:p>
      <w:pPr>
        <w:spacing w:before="80" w:after="120"/>
        <w:jc w:val="both"/>
      </w:pPr>
      <w:r>
        <w:rPr>
          <w:rFonts w:ascii="Arial" w:cs="Arial" w:eastAsia="Arial" w:hAnsi="Arial"/>
          <w:color w:val="2B2B2B"/>
          <w:sz w:val="22"/>
          <w:szCs w:val="22"/>
        </w:rPr>
        <w:t xml:space="preserve">An ADR captures the following information for each significant decision.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ADR Field</w:t>
            </w:r>
          </w:p>
        </w:tc>
        <w:tc>
          <w:tcPr>
            <w:tcW w:type="dxa" w:w="656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Description</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Title</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A short, descriptive name for the decision.</w:t>
            </w:r>
          </w:p>
        </w:tc>
      </w:tr>
      <w:tr>
        <w:tc>
          <w:tcPr>
            <w:tcW w:type="dxa" w:w="2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Status</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The current state of the decision: Proposed, Accepted, Deprecated, or Superseded.</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Context</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The problem or situation that required a decision to be made.</w:t>
            </w:r>
          </w:p>
        </w:tc>
      </w:tr>
      <w:tr>
        <w:tc>
          <w:tcPr>
            <w:tcW w:type="dxa" w:w="2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Options Considered</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A summary of all alternatives that were evaluated.</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Decision</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The option that was chosen.</w:t>
            </w:r>
          </w:p>
        </w:tc>
      </w:tr>
      <w:tr>
        <w:tc>
          <w:tcPr>
            <w:tcW w:type="dxa" w:w="2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Rationale</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The reasons why the chosen option was preferred over the alternatives.</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Consequences</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The expected outcomes, trade-offs, and risks arising from the decision.</w:t>
            </w:r>
          </w:p>
        </w:tc>
      </w:tr>
      <w:tr>
        <w:tc>
          <w:tcPr>
            <w:tcW w:type="dxa" w:w="2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Related Decisions</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Links to other ADRs that influenced or are influenced by this decision.</w:t>
            </w:r>
          </w:p>
        </w:tc>
      </w:tr>
    </w:tbl>
    <w:p>
      <w:pPr>
        <w:spacing w:before="0" w:after="160"/>
      </w:pPr>
    </w:p>
    <w:p>
      <w:pPr>
        <w:spacing w:before="80" w:after="120"/>
        <w:jc w:val="both"/>
      </w:pPr>
      <w:r>
        <w:rPr>
          <w:rFonts w:ascii="Arial" w:cs="Arial" w:eastAsia="Arial" w:hAnsi="Arial"/>
          <w:color w:val="2B2B2B"/>
          <w:sz w:val="22"/>
          <w:szCs w:val="22"/>
        </w:rPr>
        <w:t xml:space="preserve">ADRs are maintained in a version-controlled repository throughout the programme. This repository provides an authoritative record of why the architecture looks the way it does. It supports knowledge transfer, impact analysis, and audit.</w:t>
      </w:r>
    </w:p>
    <w:p>
      <w:pPr>
        <w:spacing w:before="0" w:after="200"/>
      </w:pPr>
    </w:p>
    <w:p>
      <w:r>
        <w:br w:type="page"/>
      </w:r>
    </w:p>
    <w:p>
      <w:pPr>
        <w:pBdr>
          <w:bottom w:val="single" w:color="0070AD" w:sz="14" w:space="10"/>
        </w:pBdr>
        <w:spacing w:before="520" w:after="0"/>
      </w:pPr>
      <w:r>
        <w:rPr>
          <w:rFonts w:ascii="Arial" w:cs="Arial" w:eastAsia="Arial" w:hAnsi="Arial"/>
          <w:color w:val="555555"/>
          <w:sz w:val="22"/>
          <w:szCs w:val="22"/>
        </w:rPr>
        <w:t xml:space="preserve">Section 10   </w:t>
      </w:r>
      <w:r>
        <w:rPr>
          <w:rFonts w:ascii="Arial" w:cs="Arial" w:eastAsia="Arial" w:hAnsi="Arial"/>
          <w:b/>
          <w:bCs/>
          <w:color w:val="0070AD"/>
          <w:sz w:val="72"/>
          <w:szCs w:val="72"/>
        </w:rPr>
        <w:t xml:space="preserve">Practical</w:t>
      </w:r>
      <w:r>
        <w:rPr>
          <w:rFonts w:ascii="Arial" w:cs="Arial" w:eastAsia="Arial" w:hAnsi="Arial"/>
          <w:color w:val="2B2B2B"/>
          <w:sz w:val="34"/>
          <w:szCs w:val="34"/>
        </w:rPr>
        <w:t xml:space="preserve">   Example</w:t>
      </w:r>
    </w:p>
    <w:p>
      <w:pPr>
        <w:spacing w:before="0" w:after="180"/>
      </w:pPr>
    </w:p>
    <w:p>
      <w:pPr>
        <w:pStyle w:val="Heading1"/>
        <w:pBdr>
          <w:bottom w:val="single" w:color="0070AD" w:sz="10" w:space="8"/>
        </w:pBdr>
        <w:spacing w:before="420" w:after="180"/>
      </w:pPr>
      <w:r>
        <w:rPr>
          <w:rFonts w:ascii="Arial" w:cs="Arial" w:eastAsia="Arial" w:hAnsi="Arial"/>
          <w:b/>
          <w:bCs/>
          <w:color w:val="0070AD"/>
          <w:sz w:val="38"/>
          <w:szCs w:val="38"/>
        </w:rPr>
        <w:t xml:space="preserve">10. Practical Example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D9EF" w:sz="1"/>
              <w:left w:val="single" w:color="0070AD" w:sz="18"/>
              <w:bottom w:val="single" w:color="B8D9EF" w:sz="1"/>
              <w:right w:val="single" w:color="B8D9EF" w:sz="1"/>
            </w:tcBorders>
            <w:shd w:fill="E6F2FA" w:val="clear"/>
            <w:tcMar>
              <w:top w:type="dxa" w:w="140"/>
              <w:left w:type="dxa" w:w="240"/>
              <w:bottom w:type="dxa" w:w="140"/>
              <w:right w:type="dxa" w:w="200"/>
            </w:tcMar>
          </w:tcPr>
          <w:p>
            <w:pPr>
              <w:spacing w:before="0" w:after="60"/>
            </w:pPr>
            <w:r>
              <w:rPr>
                <w:rFonts w:ascii="Arial" w:cs="Arial" w:eastAsia="Arial" w:hAnsi="Arial"/>
                <w:b/>
                <w:bCs/>
                <w:color w:val="0070AD"/>
                <w:sz w:val="22"/>
                <w:szCs w:val="22"/>
              </w:rPr>
              <w:t xml:space="preserve">Scenario</w:t>
            </w:r>
          </w:p>
          <w:p>
            <w:pPr>
              <w:spacing w:before="0" w:after="0"/>
            </w:pPr>
            <w:r>
              <w:rPr>
                <w:rFonts w:ascii="Arial" w:cs="Arial" w:eastAsia="Arial" w:hAnsi="Arial"/>
                <w:color w:val="2B2B2B"/>
                <w:sz w:val="20"/>
                <w:szCs w:val="20"/>
              </w:rPr>
              <w:t xml:space="preserve">A major European telecommunications company engages Capgemini to support a large-scale digital transformation programme. The company is losing market share to digital-native competitors. Its legacy BSS and OSS platforms are expensive to maintain and slow to change. Its customer experience is rated poorly compared to competitors. The executive team has committed to a five-year transformation to become a digital-first telecommunications provider.</w:t>
            </w:r>
          </w:p>
        </w:tc>
      </w:tr>
    </w:tbl>
    <w:p>
      <w:pPr>
        <w:spacing w:before="0" w:after="160"/>
      </w:pPr>
    </w:p>
    <w:p>
      <w:pPr>
        <w:pStyle w:val="Heading2"/>
        <w:spacing w:before="300" w:after="120"/>
      </w:pPr>
      <w:r>
        <w:rPr>
          <w:rFonts w:ascii="Arial" w:cs="Arial" w:eastAsia="Arial" w:hAnsi="Arial"/>
          <w:b/>
          <w:bCs/>
          <w:color w:val="00477A"/>
          <w:sz w:val="28"/>
          <w:szCs w:val="28"/>
        </w:rPr>
        <w:t xml:space="preserve">10.1 Applying the Business Dimension</w:t>
      </w:r>
    </w:p>
    <w:p>
      <w:pPr>
        <w:spacing w:before="80" w:after="120"/>
        <w:jc w:val="both"/>
      </w:pPr>
      <w:r>
        <w:rPr>
          <w:rFonts w:ascii="Arial" w:cs="Arial" w:eastAsia="Arial" w:hAnsi="Arial"/>
          <w:color w:val="2B2B2B"/>
          <w:sz w:val="22"/>
          <w:szCs w:val="22"/>
        </w:rPr>
        <w:t xml:space="preserve">The Capgemini architecture team begins by establishing a clear understanding of the Business dimension. They work with senior business leaders to define the strategic goals of the transformation.</w:t>
      </w:r>
    </w:p>
    <w:p>
      <w:pPr>
        <w:spacing w:before="80" w:after="120"/>
        <w:jc w:val="both"/>
      </w:pPr>
      <w:r>
        <w:rPr>
          <w:rFonts w:ascii="Arial" w:cs="Arial" w:eastAsia="Arial" w:hAnsi="Arial"/>
          <w:color w:val="2B2B2B"/>
          <w:sz w:val="22"/>
          <w:szCs w:val="22"/>
        </w:rPr>
        <w:t xml:space="preserve">The key strategic goals identified are:</w:t>
      </w:r>
    </w:p>
    <w:p>
      <w:pPr>
        <w:pStyle w:val="ListParagraph"/>
        <w:numPr>
          <w:ilvl w:val="0"/>
          <w:numId w:val="2"/>
        </w:numPr>
        <w:spacing w:before="60" w:after="60"/>
      </w:pPr>
      <w:r>
        <w:rPr>
          <w:rFonts w:ascii="Arial" w:cs="Arial" w:eastAsia="Arial" w:hAnsi="Arial"/>
          <w:color w:val="2B2B2B"/>
          <w:sz w:val="22"/>
          <w:szCs w:val="22"/>
        </w:rPr>
        <w:t xml:space="preserve">Reduce the cost of running the current technology estate by 30 percent over five years.</w:t>
      </w:r>
    </w:p>
    <w:p>
      <w:pPr>
        <w:pStyle w:val="ListParagraph"/>
        <w:numPr>
          <w:ilvl w:val="0"/>
          <w:numId w:val="2"/>
        </w:numPr>
        <w:spacing w:before="60" w:after="60"/>
      </w:pPr>
      <w:r>
        <w:rPr>
          <w:rFonts w:ascii="Arial" w:cs="Arial" w:eastAsia="Arial" w:hAnsi="Arial"/>
          <w:color w:val="2B2B2B"/>
          <w:sz w:val="22"/>
          <w:szCs w:val="22"/>
        </w:rPr>
        <w:t xml:space="preserve">Improve the Net Promoter Score for consumer customers from 15 to 45 within three years.</w:t>
      </w:r>
    </w:p>
    <w:p>
      <w:pPr>
        <w:pStyle w:val="ListParagraph"/>
        <w:numPr>
          <w:ilvl w:val="0"/>
          <w:numId w:val="2"/>
        </w:numPr>
        <w:spacing w:before="60" w:after="60"/>
      </w:pPr>
      <w:r>
        <w:rPr>
          <w:rFonts w:ascii="Arial" w:cs="Arial" w:eastAsia="Arial" w:hAnsi="Arial"/>
          <w:color w:val="2B2B2B"/>
          <w:sz w:val="22"/>
          <w:szCs w:val="22"/>
        </w:rPr>
        <w:t xml:space="preserve">Launch a new digital B2B platform within 18 months to serve enterprise customers.</w:t>
      </w:r>
    </w:p>
    <w:p>
      <w:pPr>
        <w:pStyle w:val="ListParagraph"/>
        <w:numPr>
          <w:ilvl w:val="0"/>
          <w:numId w:val="2"/>
        </w:numPr>
        <w:spacing w:before="60" w:after="60"/>
      </w:pPr>
      <w:r>
        <w:rPr>
          <w:rFonts w:ascii="Arial" w:cs="Arial" w:eastAsia="Arial" w:hAnsi="Arial"/>
          <w:color w:val="2B2B2B"/>
          <w:sz w:val="22"/>
          <w:szCs w:val="22"/>
        </w:rPr>
        <w:t xml:space="preserve">Achieve full regulatory compliance with emerging telecommunications data regulations.</w:t>
      </w:r>
    </w:p>
    <w:p>
      <w:pPr>
        <w:spacing w:before="80" w:after="120"/>
        <w:jc w:val="both"/>
      </w:pPr>
      <w:r>
        <w:rPr>
          <w:rFonts w:ascii="Arial" w:cs="Arial" w:eastAsia="Arial" w:hAnsi="Arial"/>
          <w:color w:val="2B2B2B"/>
          <w:sz w:val="22"/>
          <w:szCs w:val="22"/>
        </w:rPr>
        <w:t xml:space="preserve">A Business Capability Map is developed covering the full scope of the company's operations. Key capability domains identified include: Customer Management, Product and Offer Management, Order and Provisioning, Network Operations, Billing and Revenue Management, and Analytics and Intelligence.</w:t>
      </w:r>
    </w:p>
    <w:p>
      <w:pPr>
        <w:spacing w:before="80" w:after="120"/>
        <w:jc w:val="both"/>
      </w:pPr>
      <w:r>
        <w:rPr>
          <w:rFonts w:ascii="Arial" w:cs="Arial" w:eastAsia="Arial" w:hAnsi="Arial"/>
          <w:color w:val="2B2B2B"/>
          <w:sz w:val="22"/>
          <w:szCs w:val="22"/>
        </w:rPr>
        <w:t xml:space="preserve">Capability maturity assessments are conducted for each domain. The assessments reveal that Customer Management, Order and Provisioning, and Analytics and Intelligence are the weakest capabilities. These capabilities are also the most critical to achieving the strategic goals. They are immediately identified as the highest transformation priorities.</w:t>
      </w:r>
    </w:p>
    <w:p>
      <w:pPr>
        <w:spacing w:before="0" w:after="120"/>
      </w:pPr>
    </w:p>
    <w:p>
      <w:pPr>
        <w:pStyle w:val="Heading2"/>
        <w:spacing w:before="300" w:after="120"/>
      </w:pPr>
      <w:r>
        <w:rPr>
          <w:rFonts w:ascii="Arial" w:cs="Arial" w:eastAsia="Arial" w:hAnsi="Arial"/>
          <w:b/>
          <w:bCs/>
          <w:color w:val="00477A"/>
          <w:sz w:val="28"/>
          <w:szCs w:val="28"/>
        </w:rPr>
        <w:t xml:space="preserve">10.2 Applying the Landscape Dimension</w:t>
      </w:r>
    </w:p>
    <w:p>
      <w:pPr>
        <w:spacing w:before="80" w:after="120"/>
        <w:jc w:val="both"/>
      </w:pPr>
      <w:r>
        <w:rPr>
          <w:rFonts w:ascii="Arial" w:cs="Arial" w:eastAsia="Arial" w:hAnsi="Arial"/>
          <w:color w:val="2B2B2B"/>
          <w:sz w:val="22"/>
          <w:szCs w:val="22"/>
        </w:rPr>
        <w:t xml:space="preserve">The architecture team conducts a comprehensive assessment of the existing IT landscape. The assessment reveals the following.</w:t>
      </w:r>
    </w:p>
    <w:p>
      <w:pPr>
        <w:pStyle w:val="ListParagraph"/>
        <w:numPr>
          <w:ilvl w:val="0"/>
          <w:numId w:val="2"/>
        </w:numPr>
        <w:spacing w:before="60" w:after="60"/>
      </w:pPr>
      <w:r>
        <w:rPr>
          <w:rFonts w:ascii="Arial" w:cs="Arial" w:eastAsia="Arial" w:hAnsi="Arial"/>
          <w:color w:val="2B2B2B"/>
          <w:sz w:val="22"/>
          <w:szCs w:val="22"/>
        </w:rPr>
        <w:t xml:space="preserve">The company operates 47 separate BSS applications, many of which are over 15 years old.</w:t>
      </w:r>
    </w:p>
    <w:p>
      <w:pPr>
        <w:pStyle w:val="ListParagraph"/>
        <w:numPr>
          <w:ilvl w:val="0"/>
          <w:numId w:val="2"/>
        </w:numPr>
        <w:spacing w:before="60" w:after="60"/>
      </w:pPr>
      <w:r>
        <w:rPr>
          <w:rFonts w:ascii="Arial" w:cs="Arial" w:eastAsia="Arial" w:hAnsi="Arial"/>
          <w:color w:val="2B2B2B"/>
          <w:sz w:val="22"/>
          <w:szCs w:val="22"/>
        </w:rPr>
        <w:t xml:space="preserve">There are over 1,200 point-to-point integrations between these systems, making change extremely slow and costly.</w:t>
      </w:r>
    </w:p>
    <w:p>
      <w:pPr>
        <w:pStyle w:val="ListParagraph"/>
        <w:numPr>
          <w:ilvl w:val="0"/>
          <w:numId w:val="2"/>
        </w:numPr>
        <w:spacing w:before="60" w:after="60"/>
      </w:pPr>
      <w:r>
        <w:rPr>
          <w:rFonts w:ascii="Arial" w:cs="Arial" w:eastAsia="Arial" w:hAnsi="Arial"/>
          <w:color w:val="2B2B2B"/>
          <w:sz w:val="22"/>
          <w:szCs w:val="22"/>
        </w:rPr>
        <w:t xml:space="preserve">Customer data is fragmented across 12 different systems, with no single authoritative source.</w:t>
      </w:r>
    </w:p>
    <w:p>
      <w:pPr>
        <w:pStyle w:val="ListParagraph"/>
        <w:numPr>
          <w:ilvl w:val="0"/>
          <w:numId w:val="2"/>
        </w:numPr>
        <w:spacing w:before="60" w:after="60"/>
      </w:pPr>
      <w:r>
        <w:rPr>
          <w:rFonts w:ascii="Arial" w:cs="Arial" w:eastAsia="Arial" w:hAnsi="Arial"/>
          <w:color w:val="2B2B2B"/>
          <w:sz w:val="22"/>
          <w:szCs w:val="22"/>
        </w:rPr>
        <w:t xml:space="preserve">The company has three separate CRM applications operating in parallel, serving different regions.</w:t>
      </w:r>
    </w:p>
    <w:p>
      <w:pPr>
        <w:pStyle w:val="ListParagraph"/>
        <w:numPr>
          <w:ilvl w:val="0"/>
          <w:numId w:val="2"/>
        </w:numPr>
        <w:spacing w:before="60" w:after="60"/>
      </w:pPr>
      <w:r>
        <w:rPr>
          <w:rFonts w:ascii="Arial" w:cs="Arial" w:eastAsia="Arial" w:hAnsi="Arial"/>
          <w:color w:val="2B2B2B"/>
          <w:sz w:val="22"/>
          <w:szCs w:val="22"/>
        </w:rPr>
        <w:t xml:space="preserve">Cloud adoption is minimal. Over 90 percent of workloads run on on-premises infrastructure that is approaching end of life.</w:t>
      </w:r>
    </w:p>
    <w:p>
      <w:pPr>
        <w:spacing w:before="80" w:after="120"/>
        <w:jc w:val="both"/>
      </w:pPr>
      <w:r>
        <w:rPr>
          <w:rFonts w:ascii="Arial" w:cs="Arial" w:eastAsia="Arial" w:hAnsi="Arial"/>
          <w:color w:val="2B2B2B"/>
          <w:sz w:val="22"/>
          <w:szCs w:val="22"/>
        </w:rPr>
        <w:t xml:space="preserve">The landscape assessment provides a realistic view of the transformation challenge. It also identifies a number of specific quick wins: three legacy applications that can be decommissioned immediately, saving over two million euros per year.</w:t>
      </w:r>
    </w:p>
    <w:p>
      <w:pPr>
        <w:spacing w:before="0" w:after="120"/>
      </w:pPr>
    </w:p>
    <w:p>
      <w:pPr>
        <w:pStyle w:val="Heading2"/>
        <w:spacing w:before="300" w:after="120"/>
      </w:pPr>
      <w:r>
        <w:rPr>
          <w:rFonts w:ascii="Arial" w:cs="Arial" w:eastAsia="Arial" w:hAnsi="Arial"/>
          <w:b/>
          <w:bCs/>
          <w:color w:val="00477A"/>
          <w:sz w:val="28"/>
          <w:szCs w:val="28"/>
        </w:rPr>
        <w:t xml:space="preserve">10.3 Applying the Architecture Dimension</w:t>
      </w:r>
    </w:p>
    <w:p>
      <w:pPr>
        <w:spacing w:before="80" w:after="120"/>
        <w:jc w:val="both"/>
      </w:pPr>
      <w:r>
        <w:rPr>
          <w:rFonts w:ascii="Arial" w:cs="Arial" w:eastAsia="Arial" w:hAnsi="Arial"/>
          <w:color w:val="2B2B2B"/>
          <w:sz w:val="22"/>
          <w:szCs w:val="22"/>
        </w:rPr>
        <w:t xml:space="preserve">The architecture team defines a Target Architecture for the transformation. The target architecture is organised around the following principles: Cloud First, API First, Data as an Asset, Loose Coupling, and Security by Design.</w:t>
      </w:r>
    </w:p>
    <w:p>
      <w:pPr>
        <w:spacing w:before="80" w:after="120"/>
        <w:jc w:val="both"/>
      </w:pPr>
      <w:r>
        <w:rPr>
          <w:rFonts w:ascii="Arial" w:cs="Arial" w:eastAsia="Arial" w:hAnsi="Arial"/>
          <w:color w:val="2B2B2B"/>
          <w:sz w:val="22"/>
          <w:szCs w:val="22"/>
        </w:rPr>
        <w:t xml:space="preserve">The target architecture defines a modern BSS stack based on a cloud-native, microservices architecture. A single Customer Data Platform replaces the 12 fragmented customer data systems. An API Management Platform replaces the 1,200 point-to-point integrations with a governed, catalogued set of APIs. An Analytics Platform provides real-time insights across all business domains.</w:t>
      </w:r>
    </w:p>
    <w:p>
      <w:pPr>
        <w:spacing w:before="80" w:after="120"/>
        <w:jc w:val="both"/>
      </w:pPr>
      <w:r>
        <w:rPr>
          <w:rFonts w:ascii="Arial" w:cs="Arial" w:eastAsia="Arial" w:hAnsi="Arial"/>
          <w:color w:val="2B2B2B"/>
          <w:sz w:val="22"/>
          <w:szCs w:val="22"/>
        </w:rPr>
        <w:t xml:space="preserve">An Architecture Review Board is established. It includes the company's CTO, the Capgemini Lead Enterprise Architect, and domain architects for customer, data, integration, and security. The ARB meets fortnightly throughout the programme.</w:t>
      </w:r>
    </w:p>
    <w:p>
      <w:pPr>
        <w:spacing w:before="0" w:after="120"/>
      </w:pPr>
    </w:p>
    <w:p>
      <w:pPr>
        <w:pStyle w:val="Heading2"/>
        <w:spacing w:before="300" w:after="120"/>
      </w:pPr>
      <w:r>
        <w:rPr>
          <w:rFonts w:ascii="Arial" w:cs="Arial" w:eastAsia="Arial" w:hAnsi="Arial"/>
          <w:b/>
          <w:bCs/>
          <w:color w:val="00477A"/>
          <w:sz w:val="28"/>
          <w:szCs w:val="28"/>
        </w:rPr>
        <w:t xml:space="preserve">10.4 Applying the Capability Dimension</w:t>
      </w:r>
    </w:p>
    <w:p>
      <w:pPr>
        <w:spacing w:before="80" w:after="120"/>
        <w:jc w:val="both"/>
      </w:pPr>
      <w:r>
        <w:rPr>
          <w:rFonts w:ascii="Arial" w:cs="Arial" w:eastAsia="Arial" w:hAnsi="Arial"/>
          <w:color w:val="2B2B2B"/>
          <w:sz w:val="22"/>
          <w:szCs w:val="22"/>
        </w:rPr>
        <w:t xml:space="preserve">A capability-driven transformation roadmap is developed. The roadmap organises all delivery work into three phases, each of which delivers defined capability improvements.</w:t>
      </w:r>
    </w:p>
    <w:p>
      <w:pPr>
        <w:pStyle w:val="ListParagraph"/>
        <w:numPr>
          <w:ilvl w:val="0"/>
          <w:numId w:val="2"/>
        </w:numPr>
        <w:spacing w:before="60" w:after="60"/>
      </w:pPr>
      <w:r>
        <w:rPr>
          <w:rFonts w:ascii="Arial" w:cs="Arial" w:eastAsia="Arial" w:hAnsi="Arial"/>
          <w:b w:val="false"/>
          <w:bCs w:val="false"/>
          <w:color w:val="2B2B2B"/>
          <w:sz w:val="22"/>
          <w:szCs w:val="22"/>
        </w:rPr>
        <w:t xml:space="preserve">Phase 1 (Months 1 to 18): </w:t>
      </w:r>
      <w:r>
        <w:rPr>
          <w:rFonts w:ascii="Arial" w:cs="Arial" w:eastAsia="Arial" w:hAnsi="Arial"/>
          <w:b w:val="false"/>
          <w:bCs w:val="false"/>
          <w:color w:val="2B2B2B"/>
          <w:sz w:val="22"/>
          <w:szCs w:val="22"/>
        </w:rPr>
        <w:t xml:space="preserve">Establish the digital foundation. Deliver the Cloud Landing Zone, the Customer Data Platform, and the API Management Platform. Improve Customer Management maturity from Level 1 to Level 3.</w:t>
      </w:r>
    </w:p>
    <w:p>
      <w:pPr>
        <w:pStyle w:val="ListParagraph"/>
        <w:numPr>
          <w:ilvl w:val="0"/>
          <w:numId w:val="2"/>
        </w:numPr>
        <w:spacing w:before="60" w:after="60"/>
      </w:pPr>
      <w:r>
        <w:rPr>
          <w:rFonts w:ascii="Arial" w:cs="Arial" w:eastAsia="Arial" w:hAnsi="Arial"/>
          <w:b w:val="false"/>
          <w:bCs w:val="false"/>
          <w:color w:val="2B2B2B"/>
          <w:sz w:val="22"/>
          <w:szCs w:val="22"/>
        </w:rPr>
        <w:t xml:space="preserve">Phase 2 (Months 19 to 36): </w:t>
      </w:r>
      <w:r>
        <w:rPr>
          <w:rFonts w:ascii="Arial" w:cs="Arial" w:eastAsia="Arial" w:hAnsi="Arial"/>
          <w:b w:val="false"/>
          <w:bCs w:val="false"/>
          <w:color w:val="2B2B2B"/>
          <w:sz w:val="22"/>
          <w:szCs w:val="22"/>
        </w:rPr>
        <w:t xml:space="preserve">Modernise core operations. Replace the legacy CRM and Order Management systems. Launch the digital B2B platform. Improve Order and Provisioning maturity from Level 2 to Level 4.</w:t>
      </w:r>
    </w:p>
    <w:p>
      <w:pPr>
        <w:pStyle w:val="ListParagraph"/>
        <w:numPr>
          <w:ilvl w:val="0"/>
          <w:numId w:val="2"/>
        </w:numPr>
        <w:spacing w:before="60" w:after="60"/>
      </w:pPr>
      <w:r>
        <w:rPr>
          <w:rFonts w:ascii="Arial" w:cs="Arial" w:eastAsia="Arial" w:hAnsi="Arial"/>
          <w:b w:val="false"/>
          <w:bCs w:val="false"/>
          <w:color w:val="2B2B2B"/>
          <w:sz w:val="22"/>
          <w:szCs w:val="22"/>
        </w:rPr>
        <w:t xml:space="preserve">Phase 3 (Months 37 to 60): </w:t>
      </w:r>
      <w:r>
        <w:rPr>
          <w:rFonts w:ascii="Arial" w:cs="Arial" w:eastAsia="Arial" w:hAnsi="Arial"/>
          <w:b w:val="false"/>
          <w:bCs w:val="false"/>
          <w:color w:val="2B2B2B"/>
          <w:sz w:val="22"/>
          <w:szCs w:val="22"/>
        </w:rPr>
        <w:t xml:space="preserve">Optimise and differentiate. Deploy the Analytics and Intelligence Platform. Implement AI-driven personalisation for consumer customers. Improve Analytics and Intelligence maturity from Level 1 to Level 4.</w:t>
      </w:r>
    </w:p>
    <w:p>
      <w:pPr>
        <w:spacing w:before="0" w:after="120"/>
      </w:pPr>
    </w:p>
    <w:p>
      <w:pPr>
        <w:pStyle w:val="Heading2"/>
        <w:spacing w:before="300" w:after="120"/>
      </w:pPr>
      <w:r>
        <w:rPr>
          <w:rFonts w:ascii="Arial" w:cs="Arial" w:eastAsia="Arial" w:hAnsi="Arial"/>
          <w:b/>
          <w:bCs/>
          <w:color w:val="00477A"/>
          <w:sz w:val="28"/>
          <w:szCs w:val="28"/>
        </w:rPr>
        <w:t xml:space="preserve">10.5 Outcomes Achieved</w:t>
      </w:r>
    </w:p>
    <w:p>
      <w:pPr>
        <w:spacing w:before="80" w:after="120"/>
        <w:jc w:val="both"/>
      </w:pPr>
      <w:r>
        <w:rPr>
          <w:rFonts w:ascii="Arial" w:cs="Arial" w:eastAsia="Arial" w:hAnsi="Arial"/>
          <w:color w:val="2B2B2B"/>
          <w:sz w:val="22"/>
          <w:szCs w:val="22"/>
        </w:rPr>
        <w:t xml:space="preserve">By applying the BLAC framework consistently throughout the programme, the company achieves the following outcomes.</w:t>
      </w:r>
    </w:p>
    <w:p>
      <w:pPr>
        <w:pStyle w:val="ListParagraph"/>
        <w:numPr>
          <w:ilvl w:val="0"/>
          <w:numId w:val="2"/>
        </w:numPr>
        <w:spacing w:before="60" w:after="60"/>
      </w:pPr>
      <w:r>
        <w:rPr>
          <w:rFonts w:ascii="Arial" w:cs="Arial" w:eastAsia="Arial" w:hAnsi="Arial"/>
          <w:color w:val="2B2B2B"/>
          <w:sz w:val="22"/>
          <w:szCs w:val="22"/>
        </w:rPr>
        <w:t xml:space="preserve">The Cloud Landing Zone is delivered in month four, providing the foundation for all subsequent cloud-native workloads.</w:t>
      </w:r>
    </w:p>
    <w:p>
      <w:pPr>
        <w:pStyle w:val="ListParagraph"/>
        <w:numPr>
          <w:ilvl w:val="0"/>
          <w:numId w:val="2"/>
        </w:numPr>
        <w:spacing w:before="60" w:after="60"/>
      </w:pPr>
      <w:r>
        <w:rPr>
          <w:rFonts w:ascii="Arial" w:cs="Arial" w:eastAsia="Arial" w:hAnsi="Arial"/>
          <w:color w:val="2B2B2B"/>
          <w:sz w:val="22"/>
          <w:szCs w:val="22"/>
        </w:rPr>
        <w:t xml:space="preserve">The Customer Data Platform is operational by month 14, creating a single authoritative view of customer data for the first time.</w:t>
      </w:r>
    </w:p>
    <w:p>
      <w:pPr>
        <w:pStyle w:val="ListParagraph"/>
        <w:numPr>
          <w:ilvl w:val="0"/>
          <w:numId w:val="2"/>
        </w:numPr>
        <w:spacing w:before="60" w:after="60"/>
      </w:pPr>
      <w:r>
        <w:rPr>
          <w:rFonts w:ascii="Arial" w:cs="Arial" w:eastAsia="Arial" w:hAnsi="Arial"/>
          <w:color w:val="2B2B2B"/>
          <w:sz w:val="22"/>
          <w:szCs w:val="22"/>
        </w:rPr>
        <w:t xml:space="preserve">The digital B2B platform launches in month 16, two months ahead of schedule. Within six months, it generates 15 percent of the company's enterprise revenue.</w:t>
      </w:r>
    </w:p>
    <w:p>
      <w:pPr>
        <w:pStyle w:val="ListParagraph"/>
        <w:numPr>
          <w:ilvl w:val="0"/>
          <w:numId w:val="2"/>
        </w:numPr>
        <w:spacing w:before="60" w:after="60"/>
      </w:pPr>
      <w:r>
        <w:rPr>
          <w:rFonts w:ascii="Arial" w:cs="Arial" w:eastAsia="Arial" w:hAnsi="Arial"/>
          <w:color w:val="2B2B2B"/>
          <w:sz w:val="22"/>
          <w:szCs w:val="22"/>
        </w:rPr>
        <w:t xml:space="preserve">By the end of Phase 1, the Net Promoter Score improves from 15 to 28. This improvement is directly attributed to the improved Customer Management capability.</w:t>
      </w:r>
    </w:p>
    <w:p>
      <w:pPr>
        <w:pStyle w:val="ListParagraph"/>
        <w:numPr>
          <w:ilvl w:val="0"/>
          <w:numId w:val="2"/>
        </w:numPr>
        <w:spacing w:before="60" w:after="60"/>
      </w:pPr>
      <w:r>
        <w:rPr>
          <w:rFonts w:ascii="Arial" w:cs="Arial" w:eastAsia="Arial" w:hAnsi="Arial"/>
          <w:color w:val="2B2B2B"/>
          <w:sz w:val="22"/>
          <w:szCs w:val="22"/>
        </w:rPr>
        <w:t xml:space="preserve">The number of BSS applications is reduced from 47 to 22 by the end of Phase 2, delivering cumulative savings of 18 million euros.</w:t>
      </w:r>
    </w:p>
    <w:p>
      <w:pPr>
        <w:pStyle w:val="ListParagraph"/>
        <w:numPr>
          <w:ilvl w:val="0"/>
          <w:numId w:val="2"/>
        </w:numPr>
        <w:spacing w:before="60" w:after="60"/>
      </w:pPr>
      <w:r>
        <w:rPr>
          <w:rFonts w:ascii="Arial" w:cs="Arial" w:eastAsia="Arial" w:hAnsi="Arial"/>
          <w:color w:val="2B2B2B"/>
          <w:sz w:val="22"/>
          <w:szCs w:val="22"/>
        </w:rPr>
        <w:t xml:space="preserve">The Architecture Review Board reviews 94 architecture proposals during the programme. It approves 78, conditionally approves 12, and rejects 4 on grounds of non-compliance with principles. The rejection rate of 4 percent is considered a positive indicator of a well-functioning governance process.</w:t>
      </w:r>
    </w:p>
    <w:p>
      <w:pPr>
        <w:spacing w:before="0" w:after="200"/>
      </w:pPr>
    </w:p>
    <w:p>
      <w:r>
        <w:br w:type="page"/>
      </w:r>
    </w:p>
    <w:p>
      <w:pPr>
        <w:pBdr>
          <w:bottom w:val="single" w:color="0070AD" w:sz="14" w:space="10"/>
        </w:pBdr>
        <w:spacing w:before="520" w:after="0"/>
      </w:pPr>
      <w:r>
        <w:rPr>
          <w:rFonts w:ascii="Arial" w:cs="Arial" w:eastAsia="Arial" w:hAnsi="Arial"/>
          <w:color w:val="555555"/>
          <w:sz w:val="22"/>
          <w:szCs w:val="22"/>
        </w:rPr>
        <w:t xml:space="preserve">Section 11   </w:t>
      </w:r>
      <w:r>
        <w:rPr>
          <w:rFonts w:ascii="Arial" w:cs="Arial" w:eastAsia="Arial" w:hAnsi="Arial"/>
          <w:b/>
          <w:bCs/>
          <w:color w:val="0070AD"/>
          <w:sz w:val="72"/>
          <w:szCs w:val="72"/>
        </w:rPr>
        <w:t xml:space="preserve">Best Practices</w:t>
      </w:r>
      <w:r>
        <w:rPr>
          <w:rFonts w:ascii="Arial" w:cs="Arial" w:eastAsia="Arial" w:hAnsi="Arial"/>
          <w:color w:val="2B2B2B"/>
          <w:sz w:val="34"/>
          <w:szCs w:val="34"/>
        </w:rPr>
        <w:t xml:space="preserve">   </w:t>
      </w:r>
    </w:p>
    <w:p>
      <w:pPr>
        <w:spacing w:before="0" w:after="180"/>
      </w:pPr>
    </w:p>
    <w:p>
      <w:pPr>
        <w:pStyle w:val="Heading1"/>
        <w:pBdr>
          <w:bottom w:val="single" w:color="0070AD" w:sz="10" w:space="8"/>
        </w:pBdr>
        <w:spacing w:before="420" w:after="180"/>
      </w:pPr>
      <w:r>
        <w:rPr>
          <w:rFonts w:ascii="Arial" w:cs="Arial" w:eastAsia="Arial" w:hAnsi="Arial"/>
          <w:b/>
          <w:bCs/>
          <w:color w:val="0070AD"/>
          <w:sz w:val="38"/>
          <w:szCs w:val="38"/>
        </w:rPr>
        <w:t xml:space="preserve">11. Best Practices</w:t>
      </w:r>
    </w:p>
    <w:p>
      <w:pPr>
        <w:spacing w:before="80" w:after="120"/>
        <w:jc w:val="both"/>
      </w:pPr>
      <w:r>
        <w:rPr>
          <w:rFonts w:ascii="Arial" w:cs="Arial" w:eastAsia="Arial" w:hAnsi="Arial"/>
          <w:color w:val="2B2B2B"/>
          <w:sz w:val="22"/>
          <w:szCs w:val="22"/>
        </w:rPr>
        <w:t xml:space="preserve">Applying BLAC effectively requires more than following a methodology. It requires good judgement, strong stakeholder engagement, and a commitment to quality throughout the architecture lifecycle. The following best practices have been developed from Capgemini's experience in applying BLAC across a wide range of enterprise transformation programmes.</w:t>
      </w:r>
    </w:p>
    <w:p>
      <w:pPr>
        <w:spacing w:before="0" w:after="120"/>
      </w:pPr>
    </w:p>
    <w:p>
      <w:pPr>
        <w:pStyle w:val="Heading2"/>
        <w:spacing w:before="300" w:after="120"/>
      </w:pPr>
      <w:r>
        <w:rPr>
          <w:rFonts w:ascii="Arial" w:cs="Arial" w:eastAsia="Arial" w:hAnsi="Arial"/>
          <w:b/>
          <w:bCs/>
          <w:color w:val="00477A"/>
          <w:sz w:val="28"/>
          <w:szCs w:val="28"/>
        </w:rPr>
        <w:t xml:space="preserve">11.1 Recommended Approaches</w:t>
      </w:r>
    </w:p>
    <w:p>
      <w:pPr>
        <w:pStyle w:val="Heading3"/>
        <w:spacing w:before="220" w:after="100"/>
      </w:pPr>
      <w:r>
        <w:rPr>
          <w:rFonts w:ascii="Arial" w:cs="Arial" w:eastAsia="Arial" w:hAnsi="Arial"/>
          <w:b/>
          <w:bCs/>
          <w:color w:val="007C8A"/>
          <w:sz w:val="24"/>
          <w:szCs w:val="24"/>
        </w:rPr>
        <w:t xml:space="preserve">Start with the Business Dimension</w:t>
      </w:r>
    </w:p>
    <w:p>
      <w:pPr>
        <w:spacing w:before="80" w:after="120"/>
        <w:jc w:val="both"/>
      </w:pPr>
      <w:r>
        <w:rPr>
          <w:rFonts w:ascii="Arial" w:cs="Arial" w:eastAsia="Arial" w:hAnsi="Arial"/>
          <w:color w:val="2B2B2B"/>
          <w:sz w:val="22"/>
          <w:szCs w:val="22"/>
        </w:rPr>
        <w:t xml:space="preserve">Always begin a BLAC engagement by establishing a clear and shared understanding of the Business dimension. Without this foundation, all subsequent architecture work risks being misaligned with strategic intent. Invest adequate time in stakeholder interviews, strategy workshops, and capability modelling before beginning landscape assessment or architecture design.</w:t>
      </w:r>
    </w:p>
    <w:p>
      <w:pPr>
        <w:spacing w:before="0" w:after="120"/>
      </w:pPr>
    </w:p>
    <w:p>
      <w:pPr>
        <w:pStyle w:val="Heading3"/>
        <w:spacing w:before="220" w:after="100"/>
      </w:pPr>
      <w:r>
        <w:rPr>
          <w:rFonts w:ascii="Arial" w:cs="Arial" w:eastAsia="Arial" w:hAnsi="Arial"/>
          <w:b/>
          <w:bCs/>
          <w:color w:val="007C8A"/>
          <w:sz w:val="24"/>
          <w:szCs w:val="24"/>
        </w:rPr>
        <w:t xml:space="preserve">Engage Business Stakeholders Continuously</w:t>
      </w:r>
    </w:p>
    <w:p>
      <w:pPr>
        <w:spacing w:before="80" w:after="120"/>
        <w:jc w:val="both"/>
      </w:pPr>
      <w:r>
        <w:rPr>
          <w:rFonts w:ascii="Arial" w:cs="Arial" w:eastAsia="Arial" w:hAnsi="Arial"/>
          <w:color w:val="2B2B2B"/>
          <w:sz w:val="22"/>
          <w:szCs w:val="22"/>
        </w:rPr>
        <w:t xml:space="preserve">Architecture work that is conducted in isolation from business stakeholders produces outputs that are technically sound but strategically irrelevant. Engage business leaders, capability owners, and process owners throughout the BLAC engagement. Use artefacts such as capability maps and transformation roadmaps to maintain the conversation in business language.</w:t>
      </w:r>
    </w:p>
    <w:p>
      <w:pPr>
        <w:spacing w:before="0" w:after="120"/>
      </w:pPr>
    </w:p>
    <w:p>
      <w:pPr>
        <w:pStyle w:val="Heading3"/>
        <w:spacing w:before="220" w:after="100"/>
      </w:pPr>
      <w:r>
        <w:rPr>
          <w:rFonts w:ascii="Arial" w:cs="Arial" w:eastAsia="Arial" w:hAnsi="Arial"/>
          <w:b/>
          <w:bCs/>
          <w:color w:val="007C8A"/>
          <w:sz w:val="24"/>
          <w:szCs w:val="24"/>
        </w:rPr>
        <w:t xml:space="preserve">Use Capability Maps as the Transformation Anchor</w:t>
      </w:r>
    </w:p>
    <w:p>
      <w:pPr>
        <w:spacing w:before="80" w:after="120"/>
        <w:jc w:val="both"/>
      </w:pPr>
      <w:r>
        <w:rPr>
          <w:rFonts w:ascii="Arial" w:cs="Arial" w:eastAsia="Arial" w:hAnsi="Arial"/>
          <w:color w:val="2B2B2B"/>
          <w:sz w:val="22"/>
          <w:szCs w:val="22"/>
        </w:rPr>
        <w:t xml:space="preserve">The Business Capability Map is the most stable and universally understood artefact in the BLAC framework. It does not change when the organisation is restructured or when individual systems are replaced. Make the capability map the central reference point for all planning, prioritisation, and communication activities.</w:t>
      </w:r>
    </w:p>
    <w:p>
      <w:pPr>
        <w:spacing w:before="0" w:after="120"/>
      </w:pPr>
    </w:p>
    <w:p>
      <w:pPr>
        <w:pStyle w:val="Heading3"/>
        <w:spacing w:before="220" w:after="100"/>
      </w:pPr>
      <w:r>
        <w:rPr>
          <w:rFonts w:ascii="Arial" w:cs="Arial" w:eastAsia="Arial" w:hAnsi="Arial"/>
          <w:b/>
          <w:bCs/>
          <w:color w:val="007C8A"/>
          <w:sz w:val="24"/>
          <w:szCs w:val="24"/>
        </w:rPr>
        <w:t xml:space="preserve">Assess Before Designing</w:t>
      </w:r>
    </w:p>
    <w:p>
      <w:pPr>
        <w:spacing w:before="80" w:after="120"/>
        <w:jc w:val="both"/>
      </w:pPr>
      <w:r>
        <w:rPr>
          <w:rFonts w:ascii="Arial" w:cs="Arial" w:eastAsia="Arial" w:hAnsi="Arial"/>
          <w:color w:val="2B2B2B"/>
          <w:sz w:val="22"/>
          <w:szCs w:val="22"/>
        </w:rPr>
        <w:t xml:space="preserve">Always complete a thorough landscape and capability assessment before committing to a target architecture. Architecture designed without a clear understanding of the current state often underestimates complexity, integration risk, and data migration challenges. The assessment phase is not overhead. It is investment protection.</w:t>
      </w:r>
    </w:p>
    <w:p>
      <w:pPr>
        <w:spacing w:before="0" w:after="120"/>
      </w:pPr>
    </w:p>
    <w:p>
      <w:pPr>
        <w:pStyle w:val="Heading3"/>
        <w:spacing w:before="220" w:after="100"/>
      </w:pPr>
      <w:r>
        <w:rPr>
          <w:rFonts w:ascii="Arial" w:cs="Arial" w:eastAsia="Arial" w:hAnsi="Arial"/>
          <w:b/>
          <w:bCs/>
          <w:color w:val="007C8A"/>
          <w:sz w:val="24"/>
          <w:szCs w:val="24"/>
        </w:rPr>
        <w:t xml:space="preserve">Maintain the Architecture as a Living Artefact</w:t>
      </w:r>
    </w:p>
    <w:p>
      <w:pPr>
        <w:spacing w:before="80" w:after="120"/>
        <w:jc w:val="both"/>
      </w:pPr>
      <w:r>
        <w:rPr>
          <w:rFonts w:ascii="Arial" w:cs="Arial" w:eastAsia="Arial" w:hAnsi="Arial"/>
          <w:color w:val="2B2B2B"/>
          <w:sz w:val="22"/>
          <w:szCs w:val="22"/>
        </w:rPr>
        <w:t xml:space="preserve">Architecture is not a one-time deliverable. The architecture must be actively maintained throughout the transformation programme and beyond. Establish a clear process for managing architecture change requests. Update artefacts as delivery progresses. Conduct periodic architecture reviews to check that the emerging solution remains aligned with the target architecture.</w:t>
      </w:r>
    </w:p>
    <w:p>
      <w:pPr>
        <w:spacing w:before="0" w:after="120"/>
      </w:pPr>
    </w:p>
    <w:p>
      <w:pPr>
        <w:pStyle w:val="Heading3"/>
        <w:spacing w:before="220" w:after="100"/>
      </w:pPr>
      <w:r>
        <w:rPr>
          <w:rFonts w:ascii="Arial" w:cs="Arial" w:eastAsia="Arial" w:hAnsi="Arial"/>
          <w:b/>
          <w:bCs/>
          <w:color w:val="007C8A"/>
          <w:sz w:val="24"/>
          <w:szCs w:val="24"/>
        </w:rPr>
        <w:t xml:space="preserve">Establish Governance Early</w:t>
      </w:r>
    </w:p>
    <w:p>
      <w:pPr>
        <w:spacing w:before="80" w:after="120"/>
        <w:jc w:val="both"/>
      </w:pPr>
      <w:r>
        <w:rPr>
          <w:rFonts w:ascii="Arial" w:cs="Arial" w:eastAsia="Arial" w:hAnsi="Arial"/>
          <w:color w:val="2B2B2B"/>
          <w:sz w:val="22"/>
          <w:szCs w:val="22"/>
        </w:rPr>
        <w:t xml:space="preserve">Establish the Architecture Review Board and governance processes at the very beginning of the programme, before significant design work begins. Governance that is introduced after design work has started faces the challenge of retrospectively assessing decisions that have already been made and are hard to change.</w:t>
      </w:r>
    </w:p>
    <w:p>
      <w:pPr>
        <w:spacing w:before="0" w:after="120"/>
      </w:pPr>
    </w:p>
    <w:p>
      <w:pPr>
        <w:pStyle w:val="Heading2"/>
        <w:spacing w:before="300" w:after="120"/>
      </w:pPr>
      <w:r>
        <w:rPr>
          <w:rFonts w:ascii="Arial" w:cs="Arial" w:eastAsia="Arial" w:hAnsi="Arial"/>
          <w:b/>
          <w:bCs/>
          <w:color w:val="00477A"/>
          <w:sz w:val="28"/>
          <w:szCs w:val="28"/>
        </w:rPr>
        <w:t xml:space="preserve">11.2 Common Mistakes to Avoid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Mistake</w:t>
            </w:r>
          </w:p>
        </w:tc>
        <w:tc>
          <w:tcPr>
            <w:tcW w:type="dxa" w:w="32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Consequence</w:t>
            </w:r>
          </w:p>
        </w:tc>
        <w:tc>
          <w:tcPr>
            <w:tcW w:type="dxa" w:w="376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How to Avoid It</w:t>
            </w:r>
          </w:p>
        </w:tc>
      </w:tr>
      <w:tr>
        <w:tc>
          <w:tcPr>
            <w:tcW w:type="dxa" w:w="24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Skipping the landscape assessment</w:t>
            </w:r>
          </w:p>
        </w:tc>
        <w:tc>
          <w:tcPr>
            <w:tcW w:type="dxa" w:w="32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Transformation designs fail to account for existing system constraints, creating integration surprises and cost overruns.</w:t>
            </w:r>
          </w:p>
        </w:tc>
        <w:tc>
          <w:tcPr>
            <w:tcW w:type="dxa" w:w="37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Allocate dedicated time and resources to landscape assessment before beginning architecture design.</w:t>
            </w:r>
          </w:p>
        </w:tc>
      </w:tr>
      <w:tr>
        <w:tc>
          <w:tcPr>
            <w:tcW w:type="dxa" w:w="24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Treating capabilities as processes</w:t>
            </w:r>
          </w:p>
        </w:tc>
        <w:tc>
          <w:tcPr>
            <w:tcW w:type="dxa" w:w="32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Capability maps become unstable and change every time a process is redesigned or the organisation restructures.</w:t>
            </w:r>
          </w:p>
        </w:tc>
        <w:tc>
          <w:tcPr>
            <w:tcW w:type="dxa" w:w="37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Define capabilities at the right level of abstraction. They should describe what the organisation does, not how it does it.</w:t>
            </w:r>
          </w:p>
        </w:tc>
      </w:tr>
      <w:tr>
        <w:tc>
          <w:tcPr>
            <w:tcW w:type="dxa" w:w="24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Designing the target architecture in isolation</w:t>
            </w:r>
          </w:p>
        </w:tc>
        <w:tc>
          <w:tcPr>
            <w:tcW w:type="dxa" w:w="32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The target architecture is technically elegant but practically undeliverable given landscape constraints.</w:t>
            </w:r>
          </w:p>
        </w:tc>
        <w:tc>
          <w:tcPr>
            <w:tcW w:type="dxa" w:w="37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Validate the target architecture against the current landscape continuously throughout the design process.</w:t>
            </w:r>
          </w:p>
        </w:tc>
      </w:tr>
      <w:tr>
        <w:tc>
          <w:tcPr>
            <w:tcW w:type="dxa" w:w="24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Neglecting governance</w:t>
            </w:r>
          </w:p>
        </w:tc>
        <w:tc>
          <w:tcPr>
            <w:tcW w:type="dxa" w:w="32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Architecture standards are ignored. Solutions diverge from the target architecture. Technical debt accumulates.</w:t>
            </w:r>
          </w:p>
        </w:tc>
        <w:tc>
          <w:tcPr>
            <w:tcW w:type="dxa" w:w="37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Establish the ARB early. Run compliance reviews at defined milestones. Act on non-compliance promptly.</w:t>
            </w:r>
          </w:p>
        </w:tc>
      </w:tr>
      <w:tr>
        <w:tc>
          <w:tcPr>
            <w:tcW w:type="dxa" w:w="24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Over-engineering the framework</w:t>
            </w:r>
          </w:p>
        </w:tc>
        <w:tc>
          <w:tcPr>
            <w:tcW w:type="dxa" w:w="32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The BLAC process becomes bureaucratic and slows delivery without adding proportionate value.</w:t>
            </w:r>
          </w:p>
        </w:tc>
        <w:tc>
          <w:tcPr>
            <w:tcW w:type="dxa" w:w="37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Tailor the depth and formality of BLAC to the scale and complexity of the engagement. Apply it with judgement, not rigidity.</w:t>
            </w:r>
          </w:p>
        </w:tc>
      </w:tr>
      <w:tr>
        <w:tc>
          <w:tcPr>
            <w:tcW w:type="dxa" w:w="24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Failing to update artefacts</w:t>
            </w:r>
          </w:p>
        </w:tc>
        <w:tc>
          <w:tcPr>
            <w:tcW w:type="dxa" w:w="32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Architecture artefacts become outdated. Delivery teams lose confidence in them. Governance loses its reference point.</w:t>
            </w:r>
          </w:p>
        </w:tc>
        <w:tc>
          <w:tcPr>
            <w:tcW w:type="dxa" w:w="37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Assign clear ownership for each architecture artefact. Include artefact maintenance in the programme governance cadence.</w:t>
            </w:r>
          </w:p>
        </w:tc>
      </w:tr>
    </w:tbl>
    <w:p>
      <w:pPr>
        <w:spacing w:before="0" w:after="200"/>
      </w:pPr>
    </w:p>
    <w:p>
      <w:r>
        <w:br w:type="page"/>
      </w:r>
    </w:p>
    <w:p>
      <w:pPr>
        <w:pBdr>
          <w:bottom w:val="single" w:color="0070AD" w:sz="14" w:space="10"/>
        </w:pBdr>
        <w:spacing w:before="520" w:after="0"/>
      </w:pPr>
      <w:r>
        <w:rPr>
          <w:rFonts w:ascii="Arial" w:cs="Arial" w:eastAsia="Arial" w:hAnsi="Arial"/>
          <w:color w:val="555555"/>
          <w:sz w:val="22"/>
          <w:szCs w:val="22"/>
        </w:rPr>
        <w:t xml:space="preserve">Section 12   </w:t>
      </w:r>
      <w:r>
        <w:rPr>
          <w:rFonts w:ascii="Arial" w:cs="Arial" w:eastAsia="Arial" w:hAnsi="Arial"/>
          <w:b/>
          <w:bCs/>
          <w:color w:val="0070AD"/>
          <w:sz w:val="72"/>
          <w:szCs w:val="72"/>
        </w:rPr>
        <w:t xml:space="preserve">Key Takeaways</w:t>
      </w:r>
      <w:r>
        <w:rPr>
          <w:rFonts w:ascii="Arial" w:cs="Arial" w:eastAsia="Arial" w:hAnsi="Arial"/>
          <w:color w:val="2B2B2B"/>
          <w:sz w:val="34"/>
          <w:szCs w:val="34"/>
        </w:rPr>
        <w:t xml:space="preserve">   </w:t>
      </w:r>
    </w:p>
    <w:p>
      <w:pPr>
        <w:spacing w:before="0" w:after="180"/>
      </w:pPr>
    </w:p>
    <w:p>
      <w:pPr>
        <w:pStyle w:val="Heading1"/>
        <w:pBdr>
          <w:bottom w:val="single" w:color="0070AD" w:sz="10" w:space="8"/>
        </w:pBdr>
        <w:spacing w:before="420" w:after="180"/>
      </w:pPr>
      <w:r>
        <w:rPr>
          <w:rFonts w:ascii="Arial" w:cs="Arial" w:eastAsia="Arial" w:hAnsi="Arial"/>
          <w:b/>
          <w:bCs/>
          <w:color w:val="0070AD"/>
          <w:sz w:val="38"/>
          <w:szCs w:val="38"/>
        </w:rPr>
        <w:t xml:space="preserve">12. Key Takeaways</w:t>
      </w:r>
    </w:p>
    <w:p>
      <w:pPr>
        <w:spacing w:before="80" w:after="120"/>
        <w:jc w:val="both"/>
      </w:pPr>
      <w:r>
        <w:rPr>
          <w:rFonts w:ascii="Arial" w:cs="Arial" w:eastAsia="Arial" w:hAnsi="Arial"/>
          <w:color w:val="2B2B2B"/>
          <w:sz w:val="22"/>
          <w:szCs w:val="22"/>
        </w:rPr>
        <w:t xml:space="preserve">This section summarises the most important ideas from this document. It is intended as a quick reference for architects and programme teams working with the BLAC framework.</w:t>
      </w:r>
    </w:p>
    <w:p>
      <w:pPr>
        <w:spacing w:before="0" w:after="120"/>
      </w:pPr>
    </w:p>
    <w:p>
      <w:pPr>
        <w:pStyle w:val="Heading2"/>
        <w:spacing w:before="300" w:after="120"/>
      </w:pPr>
      <w:r>
        <w:rPr>
          <w:rFonts w:ascii="Arial" w:cs="Arial" w:eastAsia="Arial" w:hAnsi="Arial"/>
          <w:b/>
          <w:bCs/>
          <w:color w:val="00477A"/>
          <w:sz w:val="28"/>
          <w:szCs w:val="28"/>
        </w:rPr>
        <w:t xml:space="preserve">12.1 BLAC Provides a Unified View of the Enterprise</w:t>
      </w:r>
    </w:p>
    <w:p>
      <w:pPr>
        <w:spacing w:before="80" w:after="120"/>
        <w:jc w:val="both"/>
      </w:pPr>
      <w:r>
        <w:rPr>
          <w:rFonts w:ascii="Arial" w:cs="Arial" w:eastAsia="Arial" w:hAnsi="Arial"/>
          <w:color w:val="2B2B2B"/>
          <w:sz w:val="22"/>
          <w:szCs w:val="22"/>
        </w:rPr>
        <w:t xml:space="preserve">BLAC integrates four dimensions — Business, Landscape, Architecture, and Capabilities — into a single, coherent framework. No transformation programme can succeed by focusing on just one or two of these dimensions. All four must be understood and actively managed throughout the transformation lifecycle.</w:t>
      </w:r>
    </w:p>
    <w:p>
      <w:pPr>
        <w:spacing w:before="0" w:after="120"/>
      </w:pPr>
    </w:p>
    <w:p>
      <w:pPr>
        <w:pStyle w:val="Heading2"/>
        <w:spacing w:before="300" w:after="120"/>
      </w:pPr>
      <w:r>
        <w:rPr>
          <w:rFonts w:ascii="Arial" w:cs="Arial" w:eastAsia="Arial" w:hAnsi="Arial"/>
          <w:b/>
          <w:bCs/>
          <w:color w:val="00477A"/>
          <w:sz w:val="28"/>
          <w:szCs w:val="28"/>
        </w:rPr>
        <w:t xml:space="preserve">12.2 Business Strategy Is the Anchor</w:t>
      </w:r>
    </w:p>
    <w:p>
      <w:pPr>
        <w:spacing w:before="80" w:after="120"/>
        <w:jc w:val="both"/>
      </w:pPr>
      <w:r>
        <w:rPr>
          <w:rFonts w:ascii="Arial" w:cs="Arial" w:eastAsia="Arial" w:hAnsi="Arial"/>
          <w:color w:val="2B2B2B"/>
          <w:sz w:val="22"/>
          <w:szCs w:val="22"/>
        </w:rPr>
        <w:t xml:space="preserve">The Business dimension is the foundation upon which all other BLAC dimensions rest. Every architecture decision, every landscape assessment, and every capability improvement must be traceable to a defined business strategy and a set of explicit business outcomes. Lose sight of the business, and the architecture will lose its purpose.</w:t>
      </w:r>
    </w:p>
    <w:p>
      <w:pPr>
        <w:spacing w:before="0" w:after="120"/>
      </w:pPr>
    </w:p>
    <w:p>
      <w:pPr>
        <w:pStyle w:val="Heading2"/>
        <w:spacing w:before="300" w:after="120"/>
      </w:pPr>
      <w:r>
        <w:rPr>
          <w:rFonts w:ascii="Arial" w:cs="Arial" w:eastAsia="Arial" w:hAnsi="Arial"/>
          <w:b/>
          <w:bCs/>
          <w:color w:val="00477A"/>
          <w:sz w:val="28"/>
          <w:szCs w:val="28"/>
        </w:rPr>
        <w:t xml:space="preserve">12.3 Know Your Landscape Before You Design</w:t>
      </w:r>
    </w:p>
    <w:p>
      <w:pPr>
        <w:spacing w:before="80" w:after="120"/>
        <w:jc w:val="both"/>
      </w:pPr>
      <w:r>
        <w:rPr>
          <w:rFonts w:ascii="Arial" w:cs="Arial" w:eastAsia="Arial" w:hAnsi="Arial"/>
          <w:color w:val="2B2B2B"/>
          <w:sz w:val="22"/>
          <w:szCs w:val="22"/>
        </w:rPr>
        <w:t xml:space="preserve">The Landscape dimension is often underestimated. Organisations are frequently surprised by the complexity of their existing estate when they begin a transformation. Invest adequately in landscape assessment before beginning architecture design. The investment pays dividends throughout the programme.</w:t>
      </w:r>
    </w:p>
    <w:p>
      <w:pPr>
        <w:spacing w:before="0" w:after="120"/>
      </w:pPr>
    </w:p>
    <w:p>
      <w:pPr>
        <w:pStyle w:val="Heading2"/>
        <w:spacing w:before="300" w:after="120"/>
      </w:pPr>
      <w:r>
        <w:rPr>
          <w:rFonts w:ascii="Arial" w:cs="Arial" w:eastAsia="Arial" w:hAnsi="Arial"/>
          <w:b/>
          <w:bCs/>
          <w:color w:val="00477A"/>
          <w:sz w:val="28"/>
          <w:szCs w:val="28"/>
        </w:rPr>
        <w:t xml:space="preserve">12.4 Capabilities Bridge Business and Technology</w:t>
      </w:r>
    </w:p>
    <w:p>
      <w:pPr>
        <w:spacing w:before="80" w:after="120"/>
        <w:jc w:val="both"/>
      </w:pPr>
      <w:r>
        <w:rPr>
          <w:rFonts w:ascii="Arial" w:cs="Arial" w:eastAsia="Arial" w:hAnsi="Arial"/>
          <w:color w:val="2B2B2B"/>
          <w:sz w:val="22"/>
          <w:szCs w:val="22"/>
        </w:rPr>
        <w:t xml:space="preserve">The Capability dimension is the most powerful translator between business language and technology language. A well-constructed capability map allows business leaders and technology leaders to discuss transformation priorities in shared terms. It is the artefact that most effectively maintains business alignment throughout a long and complex transformation programme.</w:t>
      </w:r>
    </w:p>
    <w:p>
      <w:pPr>
        <w:spacing w:before="0" w:after="120"/>
      </w:pPr>
    </w:p>
    <w:p>
      <w:pPr>
        <w:pStyle w:val="Heading2"/>
        <w:spacing w:before="300" w:after="120"/>
      </w:pPr>
      <w:r>
        <w:rPr>
          <w:rFonts w:ascii="Arial" w:cs="Arial" w:eastAsia="Arial" w:hAnsi="Arial"/>
          <w:b/>
          <w:bCs/>
          <w:color w:val="00477A"/>
          <w:sz w:val="28"/>
          <w:szCs w:val="28"/>
        </w:rPr>
        <w:t xml:space="preserve">12.5 Architecture Must Be Governed</w:t>
      </w:r>
    </w:p>
    <w:p>
      <w:pPr>
        <w:spacing w:before="80" w:after="120"/>
        <w:jc w:val="both"/>
      </w:pPr>
      <w:r>
        <w:rPr>
          <w:rFonts w:ascii="Arial" w:cs="Arial" w:eastAsia="Arial" w:hAnsi="Arial"/>
          <w:color w:val="2B2B2B"/>
          <w:sz w:val="22"/>
          <w:szCs w:val="22"/>
        </w:rPr>
        <w:t xml:space="preserve">Good architecture design is necessary but not sufficient. Without governance, even the best architecture designs are undermined by inconsistent implementation. Establish governance structures early. Run compliance reviews consistently. Record all significant decisions. The Architecture Review Board and Architecture Decision Records are not bureaucratic overhead. They are essential mechanisms for protecting the value of the architecture investment.</w:t>
      </w:r>
    </w:p>
    <w:p>
      <w:pPr>
        <w:spacing w:before="0" w:after="120"/>
      </w:pPr>
    </w:p>
    <w:p>
      <w:pPr>
        <w:pStyle w:val="Heading2"/>
        <w:spacing w:before="300" w:after="120"/>
      </w:pPr>
      <w:r>
        <w:rPr>
          <w:rFonts w:ascii="Arial" w:cs="Arial" w:eastAsia="Arial" w:hAnsi="Arial"/>
          <w:b/>
          <w:bCs/>
          <w:color w:val="00477A"/>
          <w:sz w:val="28"/>
          <w:szCs w:val="28"/>
        </w:rPr>
        <w:t xml:space="preserve">12.6 BLAC Is a Framework, Not a Formula</w:t>
      </w:r>
    </w:p>
    <w:p>
      <w:pPr>
        <w:spacing w:before="80" w:after="120"/>
        <w:jc w:val="both"/>
      </w:pPr>
      <w:r>
        <w:rPr>
          <w:rFonts w:ascii="Arial" w:cs="Arial" w:eastAsia="Arial" w:hAnsi="Arial"/>
          <w:color w:val="2B2B2B"/>
          <w:sz w:val="22"/>
          <w:szCs w:val="22"/>
        </w:rPr>
        <w:t xml:space="preserve">BLAC should be applied with judgement and adaptability. Different engagements require different depths of analysis across the four dimensions. A large-scale, multi-year transformation may require comprehensive analysis across all four dimensions. A focused solution architecture engagement may require only targeted application of selected BLAC concepts. The skill of an experienced architect lies in knowing how to apply the framework appropriately for the context.</w:t>
      </w:r>
    </w:p>
    <w:p>
      <w:pPr>
        <w:spacing w:before="0" w:after="120"/>
      </w:pPr>
    </w:p>
    <w:p>
      <w:pPr>
        <w:pStyle w:val="Heading2"/>
        <w:spacing w:before="300" w:after="120"/>
      </w:pPr>
      <w:r>
        <w:rPr>
          <w:rFonts w:ascii="Arial" w:cs="Arial" w:eastAsia="Arial" w:hAnsi="Arial"/>
          <w:b/>
          <w:bCs/>
          <w:color w:val="00477A"/>
          <w:sz w:val="28"/>
          <w:szCs w:val="28"/>
        </w:rPr>
        <w:t xml:space="preserve">12.7 Architecture Is a Continuous Discipline</w:t>
      </w:r>
    </w:p>
    <w:p>
      <w:pPr>
        <w:spacing w:before="80" w:after="120"/>
        <w:jc w:val="both"/>
      </w:pPr>
      <w:r>
        <w:rPr>
          <w:rFonts w:ascii="Arial" w:cs="Arial" w:eastAsia="Arial" w:hAnsi="Arial"/>
          <w:color w:val="2B2B2B"/>
          <w:sz w:val="22"/>
          <w:szCs w:val="22"/>
        </w:rPr>
        <w:t xml:space="preserve">Architecture work does not end when the design is approved. It continues throughout delivery, as solutions are built and the landscape evolves. It continues beyond the initial transformation, as the organisation adapts to new strategic priorities and technology opportunities. BLAC provides the structure for architecture to be practised as the continuous, professional discipline it must be in a complex and fast-changing enterprise environment.</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D9EF" w:sz="1"/>
              <w:left w:val="single" w:color="0070AD" w:sz="18"/>
              <w:bottom w:val="single" w:color="B8D9EF" w:sz="1"/>
              <w:right w:val="single" w:color="B8D9EF" w:sz="1"/>
            </w:tcBorders>
            <w:shd w:fill="E6F2FA" w:val="clear"/>
            <w:tcMar>
              <w:top w:type="dxa" w:w="140"/>
              <w:left w:type="dxa" w:w="240"/>
              <w:bottom w:type="dxa" w:w="140"/>
              <w:right w:type="dxa" w:w="200"/>
            </w:tcMar>
          </w:tcPr>
          <w:p>
            <w:pPr>
              <w:spacing w:before="0" w:after="60"/>
            </w:pPr>
            <w:r>
              <w:rPr>
                <w:rFonts w:ascii="Arial" w:cs="Arial" w:eastAsia="Arial" w:hAnsi="Arial"/>
                <w:b/>
                <w:bCs/>
                <w:color w:val="0070AD"/>
                <w:sz w:val="22"/>
                <w:szCs w:val="22"/>
              </w:rPr>
              <w:t xml:space="preserve">Closing Statement</w:t>
            </w:r>
          </w:p>
          <w:p>
            <w:pPr>
              <w:spacing w:before="0" w:after="0"/>
            </w:pPr>
            <w:r>
              <w:rPr>
                <w:rFonts w:ascii="Arial" w:cs="Arial" w:eastAsia="Arial" w:hAnsi="Arial"/>
                <w:color w:val="2B2B2B"/>
                <w:sz w:val="20"/>
                <w:szCs w:val="20"/>
              </w:rPr>
              <w:t xml:space="preserve">BLAC is not a methodology for technology projects. It is a framework for enterprise transformation. It keeps the focus on business value, grounded in landscape reality, structured by architecture discipline, and driven by capability thinking. Apply it well, and transformation programmes become coherent, purposeful, and measurable. Apply it poorly, and even the most technically advanced solutions will fail to deliver the business outcomes that justify them.</w:t>
            </w:r>
          </w:p>
        </w:tc>
      </w:tr>
    </w:tbl>
    <w:p>
      <w:pPr>
        <w:spacing w:before="0" w:after="200"/>
      </w:pPr>
    </w:p>
    <w:p>
      <w:r>
        <w:br w:type="page"/>
      </w:r>
    </w:p>
    <w:p>
      <w:pPr>
        <w:pStyle w:val="Heading1"/>
        <w:pBdr>
          <w:bottom w:val="single" w:color="0070AD" w:sz="10" w:space="8"/>
        </w:pBdr>
        <w:spacing w:before="420" w:after="180"/>
      </w:pPr>
      <w:r>
        <w:rPr>
          <w:rFonts w:ascii="Arial" w:cs="Arial" w:eastAsia="Arial" w:hAnsi="Arial"/>
          <w:b/>
          <w:bCs/>
          <w:color w:val="0070AD"/>
          <w:sz w:val="38"/>
          <w:szCs w:val="38"/>
        </w:rPr>
        <w:t xml:space="preserve">Glossary of Key Terms</w:t>
      </w:r>
    </w:p>
    <w:p>
      <w:pPr>
        <w:spacing w:before="80" w:after="120"/>
        <w:jc w:val="both"/>
      </w:pPr>
      <w:r>
        <w:rPr>
          <w:rFonts w:ascii="Arial" w:cs="Arial" w:eastAsia="Arial" w:hAnsi="Arial"/>
          <w:color w:val="2B2B2B"/>
          <w:sz w:val="22"/>
          <w:szCs w:val="22"/>
        </w:rPr>
        <w:t xml:space="preserve">The following definitions apply throughout this document.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Term</w:t>
            </w:r>
          </w:p>
        </w:tc>
        <w:tc>
          <w:tcPr>
            <w:tcW w:type="dxa" w:w="6560"/>
            <w:tcBorders>
              <w:top w:val="single" w:color="FFFFFF" w:sz="1"/>
              <w:left w:val="single" w:color="FFFFFF" w:sz="1"/>
              <w:bottom w:val="single" w:color="FFFFFF" w:sz="1"/>
              <w:right w:val="single" w:color="FFFFFF" w:sz="1"/>
            </w:tcBorders>
            <w:shd w:fill="0070AD" w:val="clear"/>
            <w:tcMar>
              <w:top w:type="dxa" w:w="100"/>
              <w:left w:type="dxa" w:w="160"/>
              <w:bottom w:type="dxa" w:w="100"/>
              <w:right w:type="dxa" w:w="160"/>
            </w:tcMar>
          </w:tcPr>
          <w:p>
            <w:r>
              <w:rPr>
                <w:rFonts w:ascii="Arial" w:cs="Arial" w:eastAsia="Arial" w:hAnsi="Arial"/>
                <w:b/>
                <w:bCs/>
                <w:color w:val="FFFFFF"/>
                <w:sz w:val="21"/>
                <w:szCs w:val="21"/>
              </w:rPr>
              <w:t xml:space="preserve">Definition</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ADR</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Architecture Decision Record. A document capturing a significant architecture decision, its context, options, rationale, and consequences.</w:t>
            </w:r>
          </w:p>
        </w:tc>
      </w:tr>
      <w:tr>
        <w:tc>
          <w:tcPr>
            <w:tcW w:type="dxa" w:w="2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ARB</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Architecture Review Board. The governance body responsible for reviewing and approving architecture decisions.</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BLAC</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Business, Landscape, Architecture, and Capabilities. The Capgemini enterprise architecture framework described in this document.</w:t>
            </w:r>
          </w:p>
        </w:tc>
      </w:tr>
      <w:tr>
        <w:tc>
          <w:tcPr>
            <w:tcW w:type="dxa" w:w="2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BSS</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Business Support Systems. The software platforms that support business operations such as customer management, billing, and order management in telecommunications organisations.</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Business Capability</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A stable description of something the organisation must be able to do to execute its strategy, independent of how it currently does it.</w:t>
            </w:r>
          </w:p>
        </w:tc>
      </w:tr>
      <w:tr>
        <w:tc>
          <w:tcPr>
            <w:tcW w:type="dxa" w:w="2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Capability Map</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A hierarchical visual representation of the business capabilities of an organisation, used as the primary planning and communication tool in BLAC engagements.</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Capability Maturity</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An assessment of how well the organisation currently performs a given capability, typically measured on a five-level scale from Initial to Optimised.</w:t>
            </w:r>
          </w:p>
        </w:tc>
      </w:tr>
      <w:tr>
        <w:tc>
          <w:tcPr>
            <w:tcW w:type="dxa" w:w="2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IT Landscape</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The full set of technology systems, applications, data sources, and integrations that the organisation operates, owns, or depends upon.</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OSS</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Operations Support Systems. The technology systems that support the management and operation of a telecommunications network.</w:t>
            </w:r>
          </w:p>
        </w:tc>
      </w:tr>
      <w:tr>
        <w:tc>
          <w:tcPr>
            <w:tcW w:type="dxa" w:w="2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Target Architecture</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A comprehensive description of the desired future state of the architecture across all relevant layers and dimensions.</w:t>
            </w:r>
          </w:p>
        </w:tc>
      </w:tr>
      <w:tr>
        <w:tc>
          <w:tcPr>
            <w:tcW w:type="dxa" w:w="280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Transformation Roadmap</w:t>
            </w:r>
          </w:p>
        </w:tc>
        <w:tc>
          <w:tcPr>
            <w:tcW w:type="dxa" w:w="6560"/>
            <w:tcBorders>
              <w:top w:val="single" w:color="B8D9EF" w:sz="1"/>
              <w:left w:val="single" w:color="B8D9EF" w:sz="1"/>
              <w:bottom w:val="single" w:color="B8D9EF" w:sz="1"/>
              <w:right w:val="single" w:color="B8D9EF" w:sz="1"/>
            </w:tcBorders>
            <w:shd w:fill="FFFFFF" w:val="clear"/>
            <w:tcMar>
              <w:top w:type="dxa" w:w="80"/>
              <w:left w:type="dxa" w:w="160"/>
              <w:bottom w:type="dxa" w:w="80"/>
              <w:right w:type="dxa" w:w="160"/>
            </w:tcMar>
          </w:tcPr>
          <w:p>
            <w:r>
              <w:rPr>
                <w:rFonts w:ascii="Arial" w:cs="Arial" w:eastAsia="Arial" w:hAnsi="Arial"/>
                <w:color w:val="2B2B2B"/>
                <w:sz w:val="20"/>
                <w:szCs w:val="20"/>
              </w:rPr>
              <w:t xml:space="preserve">A multi-year programme plan that combines architecture changes, process redesign, organisational development, and technology delivery into a coherent sequence of delivery phases.</w:t>
            </w:r>
          </w:p>
        </w:tc>
      </w:tr>
      <w:tr>
        <w:tc>
          <w:tcPr>
            <w:tcW w:type="dxa" w:w="280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Value Stream</w:t>
            </w:r>
          </w:p>
        </w:tc>
        <w:tc>
          <w:tcPr>
            <w:tcW w:type="dxa" w:w="6560"/>
            <w:tcBorders>
              <w:top w:val="single" w:color="B8D9EF" w:sz="1"/>
              <w:left w:val="single" w:color="B8D9EF" w:sz="1"/>
              <w:bottom w:val="single" w:color="B8D9EF" w:sz="1"/>
              <w:right w:val="single" w:color="B8D9EF" w:sz="1"/>
            </w:tcBorders>
            <w:shd w:fill="F4F4F4" w:val="clear"/>
            <w:tcMar>
              <w:top w:type="dxa" w:w="80"/>
              <w:left w:type="dxa" w:w="160"/>
              <w:bottom w:type="dxa" w:w="80"/>
              <w:right w:type="dxa" w:w="160"/>
            </w:tcMar>
          </w:tcPr>
          <w:p>
            <w:r>
              <w:rPr>
                <w:rFonts w:ascii="Arial" w:cs="Arial" w:eastAsia="Arial" w:hAnsi="Arial"/>
                <w:color w:val="2B2B2B"/>
                <w:sz w:val="20"/>
                <w:szCs w:val="20"/>
              </w:rPr>
              <w:t xml:space="preserve">An end-to-end sequence of activities that creates and delivers value to a customer or stakeholder.</w:t>
            </w:r>
          </w:p>
        </w:tc>
      </w:tr>
    </w:tbl>
    <w:p>
      <w:pPr>
        <w:spacing w:before="0" w:after="200"/>
      </w:pPr>
    </w:p>
    <w:p>
      <w:pPr>
        <w:pBdr>
          <w:top w:val="single" w:color="0070AD" w:sz="4" w:space="8"/>
        </w:pBdr>
        <w:spacing w:before="400" w:after="0"/>
        <w:jc w:val="center"/>
      </w:pPr>
      <w:r>
        <w:rPr>
          <w:rFonts w:ascii="Arial" w:cs="Arial" w:eastAsia="Arial" w:hAnsi="Arial"/>
          <w:i/>
          <w:iCs/>
          <w:color w:val="555555"/>
          <w:sz w:val="18"/>
          <w:szCs w:val="18"/>
        </w:rPr>
        <w:t xml:space="preserve">© 2026 Capgemini. All rights reserved.  |  Confidential — For Internal Use Only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0AD" w:sz="4" w:space="4"/>
      </w:pBdr>
      <w:tabs>
        <w:tab w:val="right" w:pos="9026"/>
      </w:tabs>
      <w:spacing w:before="100" w:after="0"/>
    </w:pPr>
    <w:r>
      <w:rPr>
        <w:rFonts w:ascii="Arial" w:cs="Arial" w:eastAsia="Arial" w:hAnsi="Arial"/>
        <w:color w:val="555555"/>
        <w:sz w:val="18"/>
        <w:szCs w:val="18"/>
      </w:rPr>
      <w:t xml:space="preserve">Confidential — Internal Use Only</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AD" w:sz="4" w:space="4"/>
      </w:pBdr>
      <w:spacing w:before="0" w:after="100"/>
    </w:pPr>
    <w:r>
      <w:rPr>
        <w:rFonts w:ascii="Arial" w:cs="Arial" w:eastAsia="Arial" w:hAnsi="Arial"/>
        <w:color w:val="555555"/>
        <w:sz w:val="18"/>
        <w:szCs w:val="18"/>
      </w:rPr>
      <w:t xml:space="preserve">Capgemini BLAC  |  Business, Landscape, Architecture, and Capabilities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20" w:after="180"/>
      <w:outlineLvl w:val="0"/>
    </w:pPr>
    <w:rPr>
      <w:rFonts w:ascii="Arial" w:cs="Arial" w:eastAsia="Arial" w:hAnsi="Arial"/>
      <w:b/>
      <w:bCs/>
      <w:color w:val="0070AD"/>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00477A"/>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07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2026-03-05T20:35:06.357Z</dcterms:created>
  <dcterms:modified xsi:type="dcterms:W3CDTF">2026-03-05T20:35:06.358Z</dcterms:modified>
</cp:coreProperties>
</file>

<file path=docProps/custom.xml><?xml version="1.0" encoding="utf-8"?>
<Properties xmlns="http://schemas.openxmlformats.org/officeDocument/2006/custom-properties" xmlns:vt="http://schemas.openxmlformats.org/officeDocument/2006/docPropsVTypes"/>
</file>