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329F" w14:textId="77777777" w:rsidR="00FB3294" w:rsidRDefault="00FB3294">
      <w:pPr>
        <w:spacing w:after="60"/>
      </w:pPr>
    </w:p>
    <w:p w14:paraId="5625F618" w14:textId="77777777" w:rsidR="00FB3294" w:rsidRDefault="00000000">
      <w:pPr>
        <w:spacing w:after="80"/>
        <w:jc w:val="center"/>
      </w:pPr>
      <w:r>
        <w:rPr>
          <w:b/>
          <w:bCs/>
          <w:color w:val="1B3A5C"/>
          <w:sz w:val="40"/>
          <w:szCs w:val="40"/>
        </w:rPr>
        <w:t>OPINIA PRAWNA</w:t>
      </w:r>
    </w:p>
    <w:p w14:paraId="095EEBFC" w14:textId="77777777" w:rsidR="00FB3294" w:rsidRDefault="00000000">
      <w:pPr>
        <w:spacing w:after="300"/>
        <w:jc w:val="center"/>
      </w:pPr>
      <w:r>
        <w:rPr>
          <w:color w:val="D4740A"/>
          <w:sz w:val="26"/>
          <w:szCs w:val="26"/>
        </w:rPr>
        <w:t>w sprawie niewypełnionej premii za rok obrotowy 2025</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6"/>
      </w:tblGrid>
      <w:tr w:rsidR="00FB3294" w14:paraId="68EEB09A" w14:textId="77777777">
        <w:tblPrEx>
          <w:tblCellMar>
            <w:top w:w="0" w:type="dxa"/>
            <w:bottom w:w="0" w:type="dxa"/>
          </w:tblCellMar>
        </w:tblPrEx>
        <w:tc>
          <w:tcPr>
            <w:tcW w:w="2800" w:type="dxa"/>
            <w:tcMar>
              <w:top w:w="60" w:type="dxa"/>
              <w:left w:w="100" w:type="dxa"/>
              <w:bottom w:w="60" w:type="dxa"/>
              <w:right w:w="100" w:type="dxa"/>
            </w:tcMar>
          </w:tcPr>
          <w:p w14:paraId="198FE04A" w14:textId="77777777" w:rsidR="00FB3294" w:rsidRDefault="00000000">
            <w:r>
              <w:rPr>
                <w:b/>
                <w:bCs/>
                <w:color w:val="1B3A5C"/>
                <w:sz w:val="20"/>
                <w:szCs w:val="20"/>
              </w:rPr>
              <w:t>Zleceniodawca:</w:t>
            </w:r>
          </w:p>
        </w:tc>
        <w:tc>
          <w:tcPr>
            <w:tcW w:w="6706" w:type="dxa"/>
            <w:tcMar>
              <w:top w:w="60" w:type="dxa"/>
              <w:left w:w="100" w:type="dxa"/>
              <w:bottom w:w="60" w:type="dxa"/>
              <w:right w:w="100" w:type="dxa"/>
            </w:tcMar>
          </w:tcPr>
          <w:p w14:paraId="3F9C4422" w14:textId="77777777" w:rsidR="00FB3294" w:rsidRDefault="00000000">
            <w:r>
              <w:rPr>
                <w:color w:val="333333"/>
                <w:sz w:val="20"/>
                <w:szCs w:val="20"/>
              </w:rPr>
              <w:t>Pan Jarosław (Jarek) Łach</w:t>
            </w:r>
          </w:p>
        </w:tc>
      </w:tr>
      <w:tr w:rsidR="00FB3294" w14:paraId="657F4EBD" w14:textId="77777777">
        <w:tblPrEx>
          <w:tblCellMar>
            <w:top w:w="0" w:type="dxa"/>
            <w:bottom w:w="0" w:type="dxa"/>
          </w:tblCellMar>
        </w:tblPrEx>
        <w:tc>
          <w:tcPr>
            <w:tcW w:w="2800" w:type="dxa"/>
            <w:tcMar>
              <w:top w:w="60" w:type="dxa"/>
              <w:left w:w="100" w:type="dxa"/>
              <w:bottom w:w="60" w:type="dxa"/>
              <w:right w:w="100" w:type="dxa"/>
            </w:tcMar>
          </w:tcPr>
          <w:p w14:paraId="27FA0580" w14:textId="77777777" w:rsidR="00FB3294" w:rsidRDefault="00000000">
            <w:r>
              <w:rPr>
                <w:b/>
                <w:bCs/>
                <w:color w:val="1B3A5C"/>
                <w:sz w:val="20"/>
                <w:szCs w:val="20"/>
              </w:rPr>
              <w:t>Pracodawca:</w:t>
            </w:r>
          </w:p>
        </w:tc>
        <w:tc>
          <w:tcPr>
            <w:tcW w:w="6706" w:type="dxa"/>
            <w:tcMar>
              <w:top w:w="60" w:type="dxa"/>
              <w:left w:w="100" w:type="dxa"/>
              <w:bottom w:w="60" w:type="dxa"/>
              <w:right w:w="100" w:type="dxa"/>
            </w:tcMar>
          </w:tcPr>
          <w:p w14:paraId="3DB1B526" w14:textId="77777777" w:rsidR="00FB3294" w:rsidRDefault="00000000">
            <w:r>
              <w:rPr>
                <w:color w:val="333333"/>
                <w:sz w:val="20"/>
                <w:szCs w:val="20"/>
              </w:rPr>
              <w:t>BRUGG Rohrsystem AG, Kleindöttingen, Szwajcaria</w:t>
            </w:r>
          </w:p>
        </w:tc>
      </w:tr>
      <w:tr w:rsidR="00FB3294" w14:paraId="09E26881" w14:textId="77777777">
        <w:tblPrEx>
          <w:tblCellMar>
            <w:top w:w="0" w:type="dxa"/>
            <w:bottom w:w="0" w:type="dxa"/>
          </w:tblCellMar>
        </w:tblPrEx>
        <w:tc>
          <w:tcPr>
            <w:tcW w:w="2800" w:type="dxa"/>
            <w:tcMar>
              <w:top w:w="60" w:type="dxa"/>
              <w:left w:w="100" w:type="dxa"/>
              <w:bottom w:w="60" w:type="dxa"/>
              <w:right w:w="100" w:type="dxa"/>
            </w:tcMar>
          </w:tcPr>
          <w:p w14:paraId="5FFCA3FE" w14:textId="77777777" w:rsidR="00FB3294" w:rsidRDefault="00000000">
            <w:r>
              <w:rPr>
                <w:b/>
                <w:bCs/>
                <w:color w:val="1B3A5C"/>
                <w:sz w:val="20"/>
                <w:szCs w:val="20"/>
              </w:rPr>
              <w:t>Stanowisko:</w:t>
            </w:r>
          </w:p>
        </w:tc>
        <w:tc>
          <w:tcPr>
            <w:tcW w:w="6706" w:type="dxa"/>
            <w:tcMar>
              <w:top w:w="60" w:type="dxa"/>
              <w:left w:w="100" w:type="dxa"/>
              <w:bottom w:w="60" w:type="dxa"/>
              <w:right w:w="100" w:type="dxa"/>
            </w:tcMar>
          </w:tcPr>
          <w:p w14:paraId="7A2C205C" w14:textId="77777777" w:rsidR="00FB3294" w:rsidRDefault="00000000">
            <w:r>
              <w:rPr>
                <w:color w:val="333333"/>
                <w:sz w:val="20"/>
                <w:szCs w:val="20"/>
              </w:rPr>
              <w:t>Head of Sales EECA / Area Sales Manager International</w:t>
            </w:r>
          </w:p>
        </w:tc>
      </w:tr>
      <w:tr w:rsidR="00FB3294" w14:paraId="478598AF" w14:textId="77777777">
        <w:tblPrEx>
          <w:tblCellMar>
            <w:top w:w="0" w:type="dxa"/>
            <w:bottom w:w="0" w:type="dxa"/>
          </w:tblCellMar>
        </w:tblPrEx>
        <w:tc>
          <w:tcPr>
            <w:tcW w:w="2800" w:type="dxa"/>
            <w:tcMar>
              <w:top w:w="60" w:type="dxa"/>
              <w:left w:w="100" w:type="dxa"/>
              <w:bottom w:w="60" w:type="dxa"/>
              <w:right w:w="100" w:type="dxa"/>
            </w:tcMar>
          </w:tcPr>
          <w:p w14:paraId="4DCFD2BC" w14:textId="77777777" w:rsidR="00FB3294" w:rsidRDefault="00000000">
            <w:r>
              <w:rPr>
                <w:b/>
                <w:bCs/>
                <w:color w:val="1B3A5C"/>
                <w:sz w:val="20"/>
                <w:szCs w:val="20"/>
              </w:rPr>
              <w:t>Staż pracy:</w:t>
            </w:r>
          </w:p>
        </w:tc>
        <w:tc>
          <w:tcPr>
            <w:tcW w:w="6706" w:type="dxa"/>
            <w:tcMar>
              <w:top w:w="60" w:type="dxa"/>
              <w:left w:w="100" w:type="dxa"/>
              <w:bottom w:w="60" w:type="dxa"/>
              <w:right w:w="100" w:type="dxa"/>
            </w:tcMar>
          </w:tcPr>
          <w:p w14:paraId="38D46724" w14:textId="77777777" w:rsidR="00FB3294" w:rsidRDefault="00000000">
            <w:r>
              <w:rPr>
                <w:color w:val="333333"/>
                <w:sz w:val="20"/>
                <w:szCs w:val="20"/>
              </w:rPr>
              <w:t>od 1 września 1993 r. (ponad 32 lata w Grupie BRUGG)</w:t>
            </w:r>
          </w:p>
        </w:tc>
      </w:tr>
      <w:tr w:rsidR="00FB3294" w14:paraId="42AA16A1" w14:textId="77777777">
        <w:tblPrEx>
          <w:tblCellMar>
            <w:top w:w="0" w:type="dxa"/>
            <w:bottom w:w="0" w:type="dxa"/>
          </w:tblCellMar>
        </w:tblPrEx>
        <w:tc>
          <w:tcPr>
            <w:tcW w:w="2800" w:type="dxa"/>
            <w:tcMar>
              <w:top w:w="60" w:type="dxa"/>
              <w:left w:w="100" w:type="dxa"/>
              <w:bottom w:w="60" w:type="dxa"/>
              <w:right w:w="100" w:type="dxa"/>
            </w:tcMar>
          </w:tcPr>
          <w:p w14:paraId="6B3F4BC9" w14:textId="77777777" w:rsidR="00FB3294" w:rsidRDefault="00000000">
            <w:r>
              <w:rPr>
                <w:b/>
                <w:bCs/>
                <w:color w:val="1B3A5C"/>
                <w:sz w:val="20"/>
                <w:szCs w:val="20"/>
              </w:rPr>
              <w:t>Data opinii:</w:t>
            </w:r>
          </w:p>
        </w:tc>
        <w:tc>
          <w:tcPr>
            <w:tcW w:w="6706" w:type="dxa"/>
            <w:tcMar>
              <w:top w:w="60" w:type="dxa"/>
              <w:left w:w="100" w:type="dxa"/>
              <w:bottom w:w="60" w:type="dxa"/>
              <w:right w:w="100" w:type="dxa"/>
            </w:tcMar>
          </w:tcPr>
          <w:p w14:paraId="764B5288" w14:textId="77777777" w:rsidR="00FB3294" w:rsidRDefault="00000000">
            <w:r>
              <w:rPr>
                <w:color w:val="333333"/>
                <w:sz w:val="20"/>
                <w:szCs w:val="20"/>
              </w:rPr>
              <w:t>21 marca 2026 r.</w:t>
            </w:r>
          </w:p>
        </w:tc>
      </w:tr>
    </w:tbl>
    <w:p w14:paraId="1232F5A2" w14:textId="77777777" w:rsidR="00FB3294" w:rsidRDefault="00FB3294">
      <w:pPr>
        <w:spacing w:after="60"/>
      </w:pPr>
    </w:p>
    <w:p w14:paraId="480604D8" w14:textId="77777777" w:rsidR="00FB3294" w:rsidRDefault="00FB3294">
      <w:pPr>
        <w:pBdr>
          <w:bottom w:val="single" w:sz="3" w:space="4" w:color="1B3A5C"/>
        </w:pBdr>
        <w:spacing w:after="200"/>
      </w:pPr>
    </w:p>
    <w:p w14:paraId="29F4A6C4" w14:textId="77777777" w:rsidR="00FB3294" w:rsidRDefault="00000000">
      <w:pPr>
        <w:pStyle w:val="Heading1"/>
        <w:pBdr>
          <w:bottom w:val="single" w:sz="2" w:space="4" w:color="D4740A"/>
        </w:pBdr>
      </w:pPr>
      <w:r>
        <w:t>1. PODSUMOWANIE WYKONAWCZE</w:t>
      </w:r>
    </w:p>
    <w:p w14:paraId="29AE6DF1" w14:textId="77777777" w:rsidR="00FB3294" w:rsidRDefault="00000000">
      <w:pPr>
        <w:spacing w:after="120" w:line="276" w:lineRule="auto"/>
        <w:jc w:val="both"/>
      </w:pPr>
      <w:r>
        <w:rPr>
          <w:color w:val="333333"/>
        </w:rPr>
        <w:t>Pan Jarosław Łach jest wieloletnim pracownikiem firmy BRUGG Rohrsystem AG, zatrudnionym nieprzerwanie od 1993 roku. Jego umowa o pracę z 25 października 2020 r. przewiduje wynagrodzenie stałe w wysokości CHF 142’610 rocznie (13 pensji) oraz premię celową (Zielbonus) w wysokości CHF 35’000. Premia była wypłacana corocznie w latach 2020–2024, często przekraczając kwotę docelową.</w:t>
      </w:r>
    </w:p>
    <w:p w14:paraId="23BC8DFF" w14:textId="77777777" w:rsidR="00FB3294" w:rsidRDefault="00000000">
      <w:pPr>
        <w:spacing w:after="120" w:line="276" w:lineRule="auto"/>
        <w:jc w:val="both"/>
      </w:pPr>
      <w:r>
        <w:rPr>
          <w:color w:val="333333"/>
        </w:rPr>
        <w:t>W maju 2025 r. pracodawca jednostronnie zmienił regulamin premii, eliminując cele indywidualne i uzależniając wypłatę wyłącznie od osiągnięcia progu EBIT na poziomie CHF 15 mln. Firma osiągnęła EBIT w wysokości zaledwie CHF 0,58 mln, w związku z czym w marcu 2026 r. zakomunikowała, że premia za 2025 r. nie zostanie wypłacona. Należy jednak zauważyć, że w latach 2023 i 2024, gdy cele finansowe również nie zostały osiągnięte, firma mimo to wypłaciła premie – podnosząc współczynnik realizacji celów finansowych odpowiednio do 80% i 60%.</w:t>
      </w:r>
    </w:p>
    <w:p w14:paraId="13A02224" w14:textId="77777777" w:rsidR="00FB3294" w:rsidRDefault="00000000">
      <w:pPr>
        <w:pStyle w:val="Heading2"/>
      </w:pPr>
      <w:r>
        <w:t>Ocena prawna i rekomendacja</w:t>
      </w:r>
    </w:p>
    <w:p w14:paraId="014A82E4" w14:textId="77777777" w:rsidR="00FB3294" w:rsidRDefault="00000000">
      <w:pPr>
        <w:spacing w:after="120" w:line="276" w:lineRule="auto"/>
        <w:jc w:val="both"/>
      </w:pPr>
      <w:r>
        <w:rPr>
          <w:color w:val="333333"/>
        </w:rPr>
        <w:t>W mojej ocenie, biorąc pod uwagę szwajcarskie prawo pracy oraz orzecznictwo Sądu Federalnego (Bundesgericht), pozycja Pana Łacha jest umiarkowanie silna. Premia określona kwotowo w umowie o pracę (CHF 35’000 jako Zielbonus) ma cechy składnika wynagrodzenia (Lohnbestandteil), a nie dobrowolnej gratyfikacji. Ponadto pięcioletni ciąg nieprzerwanego wypłacania premii wzmacnia tę kwalifikację. Jednostronna zmiana regulaminu premii w trakcie roku obrotowego stanowi potencjalne naruszenie umowy.</w:t>
      </w:r>
    </w:p>
    <w:p w14:paraId="228C2711" w14:textId="77777777" w:rsidR="00FB3294" w:rsidRDefault="00000000">
      <w:pPr>
        <w:spacing w:before="200" w:after="120"/>
      </w:pPr>
      <w:r>
        <w:rPr>
          <w:b/>
          <w:bCs/>
          <w:color w:val="D4740A"/>
          <w:sz w:val="22"/>
          <w:szCs w:val="22"/>
        </w:rPr>
        <w:t>Rekomendowane działania (w kolejności):</w:t>
      </w:r>
    </w:p>
    <w:p w14:paraId="75C38087" w14:textId="77777777" w:rsidR="00FB3294" w:rsidRDefault="00000000">
      <w:pPr>
        <w:pStyle w:val="ListParagraph"/>
        <w:numPr>
          <w:ilvl w:val="0"/>
          <w:numId w:val="2"/>
        </w:numPr>
        <w:spacing w:after="100" w:line="276" w:lineRule="auto"/>
      </w:pPr>
      <w:r>
        <w:rPr>
          <w:b/>
          <w:bCs/>
          <w:color w:val="1B3A5C"/>
        </w:rPr>
        <w:t>Negocjacje polubowne</w:t>
      </w:r>
      <w:r>
        <w:t xml:space="preserve"> – pisemne zwrócenie się do pracodawcy z argumentacją prawną i żądaniem wypłaty premii w pełnej lub częściowej wysokości.</w:t>
      </w:r>
    </w:p>
    <w:p w14:paraId="6826C013" w14:textId="77777777" w:rsidR="00FB3294" w:rsidRDefault="00000000">
      <w:pPr>
        <w:pStyle w:val="ListParagraph"/>
        <w:numPr>
          <w:ilvl w:val="0"/>
          <w:numId w:val="2"/>
        </w:numPr>
        <w:spacing w:after="100" w:line="276" w:lineRule="auto"/>
      </w:pPr>
      <w:r>
        <w:rPr>
          <w:b/>
          <w:bCs/>
          <w:color w:val="1B3A5C"/>
        </w:rPr>
        <w:t>Mediacja / koncyliacja</w:t>
      </w:r>
      <w:r>
        <w:t xml:space="preserve"> – w przypadku braku porozumienia, skierowanie sprawy do mediacji (Schlichtungsbehörde), co w Szwajcarii jest obowiązkowym krokiem poprzedzającym postępowanie sądowe.</w:t>
      </w:r>
    </w:p>
    <w:p w14:paraId="31A39941" w14:textId="77777777" w:rsidR="00FB3294" w:rsidRDefault="00000000">
      <w:pPr>
        <w:pStyle w:val="ListParagraph"/>
        <w:numPr>
          <w:ilvl w:val="0"/>
          <w:numId w:val="2"/>
        </w:numPr>
        <w:spacing w:after="100" w:line="276" w:lineRule="auto"/>
      </w:pPr>
      <w:r>
        <w:rPr>
          <w:b/>
          <w:bCs/>
          <w:color w:val="1B3A5C"/>
        </w:rPr>
        <w:t>Postępowanie sądowe</w:t>
      </w:r>
      <w:r>
        <w:t xml:space="preserve"> – powództwo przed sądem pracy (Arbeitsgericht) właściwym dla siedziby firmy (kanton Argowia). Sprawy pracownicze do CHF 30’000 są zwolnione z kosztów sądowych.</w:t>
      </w:r>
    </w:p>
    <w:p w14:paraId="6C3B3238" w14:textId="77777777" w:rsidR="00FB3294" w:rsidRDefault="00FB3294">
      <w:pPr>
        <w:spacing w:after="60"/>
      </w:pPr>
    </w:p>
    <w:p w14:paraId="360285DB" w14:textId="77777777" w:rsidR="00FB3294" w:rsidRDefault="00000000">
      <w:pPr>
        <w:spacing w:after="120" w:line="276" w:lineRule="auto"/>
        <w:jc w:val="both"/>
      </w:pPr>
      <w:r>
        <w:rPr>
          <w:b/>
          <w:bCs/>
          <w:color w:val="333333"/>
        </w:rPr>
        <w:t>Szacowana kwota roszczenia wynosi od CHF 21’000 do CHF 35’000, w zależności od kwalifikacji prawnej premii i przyjętej podstawy obliczenia.</w:t>
      </w:r>
    </w:p>
    <w:p w14:paraId="19D5F19C" w14:textId="77777777" w:rsidR="00FB3294" w:rsidRDefault="00000000">
      <w:pPr>
        <w:pStyle w:val="Heading1"/>
        <w:pBdr>
          <w:bottom w:val="single" w:sz="2" w:space="4" w:color="D4740A"/>
        </w:pBdr>
      </w:pPr>
      <w:r>
        <w:lastRenderedPageBreak/>
        <w:t>2. STAN FAKTYCZNY</w:t>
      </w:r>
    </w:p>
    <w:p w14:paraId="3FA2B95A" w14:textId="77777777" w:rsidR="00FB3294" w:rsidRDefault="00000000">
      <w:pPr>
        <w:pStyle w:val="Heading2"/>
      </w:pPr>
      <w:r>
        <w:t>2.1. Dane umowy o pracę</w:t>
      </w:r>
    </w:p>
    <w:p w14:paraId="60AD76B4" w14:textId="77777777" w:rsidR="00FB3294" w:rsidRDefault="00000000">
      <w:pPr>
        <w:spacing w:after="120" w:line="276" w:lineRule="auto"/>
        <w:jc w:val="both"/>
      </w:pPr>
      <w:r>
        <w:rPr>
          <w:color w:val="333333"/>
        </w:rPr>
        <w:t>Umowa o pracę z dnia 25 października 2020 r., obowiązująca od 1 stycznia 2021 r. (techniczna data wejścia: 1 kwietnia 2013 r.), zawarta pomiędzy BRUGG Rohrsystem AG a Panem Jarosławem Łachem, określa następujące warunki wynagrodzenia:</w:t>
      </w:r>
    </w:p>
    <w:p w14:paraId="79AFBC64" w14:textId="77777777" w:rsidR="00FB3294" w:rsidRDefault="00000000">
      <w:pPr>
        <w:pStyle w:val="ListParagraph"/>
        <w:numPr>
          <w:ilvl w:val="0"/>
          <w:numId w:val="3"/>
        </w:numPr>
        <w:spacing w:after="80" w:line="276" w:lineRule="auto"/>
      </w:pPr>
      <w:r>
        <w:t>Wynagrodzenie stałe: CHF 142’610 rocznie / CHF 10’970 miesięcznie (×13)</w:t>
      </w:r>
    </w:p>
    <w:p w14:paraId="65DB42D5" w14:textId="77777777" w:rsidR="00FB3294" w:rsidRDefault="00000000">
      <w:pPr>
        <w:pStyle w:val="ListParagraph"/>
        <w:numPr>
          <w:ilvl w:val="0"/>
          <w:numId w:val="3"/>
        </w:numPr>
        <w:spacing w:after="80" w:line="276" w:lineRule="auto"/>
      </w:pPr>
      <w:r>
        <w:t>Premia celowa (Zielbonus): CHF 35’000</w:t>
      </w:r>
    </w:p>
    <w:p w14:paraId="279FE4FC" w14:textId="77777777" w:rsidR="00FB3294" w:rsidRDefault="00000000">
      <w:pPr>
        <w:pStyle w:val="ListParagraph"/>
        <w:numPr>
          <w:ilvl w:val="0"/>
          <w:numId w:val="3"/>
        </w:numPr>
        <w:spacing w:after="80" w:line="276" w:lineRule="auto"/>
      </w:pPr>
      <w:r>
        <w:t>Stanowisko: Area Sales Manager / V&amp;P Export, Aussendienst Export</w:t>
      </w:r>
    </w:p>
    <w:p w14:paraId="3C2057D6" w14:textId="77777777" w:rsidR="00FB3294" w:rsidRDefault="00000000">
      <w:pPr>
        <w:pStyle w:val="ListParagraph"/>
        <w:numPr>
          <w:ilvl w:val="0"/>
          <w:numId w:val="3"/>
        </w:numPr>
        <w:spacing w:after="80" w:line="276" w:lineRule="auto"/>
      </w:pPr>
      <w:r>
        <w:t>Wymiar zatrudnienia: 100%</w:t>
      </w:r>
    </w:p>
    <w:p w14:paraId="3FD680BD" w14:textId="77777777" w:rsidR="00FB3294" w:rsidRDefault="00000000">
      <w:pPr>
        <w:pStyle w:val="ListParagraph"/>
        <w:numPr>
          <w:ilvl w:val="0"/>
          <w:numId w:val="3"/>
        </w:numPr>
        <w:spacing w:after="120" w:line="276" w:lineRule="auto"/>
      </w:pPr>
      <w:r>
        <w:t>Prawo właściwe: prawo szwajcarskie (pkt 10 umowy)</w:t>
      </w:r>
    </w:p>
    <w:p w14:paraId="23159DE4" w14:textId="77777777" w:rsidR="00FB3294" w:rsidRDefault="00000000">
      <w:pPr>
        <w:spacing w:after="120" w:line="276" w:lineRule="auto"/>
        <w:jc w:val="both"/>
      </w:pPr>
      <w:r>
        <w:rPr>
          <w:color w:val="333333"/>
        </w:rPr>
        <w:t>Umowa wprost odwołuje się do Regulaminu Wynagradzania, Premii i Zasiłków (Reglement Entlöhnung, variable Vergütung und Zulagen) oraz Ogólnych Warunków Zatrudnienia (AAB) jako integralnych części umowy.</w:t>
      </w:r>
    </w:p>
    <w:p w14:paraId="0F56F565" w14:textId="77777777" w:rsidR="00FB3294" w:rsidRDefault="00000000">
      <w:pPr>
        <w:pStyle w:val="Heading2"/>
      </w:pPr>
      <w:r>
        <w:t>2.2. Historia wypłat premii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4226"/>
      </w:tblGrid>
      <w:tr w:rsidR="00FB3294" w14:paraId="12CA82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610D4B3" w14:textId="77777777" w:rsidR="00FB3294" w:rsidRDefault="00000000">
            <w:pPr>
              <w:jc w:val="center"/>
            </w:pPr>
            <w:r>
              <w:rPr>
                <w:b/>
                <w:bCs/>
                <w:color w:val="FFFFFF"/>
                <w:sz w:val="19"/>
                <w:szCs w:val="19"/>
              </w:rPr>
              <w:t>Rok</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EBC8290" w14:textId="77777777" w:rsidR="00FB3294" w:rsidRDefault="00000000">
            <w:pPr>
              <w:jc w:val="center"/>
            </w:pPr>
            <w:r>
              <w:rPr>
                <w:b/>
                <w:bCs/>
                <w:color w:val="FFFFFF"/>
                <w:sz w:val="19"/>
                <w:szCs w:val="19"/>
              </w:rPr>
              <w:t>Kwota (CHF)</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0E9963E" w14:textId="77777777" w:rsidR="00FB3294" w:rsidRDefault="00000000">
            <w:pPr>
              <w:jc w:val="center"/>
            </w:pPr>
            <w:r>
              <w:rPr>
                <w:b/>
                <w:bCs/>
                <w:color w:val="FFFFFF"/>
                <w:sz w:val="19"/>
                <w:szCs w:val="19"/>
              </w:rPr>
              <w:t>Realizacja os.</w:t>
            </w:r>
          </w:p>
        </w:tc>
        <w:tc>
          <w:tcPr>
            <w:tcW w:w="42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C35B0BF" w14:textId="77777777" w:rsidR="00FB3294" w:rsidRDefault="00000000">
            <w:pPr>
              <w:jc w:val="center"/>
            </w:pPr>
            <w:r>
              <w:rPr>
                <w:b/>
                <w:bCs/>
                <w:color w:val="FFFFFF"/>
                <w:sz w:val="19"/>
                <w:szCs w:val="19"/>
              </w:rPr>
              <w:t>Uwagi</w:t>
            </w:r>
          </w:p>
        </w:tc>
      </w:tr>
      <w:tr w:rsidR="00FB3294" w14:paraId="06DC90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021BE6" w14:textId="77777777" w:rsidR="00FB3294" w:rsidRDefault="00000000">
            <w:pPr>
              <w:jc w:val="center"/>
            </w:pPr>
            <w:r>
              <w:rPr>
                <w:b/>
                <w:bCs/>
                <w:sz w:val="20"/>
                <w:szCs w:val="20"/>
              </w:rPr>
              <w:t>2020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F53659" w14:textId="77777777" w:rsidR="00FB3294" w:rsidRDefault="00000000">
            <w:pPr>
              <w:jc w:val="right"/>
            </w:pPr>
            <w:r>
              <w:rPr>
                <w:sz w:val="20"/>
                <w:szCs w:val="20"/>
              </w:rPr>
              <w:t>36’312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2CE79" w14:textId="77777777" w:rsidR="00FB3294" w:rsidRDefault="00000000">
            <w:pPr>
              <w:jc w:val="center"/>
            </w:pPr>
            <w:r>
              <w:rPr>
                <w:sz w:val="20"/>
                <w:szCs w:val="20"/>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7BF23" w14:textId="77777777" w:rsidR="00FB3294" w:rsidRDefault="00000000">
            <w:r>
              <w:rPr>
                <w:i/>
                <w:iCs/>
                <w:color w:val="666666"/>
                <w:sz w:val="19"/>
                <w:szCs w:val="19"/>
              </w:rPr>
              <w:t>Cele budżetowe osiągnięte i przekroczone</w:t>
            </w:r>
          </w:p>
        </w:tc>
      </w:tr>
      <w:tr w:rsidR="00FB3294" w14:paraId="0CF95E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B2E345" w14:textId="77777777" w:rsidR="00FB3294" w:rsidRDefault="00000000">
            <w:pPr>
              <w:jc w:val="center"/>
            </w:pPr>
            <w:r>
              <w:rPr>
                <w:b/>
                <w:bCs/>
                <w:sz w:val="20"/>
                <w:szCs w:val="20"/>
              </w:rPr>
              <w:t>2021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5B219" w14:textId="77777777" w:rsidR="00FB3294" w:rsidRDefault="00000000">
            <w:pPr>
              <w:jc w:val="right"/>
            </w:pPr>
            <w:r>
              <w:rPr>
                <w:sz w:val="20"/>
                <w:szCs w:val="20"/>
              </w:rPr>
              <w:t>39’432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4E2F5D" w14:textId="77777777" w:rsidR="00FB3294" w:rsidRDefault="00000000">
            <w:pPr>
              <w:jc w:val="center"/>
            </w:pPr>
            <w:r>
              <w:rPr>
                <w:sz w:val="20"/>
                <w:szCs w:val="20"/>
              </w:rPr>
              <w:t>133%</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7BEB29" w14:textId="77777777" w:rsidR="00FB3294" w:rsidRDefault="00000000">
            <w:r>
              <w:rPr>
                <w:i/>
                <w:iCs/>
                <w:color w:val="666666"/>
                <w:sz w:val="19"/>
                <w:szCs w:val="19"/>
              </w:rPr>
              <w:t>Rynek wzrostowy, budżet przekroczony</w:t>
            </w:r>
          </w:p>
        </w:tc>
      </w:tr>
      <w:tr w:rsidR="00FB3294" w14:paraId="200731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32549" w14:textId="77777777" w:rsidR="00FB3294" w:rsidRDefault="00000000">
            <w:pPr>
              <w:jc w:val="center"/>
            </w:pPr>
            <w:r>
              <w:rPr>
                <w:b/>
                <w:bCs/>
                <w:sz w:val="20"/>
                <w:szCs w:val="20"/>
              </w:rPr>
              <w:t>2022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A5210" w14:textId="77777777" w:rsidR="00FB3294" w:rsidRDefault="00000000">
            <w:pPr>
              <w:jc w:val="right"/>
            </w:pPr>
            <w:r>
              <w:rPr>
                <w:sz w:val="20"/>
                <w:szCs w:val="20"/>
              </w:rPr>
              <w:t>41’069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B02E9" w14:textId="77777777" w:rsidR="00FB3294" w:rsidRDefault="00000000">
            <w:pPr>
              <w:jc w:val="center"/>
            </w:pPr>
            <w:r>
              <w:rPr>
                <w:sz w:val="20"/>
                <w:szCs w:val="20"/>
              </w:rPr>
              <w:t>100%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4B68FB" w14:textId="77777777" w:rsidR="00FB3294" w:rsidRDefault="00000000">
            <w:r>
              <w:rPr>
                <w:i/>
                <w:iCs/>
                <w:color w:val="666666"/>
                <w:sz w:val="19"/>
                <w:szCs w:val="19"/>
              </w:rPr>
              <w:t>Rynek wzrostowy, budżet osiągnięty</w:t>
            </w:r>
          </w:p>
        </w:tc>
      </w:tr>
      <w:tr w:rsidR="00FB3294" w14:paraId="6C1FB6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FB19D" w14:textId="77777777" w:rsidR="00FB3294" w:rsidRDefault="00000000">
            <w:pPr>
              <w:jc w:val="center"/>
            </w:pPr>
            <w:r>
              <w:rPr>
                <w:b/>
                <w:bCs/>
                <w:sz w:val="20"/>
                <w:szCs w:val="20"/>
              </w:rPr>
              <w:t>2023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1DA9D4" w14:textId="77777777" w:rsidR="00FB3294" w:rsidRDefault="00000000">
            <w:pPr>
              <w:jc w:val="right"/>
            </w:pPr>
            <w:r>
              <w:rPr>
                <w:sz w:val="20"/>
                <w:szCs w:val="20"/>
              </w:rPr>
              <w:t>31’255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090309" w14:textId="77777777" w:rsidR="00FB3294" w:rsidRDefault="00000000">
            <w:pPr>
              <w:jc w:val="center"/>
            </w:pPr>
            <w:r>
              <w:rPr>
                <w:sz w:val="20"/>
                <w:szCs w:val="20"/>
              </w:rPr>
              <w:t>133%</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C61BA8" w14:textId="77777777" w:rsidR="00FB3294" w:rsidRDefault="00000000">
            <w:r>
              <w:rPr>
                <w:i/>
                <w:iCs/>
                <w:color w:val="666666"/>
                <w:sz w:val="19"/>
                <w:szCs w:val="19"/>
              </w:rPr>
              <w:t>Cele fin. nieosiągnięte – firma podniosła wsp. z 0% do 80%</w:t>
            </w:r>
          </w:p>
        </w:tc>
      </w:tr>
      <w:tr w:rsidR="00FB3294" w14:paraId="25FDF5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96F4A6" w14:textId="77777777" w:rsidR="00FB3294" w:rsidRDefault="00000000">
            <w:pPr>
              <w:jc w:val="center"/>
            </w:pPr>
            <w:r>
              <w:rPr>
                <w:b/>
                <w:bCs/>
                <w:sz w:val="20"/>
                <w:szCs w:val="20"/>
              </w:rPr>
              <w:t>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45082" w14:textId="77777777" w:rsidR="00FB3294" w:rsidRDefault="00000000">
            <w:pPr>
              <w:jc w:val="right"/>
            </w:pPr>
            <w:r>
              <w:rPr>
                <w:sz w:val="20"/>
                <w:szCs w:val="20"/>
              </w:rPr>
              <w:t>24’570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015AA7" w14:textId="77777777" w:rsidR="00FB3294" w:rsidRDefault="00000000">
            <w:pPr>
              <w:jc w:val="center"/>
            </w:pPr>
            <w:r>
              <w:rPr>
                <w:sz w:val="20"/>
                <w:szCs w:val="20"/>
              </w:rPr>
              <w:t>122%</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FF80D3" w14:textId="77777777" w:rsidR="00FB3294" w:rsidRDefault="00000000">
            <w:r>
              <w:rPr>
                <w:i/>
                <w:iCs/>
                <w:color w:val="666666"/>
                <w:sz w:val="19"/>
                <w:szCs w:val="19"/>
              </w:rPr>
              <w:t>Cele fin. nieosiągnięte – firma podniosła wsp. z 0% do 60%</w:t>
            </w:r>
          </w:p>
        </w:tc>
      </w:tr>
      <w:tr w:rsidR="00FB3294" w14:paraId="573AD2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1ABCF0C0" w14:textId="77777777" w:rsidR="00FB3294" w:rsidRDefault="00000000">
            <w:pPr>
              <w:jc w:val="center"/>
            </w:pPr>
            <w:r>
              <w:rPr>
                <w:b/>
                <w:bCs/>
                <w:sz w:val="20"/>
                <w:szCs w:val="20"/>
              </w:rPr>
              <w:t>2025</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5D6CB849" w14:textId="77777777" w:rsidR="00FB3294" w:rsidRDefault="00000000">
            <w:pPr>
              <w:jc w:val="right"/>
            </w:pPr>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2EE6ADC0" w14:textId="77777777" w:rsidR="00FB3294" w:rsidRDefault="00000000">
            <w:pPr>
              <w:jc w:val="center"/>
            </w:pPr>
            <w:r>
              <w:rPr>
                <w:sz w:val="20"/>
                <w:szCs w:val="20"/>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2A4616F" w14:textId="77777777" w:rsidR="00FB3294" w:rsidRDefault="00000000">
            <w:r>
              <w:rPr>
                <w:i/>
                <w:iCs/>
                <w:color w:val="666666"/>
                <w:sz w:val="19"/>
                <w:szCs w:val="19"/>
              </w:rPr>
              <w:t>EBIT 0,58 mln &lt; próg 15 mln – brak wypłaty</w:t>
            </w:r>
          </w:p>
        </w:tc>
      </w:tr>
    </w:tbl>
    <w:p w14:paraId="06A9E639" w14:textId="77777777" w:rsidR="00FB3294" w:rsidRDefault="00FB3294">
      <w:pPr>
        <w:spacing w:after="60"/>
      </w:pPr>
    </w:p>
    <w:p w14:paraId="3EF1BFE5" w14:textId="77777777" w:rsidR="00FB3294" w:rsidRDefault="00000000">
      <w:pPr>
        <w:spacing w:after="120" w:line="276" w:lineRule="auto"/>
        <w:jc w:val="both"/>
      </w:pPr>
      <w:r>
        <w:rPr>
          <w:color w:val="333333"/>
        </w:rPr>
        <w:t>Kluczowa obserwacja: w ciągu pięciu lat (2020–2024) Pan Łach otrzymał łącznie CHF 171’638 premii, średnio CHF 34’328 rocznie – kwotę niemal identyczną z kontraktowym Zielbonusem CHF 35’000. Co więcej, nawet w latach 2023–2024, gdy firma nie osiągnęła celów finansowych, kierownictwo świadomie zdecydowało o podniesieniu współczynnika realizacji, aby umożliwić wypłatę premii.</w:t>
      </w:r>
    </w:p>
    <w:p w14:paraId="5B5B8DF4" w14:textId="77777777" w:rsidR="00FB3294" w:rsidRDefault="00000000">
      <w:pPr>
        <w:pStyle w:val="Heading2"/>
      </w:pPr>
      <w:r>
        <w:t>2.3. Zmiany regulaminu w 2025 r.</w:t>
      </w:r>
    </w:p>
    <w:p w14:paraId="6261BAB5" w14:textId="77777777" w:rsidR="00FB3294" w:rsidRDefault="00000000">
      <w:pPr>
        <w:spacing w:after="120" w:line="276" w:lineRule="auto"/>
        <w:jc w:val="both"/>
      </w:pPr>
      <w:r>
        <w:rPr>
          <w:color w:val="333333"/>
        </w:rPr>
        <w:t>W maju 2025 r. Divisionsleitung BRUGG Pipes wprowadziła nowy regulamin premii (Bonusregelung 2025), który diametralnie zmienił dotychczasowy system:</w:t>
      </w:r>
    </w:p>
    <w:p w14:paraId="5A448F43" w14:textId="77777777" w:rsidR="00FB3294" w:rsidRDefault="00000000">
      <w:pPr>
        <w:pStyle w:val="ListParagraph"/>
        <w:numPr>
          <w:ilvl w:val="0"/>
          <w:numId w:val="3"/>
        </w:numPr>
        <w:spacing w:after="80" w:line="276" w:lineRule="auto"/>
      </w:pPr>
      <w:r>
        <w:t>Eliminacja celów indywidualnych – premia oparta wyłącznie na EBIT</w:t>
      </w:r>
    </w:p>
    <w:p w14:paraId="1338F18F" w14:textId="77777777" w:rsidR="00FB3294" w:rsidRDefault="00000000">
      <w:pPr>
        <w:pStyle w:val="ListParagraph"/>
        <w:numPr>
          <w:ilvl w:val="0"/>
          <w:numId w:val="3"/>
        </w:numPr>
        <w:spacing w:after="80" w:line="276" w:lineRule="auto"/>
      </w:pPr>
      <w:r>
        <w:t>EBIT &lt; CHF 8 mln: 0% premii; EBIT 8–15 mln: liniowa progresja 0–100%</w:t>
      </w:r>
    </w:p>
    <w:p w14:paraId="0A97A3DD" w14:textId="77777777" w:rsidR="00FB3294" w:rsidRDefault="00000000">
      <w:pPr>
        <w:pStyle w:val="ListParagraph"/>
        <w:numPr>
          <w:ilvl w:val="0"/>
          <w:numId w:val="3"/>
        </w:numPr>
        <w:spacing w:after="120" w:line="276" w:lineRule="auto"/>
      </w:pPr>
      <w:r>
        <w:t>EBIT &gt; CHF 15 mln: ponad 100% premii docelowej (do 200%)</w:t>
      </w:r>
    </w:p>
    <w:p w14:paraId="76760F80" w14:textId="77777777" w:rsidR="00FB3294" w:rsidRDefault="00000000">
      <w:pPr>
        <w:spacing w:after="120" w:line="276" w:lineRule="auto"/>
        <w:jc w:val="both"/>
      </w:pPr>
      <w:r>
        <w:rPr>
          <w:color w:val="333333"/>
        </w:rPr>
        <w:t>W marcu 2026 r. firma poinformowała pracowników, że EBIT za 2025 r. wyniósł zaledwie CHF 0,58 mln (wobec progu CHF 15 mln), co oznacza brak wypłaty premii. Jednocześnie zapowiedziano powrót do modelu mieszanego (cele finansowe + indywidualne) od 2026 r.</w:t>
      </w:r>
    </w:p>
    <w:p w14:paraId="2A3DA6E0" w14:textId="77777777" w:rsidR="00FB3294" w:rsidRDefault="00000000">
      <w:pPr>
        <w:pStyle w:val="Heading1"/>
        <w:pBdr>
          <w:bottom w:val="single" w:sz="2" w:space="4" w:color="D4740A"/>
        </w:pBdr>
      </w:pPr>
      <w:r>
        <w:t>3. ANALIZA PRAWNA</w:t>
      </w:r>
    </w:p>
    <w:p w14:paraId="1A379F24" w14:textId="77777777" w:rsidR="00FB3294" w:rsidRDefault="00000000">
      <w:pPr>
        <w:pStyle w:val="Heading2"/>
      </w:pPr>
      <w:r>
        <w:lastRenderedPageBreak/>
        <w:t>3.1. Kwalifikacja premii: składnik wynagrodzenia czy gratyfikacja?</w:t>
      </w:r>
    </w:p>
    <w:p w14:paraId="62E0F1A8" w14:textId="77777777" w:rsidR="00FB3294" w:rsidRDefault="00000000">
      <w:pPr>
        <w:spacing w:after="120" w:line="276" w:lineRule="auto"/>
        <w:jc w:val="both"/>
      </w:pPr>
      <w:r>
        <w:rPr>
          <w:color w:val="333333"/>
        </w:rPr>
        <w:t>Centralnym zagadnieniem jest prawna kwalifikacja premii określonej w umowie jako „Zielbonus”. W prawie szwajcarskim rozróżnia się trzy kategorie:</w:t>
      </w:r>
    </w:p>
    <w:p w14:paraId="6AA3A21B" w14:textId="77777777" w:rsidR="00FB3294" w:rsidRDefault="00000000">
      <w:pPr>
        <w:pStyle w:val="ListParagraph"/>
        <w:numPr>
          <w:ilvl w:val="0"/>
          <w:numId w:val="4"/>
        </w:numPr>
        <w:spacing w:after="80" w:line="276" w:lineRule="auto"/>
      </w:pPr>
      <w:r>
        <w:rPr>
          <w:b/>
          <w:bCs/>
        </w:rPr>
        <w:t>Składnik wynagrodzenia (Lohnbestandteil, art. 322 OR)</w:t>
      </w:r>
      <w:r>
        <w:t xml:space="preserve"> – kwota określona lub obiektywnie obliczalna, należna po spełnieniu warunków, bez uznaniowości pracodawcy.</w:t>
      </w:r>
    </w:p>
    <w:p w14:paraId="228ECB1D" w14:textId="77777777" w:rsidR="00FB3294" w:rsidRDefault="00000000">
      <w:pPr>
        <w:pStyle w:val="ListParagraph"/>
        <w:numPr>
          <w:ilvl w:val="0"/>
          <w:numId w:val="4"/>
        </w:numPr>
        <w:spacing w:after="80" w:line="276" w:lineRule="auto"/>
      </w:pPr>
      <w:r>
        <w:rPr>
          <w:b/>
          <w:bCs/>
        </w:rPr>
        <w:t>Gratyfikacja nieautentyczna (unechte Gratifikation, art. 322d OR)</w:t>
      </w:r>
      <w:r>
        <w:t xml:space="preserve"> – prawo do świadczenia istnieje, ale jego wysokość leży częściowo w gestii pracodawcy.</w:t>
      </w:r>
    </w:p>
    <w:p w14:paraId="5B12E130" w14:textId="77777777" w:rsidR="00FB3294" w:rsidRDefault="00000000">
      <w:pPr>
        <w:pStyle w:val="ListParagraph"/>
        <w:numPr>
          <w:ilvl w:val="0"/>
          <w:numId w:val="4"/>
        </w:numPr>
        <w:spacing w:after="120" w:line="276" w:lineRule="auto"/>
      </w:pPr>
      <w:r>
        <w:rPr>
          <w:b/>
          <w:bCs/>
        </w:rPr>
        <w:t>Gratyfikacja autentyczna (echte Gratifikation)</w:t>
      </w:r>
      <w:r>
        <w:t xml:space="preserve"> – pełna dobrowolność – zarówno co do faktu wypłaty, jak i kwoty.</w:t>
      </w:r>
    </w:p>
    <w:p w14:paraId="7E55DD7A" w14:textId="77777777" w:rsidR="00FB3294" w:rsidRDefault="00000000">
      <w:pPr>
        <w:spacing w:after="120" w:line="276" w:lineRule="auto"/>
        <w:jc w:val="both"/>
      </w:pPr>
      <w:r>
        <w:rPr>
          <w:color w:val="333333"/>
        </w:rPr>
        <w:t>Sąd Federalny w orzeczeniu 4A_364/2024 z 26 lutego 2025 r. potwierdził, że bonus stanowi składnik wynagrodzenia, jeśli jest w umowie określony z góry lub co najmniej obiektywnie obliczalny. Jeśli natomiast jego wysokość zależy choć częściowo od uznaniowej oceny pracodawcy, klasyfikuje się go jako gratyfikację.</w:t>
      </w:r>
    </w:p>
    <w:p w14:paraId="3F1E98DE" w14:textId="77777777" w:rsidR="00FB3294" w:rsidRDefault="00000000">
      <w:pPr>
        <w:spacing w:before="200" w:after="120"/>
      </w:pPr>
      <w:r>
        <w:rPr>
          <w:b/>
          <w:bCs/>
          <w:color w:val="D4740A"/>
          <w:sz w:val="22"/>
          <w:szCs w:val="22"/>
        </w:rPr>
        <w:t>Argumenty mocne (za Panem Łachem):</w:t>
      </w:r>
    </w:p>
    <w:p w14:paraId="13DB46C1" w14:textId="77777777" w:rsidR="00FB3294" w:rsidRDefault="00000000">
      <w:pPr>
        <w:pStyle w:val="ListParagraph"/>
        <w:numPr>
          <w:ilvl w:val="0"/>
          <w:numId w:val="3"/>
        </w:numPr>
        <w:spacing w:after="80" w:line="276" w:lineRule="auto"/>
      </w:pPr>
      <w:r>
        <w:rPr>
          <w:b/>
          <w:bCs/>
        </w:rPr>
        <w:t>Kwota zapisana wprost w umowie:</w:t>
      </w:r>
      <w:r>
        <w:t xml:space="preserve"> „Zielbonus CHF 35’000” stanowi konkretną, określoną wartość. Według orzecznictwa BGer (BGE 141 III 407, 139 III 155) taki bonus ma charakter składnika wynagrodzenia.</w:t>
      </w:r>
    </w:p>
    <w:p w14:paraId="5E36263D" w14:textId="77777777" w:rsidR="00FB3294" w:rsidRDefault="00000000">
      <w:pPr>
        <w:pStyle w:val="ListParagraph"/>
        <w:numPr>
          <w:ilvl w:val="0"/>
          <w:numId w:val="3"/>
        </w:numPr>
        <w:spacing w:after="80" w:line="276" w:lineRule="auto"/>
      </w:pPr>
      <w:r>
        <w:rPr>
          <w:b/>
          <w:bCs/>
        </w:rPr>
        <w:t>Pięć lat nieprzerwanego wypłacania:</w:t>
      </w:r>
      <w:r>
        <w:t xml:space="preserve"> nawet bez wyraźnego zapisu umownego, orzecznictwo uznaje, że trzy lata nieprzerwanej i bezwarunkowej wypłaty tworzą dorozumiane zobowiązanie (konkludente Vertragsänderung). Tutaj mamy pięć kolejnych lat.</w:t>
      </w:r>
    </w:p>
    <w:p w14:paraId="5E65E0FA" w14:textId="77777777" w:rsidR="00FB3294" w:rsidRDefault="00000000">
      <w:pPr>
        <w:pStyle w:val="ListParagraph"/>
        <w:numPr>
          <w:ilvl w:val="0"/>
          <w:numId w:val="3"/>
        </w:numPr>
        <w:spacing w:after="80" w:line="276" w:lineRule="auto"/>
      </w:pPr>
      <w:r>
        <w:rPr>
          <w:b/>
          <w:bCs/>
        </w:rPr>
        <w:t>Precedens lat 2023–2024:</w:t>
      </w:r>
      <w:r>
        <w:t xml:space="preserve"> firma świadomie przyznawała premię nawet gdy cele finansowe nie były spełnione, podnosząc współczynnik realizacji z 0% do 80% (2023) i 60% (2024). To osłabia argument, że wypłata jest ściśle uzależniona od wyniku EBIT.</w:t>
      </w:r>
    </w:p>
    <w:p w14:paraId="0574C977" w14:textId="77777777" w:rsidR="00FB3294" w:rsidRDefault="00000000">
      <w:pPr>
        <w:pStyle w:val="ListParagraph"/>
        <w:numPr>
          <w:ilvl w:val="0"/>
          <w:numId w:val="3"/>
        </w:numPr>
        <w:spacing w:after="80" w:line="276" w:lineRule="auto"/>
      </w:pPr>
      <w:r>
        <w:rPr>
          <w:b/>
          <w:bCs/>
        </w:rPr>
        <w:t>Obiektywne kryteria w regulaminie:</w:t>
      </w:r>
      <w:r>
        <w:t xml:space="preserve"> Reglement Entlöhnung definiuje wagę celów finansowych i osobistych według obiektywnych mierników (EBIT, obrót, cele SMART). Orzeczenie 4A_169/2021 z 18.01.2022 kwalifikuje taki bonus jako Lohnbestandteil.</w:t>
      </w:r>
    </w:p>
    <w:p w14:paraId="6C618A42" w14:textId="77777777" w:rsidR="00FB3294" w:rsidRDefault="00000000">
      <w:pPr>
        <w:pStyle w:val="ListParagraph"/>
        <w:numPr>
          <w:ilvl w:val="0"/>
          <w:numId w:val="3"/>
        </w:numPr>
        <w:spacing w:after="120" w:line="276" w:lineRule="auto"/>
      </w:pPr>
      <w:r>
        <w:rPr>
          <w:b/>
          <w:bCs/>
        </w:rPr>
        <w:t>Jednostronna zmiana regulaminu:</w:t>
      </w:r>
      <w:r>
        <w:t xml:space="preserve"> zmiana zasad w trakcie roku obrotowego (maj 2025), eliminująca cele indywidualne, stanowi potencjalną zmianę warunków umowy wymagającą zgody pracownika lub wypowiedzenia zmieniającego (Änderungskündigung).</w:t>
      </w:r>
    </w:p>
    <w:p w14:paraId="7501F05F" w14:textId="77777777" w:rsidR="00FB3294" w:rsidRDefault="00000000">
      <w:pPr>
        <w:spacing w:before="200" w:after="120"/>
      </w:pPr>
      <w:r>
        <w:rPr>
          <w:b/>
          <w:bCs/>
          <w:color w:val="D4740A"/>
          <w:sz w:val="22"/>
          <w:szCs w:val="22"/>
        </w:rPr>
        <w:t>Argumenty słabe (ryzyka):</w:t>
      </w:r>
    </w:p>
    <w:p w14:paraId="666F6A04" w14:textId="77777777" w:rsidR="00FB3294" w:rsidRDefault="00000000">
      <w:pPr>
        <w:pStyle w:val="ListParagraph"/>
        <w:numPr>
          <w:ilvl w:val="0"/>
          <w:numId w:val="3"/>
        </w:numPr>
        <w:spacing w:after="80" w:line="276" w:lineRule="auto"/>
      </w:pPr>
      <w:r>
        <w:rPr>
          <w:b/>
          <w:bCs/>
        </w:rPr>
        <w:t>Zastrzeżenie zmiany regulaminu:</w:t>
      </w:r>
      <w:r>
        <w:t xml:space="preserve"> AAB (pkt 1, pkt 6.3) oraz Reglement Entlöhnung (pkt 1.2) dają firmie prawo do zmiany regulaminów. Pracodawca może argumentować, że Pan Łach zaakceptował to zastrzeżenie podpisując umowę.</w:t>
      </w:r>
    </w:p>
    <w:p w14:paraId="5B42FEE2" w14:textId="77777777" w:rsidR="00FB3294" w:rsidRDefault="00000000">
      <w:pPr>
        <w:pStyle w:val="ListParagraph"/>
        <w:numPr>
          <w:ilvl w:val="0"/>
          <w:numId w:val="3"/>
        </w:numPr>
        <w:spacing w:after="80" w:line="276" w:lineRule="auto"/>
      </w:pPr>
      <w:r>
        <w:rPr>
          <w:b/>
          <w:bCs/>
        </w:rPr>
        <w:t>Element uznaniowy:</w:t>
      </w:r>
      <w:r>
        <w:t xml:space="preserve"> system premii zawiera częściowo subiektywną ocenę celów osobistych (np. „almost/beinahe” w formularzu 2024), co przemawia za kwalifikacją jako gratyfikacja.</w:t>
      </w:r>
    </w:p>
    <w:p w14:paraId="3438FF5E" w14:textId="77777777" w:rsidR="00FB3294" w:rsidRDefault="00000000">
      <w:pPr>
        <w:pStyle w:val="ListParagraph"/>
        <w:numPr>
          <w:ilvl w:val="0"/>
          <w:numId w:val="3"/>
        </w:numPr>
        <w:spacing w:after="80" w:line="276" w:lineRule="auto"/>
      </w:pPr>
      <w:r>
        <w:rPr>
          <w:b/>
          <w:bCs/>
        </w:rPr>
        <w:t>Akzessorietät:</w:t>
      </w:r>
      <w:r>
        <w:t xml:space="preserve"> premia (CHF 35’000) stanowi ok. 24,5% wynagrodzenia zasadniczego, co mieści się w granicach „podrzędności” wobec płacy głównej – kryterium wymagane dla gratyfikacji. Jednak przy średnich dochodach Sąd Federalny jest tu bardziej elastyczny.</w:t>
      </w:r>
    </w:p>
    <w:p w14:paraId="09A975C5" w14:textId="77777777" w:rsidR="00FB3294" w:rsidRDefault="00000000">
      <w:pPr>
        <w:pStyle w:val="ListParagraph"/>
        <w:numPr>
          <w:ilvl w:val="0"/>
          <w:numId w:val="3"/>
        </w:numPr>
        <w:spacing w:after="120" w:line="276" w:lineRule="auto"/>
      </w:pPr>
      <w:r>
        <w:rPr>
          <w:b/>
          <w:bCs/>
        </w:rPr>
        <w:t>Ryzyko procesowe:</w:t>
      </w:r>
      <w:r>
        <w:t xml:space="preserve"> wynik postępowania zależy od interpretacji umowy przez sąd. Orzecznictwo nie jest jednolite w kwestii różnicy między Lohnbestandteil a unechte Gratifikation w przypadku systemów mieszanych.</w:t>
      </w:r>
    </w:p>
    <w:p w14:paraId="4517B805" w14:textId="77777777" w:rsidR="00FB3294" w:rsidRDefault="00000000">
      <w:pPr>
        <w:pStyle w:val="Heading2"/>
      </w:pPr>
      <w:r>
        <w:t>3.2. Jednostronna zmiana regulaminu</w:t>
      </w:r>
    </w:p>
    <w:p w14:paraId="39FB6D29" w14:textId="77777777" w:rsidR="00FB3294" w:rsidRDefault="00000000">
      <w:pPr>
        <w:spacing w:after="120" w:line="276" w:lineRule="auto"/>
        <w:jc w:val="both"/>
      </w:pPr>
      <w:r>
        <w:rPr>
          <w:color w:val="333333"/>
        </w:rPr>
        <w:lastRenderedPageBreak/>
        <w:t>AAB firmy BRUGG (pkt 6.3 „Änderungsvorbehalt”) zastrzega prawo do zmiany regulaminów, jednak orzecznictwo szwajcarskie nakłada na to ograniczenia. Klauzula zmiany (Änderungsvorbehalt) nie uprawnia pracodawcy do jednostronnej modyfikacji istotnych składników wynagrodzenia, które zostały indywidualnie uzgodnione w umowie o pracę. Premia celowa CHF 35’000 została wprost wpisana do umowy – nie jest to ogólny regulamin, lecz konkretne, zindywidualizowane postanowienie.</w:t>
      </w:r>
    </w:p>
    <w:p w14:paraId="7D979376" w14:textId="77777777" w:rsidR="00FB3294" w:rsidRDefault="00000000">
      <w:pPr>
        <w:spacing w:after="120" w:line="276" w:lineRule="auto"/>
        <w:jc w:val="both"/>
      </w:pPr>
      <w:r>
        <w:rPr>
          <w:color w:val="333333"/>
        </w:rPr>
        <w:t>Co więcej, zmiana nastąpiła w trakcie roku obrotowego (maj 2025), a więc po okresie, w którym pracownik już świadczył pracę przez prawie pięć miesięcy według dotychczasowych zasad. Retroaktywna zmiana reguł gry jest w orzecznictwie traktowana szczególnie krytycznie.</w:t>
      </w:r>
    </w:p>
    <w:p w14:paraId="3B010057" w14:textId="77777777" w:rsidR="00FB3294" w:rsidRDefault="00000000">
      <w:pPr>
        <w:pStyle w:val="Heading2"/>
      </w:pPr>
      <w:r>
        <w:t>3.3. Zasada dobrej wiary i równego traktowania</w:t>
      </w:r>
    </w:p>
    <w:p w14:paraId="3076E7CB" w14:textId="77777777" w:rsidR="00FB3294" w:rsidRDefault="00000000">
      <w:pPr>
        <w:spacing w:after="120" w:line="276" w:lineRule="auto"/>
        <w:jc w:val="both"/>
      </w:pPr>
      <w:r>
        <w:rPr>
          <w:color w:val="333333"/>
        </w:rPr>
        <w:t>Art. 2 ZGB (zasada dobrej wiary) i art. 328 OR (obowiązek troski pracodawcy) tworzą dodatkową linię argumentacji. Fakt, że w latach 2023–2024 firma świadomie „wyśrubowała” współczynniki realizacji celów, by umożliwić wypłatę premii mimo nieosiągnięcia celów finansowych, tworzy uzasadnione oczekiwanie po stronie pracownika. Nagłe zerwanie tej praktyki, połączone z dodatkową zmianą regulaminu, może być postrzegane jako działanie sprzeczne z wcześniejszym własnym zachowaniem (venire contra factum proprium).</w:t>
      </w:r>
    </w:p>
    <w:p w14:paraId="5CA71695" w14:textId="77777777" w:rsidR="00FB3294" w:rsidRDefault="00000000">
      <w:pPr>
        <w:spacing w:after="120" w:line="276" w:lineRule="auto"/>
        <w:jc w:val="both"/>
      </w:pPr>
      <w:r>
        <w:rPr>
          <w:color w:val="333333"/>
        </w:rPr>
        <w:t>Dodatkowo, jeśli inni pracownicy na porównywalnych stanowiskach otrzymali jakiekolwiek świadczenia kompensacyjne, Pan Łach mógłby powołać się na zasadę równego traktowania (Gleichbehandlungsgrundsatz) wynikającą z art. 8 ust. 3 Konstytucji Federalnej.</w:t>
      </w:r>
    </w:p>
    <w:p w14:paraId="111A490B" w14:textId="77777777" w:rsidR="00FB3294" w:rsidRDefault="00000000">
      <w:pPr>
        <w:pStyle w:val="Heading2"/>
      </w:pPr>
      <w:r>
        <w:t>3.4. Kontekst długoletniej współpracy</w:t>
      </w:r>
    </w:p>
    <w:p w14:paraId="3870E897" w14:textId="77777777" w:rsidR="00FB3294" w:rsidRDefault="00000000">
      <w:pPr>
        <w:spacing w:after="120" w:line="276" w:lineRule="auto"/>
        <w:jc w:val="both"/>
      </w:pPr>
      <w:r>
        <w:rPr>
          <w:color w:val="333333"/>
        </w:rPr>
        <w:t>Nie bez znaczenia jest kontekst 32-letniej współpracy Pana Łacha z Grupą BRUGG. Dokumenty w aktach – w tym gratulacje CEO Grupy BRUGG z okazji 30-lecia, świadectwa pośrednie z 2015 i 2017 r. z najwyższymi ocenami, a także korekta stażu na korzyść pracownika w 2023 r. – świadczą o wyjątkowej lojalności i docenianym wkładzie w rozwój firmy. Ta długoletnia praktyka wzajemnego zaufania i docenienia stanowi istotny kontekst interpretacyjny przy ocenie zakresu zobowiązań pracodawcy.</w:t>
      </w:r>
    </w:p>
    <w:p w14:paraId="5E97A82B" w14:textId="77777777" w:rsidR="00FB3294" w:rsidRDefault="00000000">
      <w:pPr>
        <w:spacing w:after="120" w:line="276" w:lineRule="auto"/>
        <w:jc w:val="both"/>
      </w:pPr>
      <w:r>
        <w:rPr>
          <w:color w:val="333333"/>
        </w:rPr>
        <w:t>Osobny aspekt stanowi fakt, że w 2024 r. firma odwołała też zapowiadaną podwyżkę wynagrodzeń (pismo z 25 marca 2024 r.), co oznacza, że pracownicy – w tym Pan Łach – ponoszą kumulatywne skutki zamrożenia płac i braku premii.</w:t>
      </w:r>
    </w:p>
    <w:p w14:paraId="7B1B661D" w14:textId="77777777" w:rsidR="00FB3294" w:rsidRDefault="00000000">
      <w:pPr>
        <w:pStyle w:val="Heading1"/>
        <w:pBdr>
          <w:bottom w:val="single" w:sz="2" w:space="4" w:color="D4740A"/>
        </w:pBdr>
      </w:pPr>
      <w:r>
        <w:t>4. OPCJE DZIAŁANIA I SCENARIUSZE</w:t>
      </w:r>
    </w:p>
    <w:p w14:paraId="65296756" w14:textId="77777777" w:rsidR="00FB3294" w:rsidRDefault="00000000">
      <w:pPr>
        <w:pStyle w:val="Heading2"/>
      </w:pPr>
      <w:r>
        <w:t>4.1. Scenariusz A: Negocjacje polubowne (rekomendowany)</w:t>
      </w:r>
    </w:p>
    <w:p w14:paraId="006E3160" w14:textId="77777777" w:rsidR="00FB3294" w:rsidRDefault="00000000">
      <w:pPr>
        <w:spacing w:after="120" w:line="276" w:lineRule="auto"/>
        <w:jc w:val="both"/>
      </w:pPr>
      <w:r>
        <w:rPr>
          <w:color w:val="333333"/>
        </w:rPr>
        <w:t>Pisemne wezwanie do pracodawcy z prośbą o ponowne rozpatrzenie decyzji o niewypełnieniu premii za 2025 r. Argumentacja powinna opierać się na:</w:t>
      </w:r>
    </w:p>
    <w:p w14:paraId="1E68EF44" w14:textId="77777777" w:rsidR="00FB3294" w:rsidRDefault="00000000">
      <w:pPr>
        <w:pStyle w:val="ListParagraph"/>
        <w:numPr>
          <w:ilvl w:val="0"/>
          <w:numId w:val="3"/>
        </w:numPr>
        <w:spacing w:after="80" w:line="276" w:lineRule="auto"/>
      </w:pPr>
      <w:r>
        <w:t>zapisie umownym (Zielbonus CHF 35’000) jako podstawie roszczenia;</w:t>
      </w:r>
    </w:p>
    <w:p w14:paraId="3AAFD0CE" w14:textId="77777777" w:rsidR="00FB3294" w:rsidRDefault="00000000">
      <w:pPr>
        <w:pStyle w:val="ListParagraph"/>
        <w:numPr>
          <w:ilvl w:val="0"/>
          <w:numId w:val="3"/>
        </w:numPr>
        <w:spacing w:after="80" w:line="276" w:lineRule="auto"/>
      </w:pPr>
      <w:r>
        <w:t>precedensie lat 2023–2024, kiedy firma wypłaciła premie mimo nieosiągnięcia celów;</w:t>
      </w:r>
    </w:p>
    <w:p w14:paraId="05EA50A9" w14:textId="77777777" w:rsidR="00FB3294" w:rsidRDefault="00000000">
      <w:pPr>
        <w:pStyle w:val="ListParagraph"/>
        <w:numPr>
          <w:ilvl w:val="0"/>
          <w:numId w:val="3"/>
        </w:numPr>
        <w:spacing w:after="80" w:line="276" w:lineRule="auto"/>
      </w:pPr>
      <w:r>
        <w:t>30+ latach lojalnej służby i wielokrotnie potwierdzanej doskonałej ocenie pracy;</w:t>
      </w:r>
    </w:p>
    <w:p w14:paraId="092508B6" w14:textId="77777777" w:rsidR="00FB3294" w:rsidRDefault="00000000">
      <w:pPr>
        <w:pStyle w:val="ListParagraph"/>
        <w:numPr>
          <w:ilvl w:val="0"/>
          <w:numId w:val="3"/>
        </w:numPr>
        <w:spacing w:after="120" w:line="276" w:lineRule="auto"/>
      </w:pPr>
      <w:r>
        <w:t>kumulatywnym efekcie braku podwyżki (2024) i premii (2025).</w:t>
      </w:r>
    </w:p>
    <w:p w14:paraId="6CCBF320" w14:textId="77777777" w:rsidR="00FB3294" w:rsidRDefault="00000000">
      <w:pPr>
        <w:spacing w:after="120" w:line="276" w:lineRule="auto"/>
        <w:jc w:val="both"/>
      </w:pPr>
      <w:r>
        <w:rPr>
          <w:color w:val="333333"/>
        </w:rPr>
        <w:t>Realistyczne oczekiwanie: kompromis na poziomie CHF 15’000–25’000 (wypłata częściowa lub jednorazowe świadczenie kompensacyjne).</w:t>
      </w:r>
    </w:p>
    <w:p w14:paraId="673AF7A0" w14:textId="77777777" w:rsidR="00FB3294" w:rsidRDefault="00000000">
      <w:pPr>
        <w:pStyle w:val="Heading2"/>
      </w:pPr>
      <w:r>
        <w:t>4.2. Scenariusz B: Formalne roszczenie</w:t>
      </w:r>
    </w:p>
    <w:p w14:paraId="5C3AAFA2" w14:textId="77777777" w:rsidR="00FB3294" w:rsidRDefault="00000000">
      <w:pPr>
        <w:spacing w:after="120" w:line="276" w:lineRule="auto"/>
        <w:jc w:val="both"/>
      </w:pPr>
      <w:r>
        <w:rPr>
          <w:color w:val="333333"/>
        </w:rPr>
        <w:lastRenderedPageBreak/>
        <w:t>W przypadku braku porozumienia, formalne roszczenie o wypłatę premii w trybie art. 322 lub 322d OR, poprzedzone obowiązkową koncyliacją (Schlichtungsverfahren). Możliwe podstawy roszczenia:</w:t>
      </w:r>
    </w:p>
    <w:p w14:paraId="5270B304" w14:textId="77777777" w:rsidR="00FB3294" w:rsidRDefault="00000000">
      <w:pPr>
        <w:pStyle w:val="ListParagraph"/>
        <w:numPr>
          <w:ilvl w:val="0"/>
          <w:numId w:val="2"/>
        </w:numPr>
        <w:spacing w:after="80" w:line="276" w:lineRule="auto"/>
      </w:pPr>
      <w:r>
        <w:rPr>
          <w:b/>
          <w:bCs/>
        </w:rPr>
        <w:t>Roszczenie główne:</w:t>
      </w:r>
      <w:r>
        <w:t xml:space="preserve"> CHF 35’000 jako należny składnik wynagrodzenia (Lohnbestandteil).</w:t>
      </w:r>
    </w:p>
    <w:p w14:paraId="48908023" w14:textId="77777777" w:rsidR="00FB3294" w:rsidRDefault="00000000">
      <w:pPr>
        <w:pStyle w:val="ListParagraph"/>
        <w:numPr>
          <w:ilvl w:val="0"/>
          <w:numId w:val="2"/>
        </w:numPr>
        <w:spacing w:after="80" w:line="276" w:lineRule="auto"/>
      </w:pPr>
      <w:r>
        <w:rPr>
          <w:b/>
          <w:bCs/>
        </w:rPr>
        <w:t>Roszczenie ewentualne:</w:t>
      </w:r>
      <w:r>
        <w:t xml:space="preserve"> CHF 21’000–24’500 jako gratyfikacja nieautentyczna, obliczona analogicznie do lat 2023–2024 (współczynnik 60–70%).</w:t>
      </w:r>
    </w:p>
    <w:p w14:paraId="6A9096D4" w14:textId="77777777" w:rsidR="00FB3294" w:rsidRDefault="00000000">
      <w:pPr>
        <w:pStyle w:val="Heading2"/>
      </w:pPr>
      <w:r>
        <w:t>4.3. Scenariusz C: Brak działania</w:t>
      </w:r>
    </w:p>
    <w:p w14:paraId="47F7343B" w14:textId="77777777" w:rsidR="00FB3294" w:rsidRDefault="00000000">
      <w:pPr>
        <w:spacing w:after="120" w:line="276" w:lineRule="auto"/>
        <w:jc w:val="both"/>
      </w:pPr>
      <w:r>
        <w:rPr>
          <w:color w:val="333333"/>
        </w:rPr>
        <w:t>Pan Łach może również zdecydować się na niepodejmowanie działań, biorąc pod uwagę kontynuację stosunku pracy i potencjalne ryzyko dla relacji z pracodawcą. Należy jednak zwrcić uwagę, że roszczenia z tytułu wynagrodzenia ulegają przedawnieniu po 5 latach (art. 128 OR), więc decyzja o ewentualnym działaniu nie wymaga natychmiastowej reakcji.</w:t>
      </w:r>
    </w:p>
    <w:p w14:paraId="719BA6E1" w14:textId="77777777" w:rsidR="00FB3294" w:rsidRDefault="00000000">
      <w:pPr>
        <w:pStyle w:val="Heading1"/>
        <w:pBdr>
          <w:bottom w:val="single" w:sz="2" w:space="4" w:color="D4740A"/>
        </w:pBdr>
      </w:pPr>
      <w:r>
        <w:t>5. WNIOSKI I KOŃCOWE REKOMENDACJE</w:t>
      </w:r>
    </w:p>
    <w:p w14:paraId="7B5DF1B5" w14:textId="77777777" w:rsidR="00FB3294" w:rsidRDefault="00000000">
      <w:pPr>
        <w:spacing w:after="120" w:line="276" w:lineRule="auto"/>
        <w:jc w:val="both"/>
      </w:pPr>
      <w:r>
        <w:rPr>
          <w:color w:val="333333"/>
        </w:rPr>
        <w:t>Na podstawie analizy dokumentów, orzecznictwa Sądu Federalnego i doktryny prawa pracy, formułuję następujące wnioski:</w:t>
      </w:r>
    </w:p>
    <w:p w14:paraId="5E0EA337" w14:textId="77777777" w:rsidR="00FB3294" w:rsidRDefault="00000000">
      <w:pPr>
        <w:pStyle w:val="ListParagraph"/>
        <w:numPr>
          <w:ilvl w:val="0"/>
          <w:numId w:val="2"/>
        </w:numPr>
        <w:spacing w:after="100" w:line="276" w:lineRule="auto"/>
      </w:pPr>
      <w:r>
        <w:rPr>
          <w:b/>
          <w:bCs/>
        </w:rPr>
        <w:t>Pozycja Pana Łacha jest umiarkowanie silna.</w:t>
      </w:r>
      <w:r>
        <w:t xml:space="preserve"> Zapis umowny „Zielbonus CHF 35’000” w połączeniu z pięcioletnią praktyką wypłat i obiektywnym systemem obliczania premii tworzy solidną podstawę do zakwalifikowania premii jako składnika wynagrodzenia lub co najmniej gratyfikacji nieautentycznej.</w:t>
      </w:r>
    </w:p>
    <w:p w14:paraId="7298558F" w14:textId="77777777" w:rsidR="00FB3294" w:rsidRDefault="00000000">
      <w:pPr>
        <w:pStyle w:val="ListParagraph"/>
        <w:numPr>
          <w:ilvl w:val="0"/>
          <w:numId w:val="2"/>
        </w:numPr>
        <w:spacing w:after="100" w:line="276" w:lineRule="auto"/>
      </w:pPr>
      <w:r>
        <w:rPr>
          <w:b/>
          <w:bCs/>
        </w:rPr>
        <w:t>Jednostronna zmiana regulaminu jest słabym punktem pracodawcy.</w:t>
      </w:r>
      <w:r>
        <w:t xml:space="preserve"> Eliminacja celów indywidualnych w trakcie roku i retroaktywna zmiana zasad wypłaty premii budzą poważne wątpliwości prawne.</w:t>
      </w:r>
    </w:p>
    <w:p w14:paraId="59175452" w14:textId="77777777" w:rsidR="00FB3294" w:rsidRDefault="00000000">
      <w:pPr>
        <w:pStyle w:val="ListParagraph"/>
        <w:numPr>
          <w:ilvl w:val="0"/>
          <w:numId w:val="2"/>
        </w:numPr>
        <w:spacing w:after="100" w:line="276" w:lineRule="auto"/>
      </w:pPr>
      <w:r>
        <w:rPr>
          <w:b/>
          <w:bCs/>
        </w:rPr>
        <w:t>Precedens 2023–2024 wzmacnia argumentację.</w:t>
      </w:r>
      <w:r>
        <w:t xml:space="preserve"> Firma sama pokazała, że wypłata premii nie jest ściśle uzależniona od osiągnięcia celów EBIT.</w:t>
      </w:r>
    </w:p>
    <w:p w14:paraId="6F0AB3EA" w14:textId="77777777" w:rsidR="00FB3294" w:rsidRDefault="00000000">
      <w:pPr>
        <w:pStyle w:val="ListParagraph"/>
        <w:numPr>
          <w:ilvl w:val="0"/>
          <w:numId w:val="2"/>
        </w:numPr>
        <w:spacing w:after="100" w:line="276" w:lineRule="auto"/>
      </w:pPr>
      <w:r>
        <w:rPr>
          <w:b/>
          <w:bCs/>
        </w:rPr>
        <w:t>Rekomenduję negocjacje polubowne jako pierwszy krok.</w:t>
      </w:r>
      <w:r>
        <w:t xml:space="preserve"> Zachowanie dobrej relacji z pracodawcą przy jednoczesnym zabezpieczeniu interesów finansowych. Pismo powinno być rzeczowe, oparte na faktach i odniesione do zapisów umownych.</w:t>
      </w:r>
    </w:p>
    <w:p w14:paraId="08A507F4" w14:textId="77777777" w:rsidR="00FB3294" w:rsidRDefault="00000000">
      <w:pPr>
        <w:pStyle w:val="ListParagraph"/>
        <w:numPr>
          <w:ilvl w:val="0"/>
          <w:numId w:val="2"/>
        </w:numPr>
        <w:spacing w:after="100" w:line="276" w:lineRule="auto"/>
      </w:pPr>
      <w:r>
        <w:rPr>
          <w:b/>
          <w:bCs/>
        </w:rPr>
        <w:t>W przypadku braku porozumienia – formalne roszczenie.</w:t>
      </w:r>
      <w:r>
        <w:t xml:space="preserve"> Koszty postępowania sądowego w sprawach pracowniczych do CHF 30’000 są zerowe (kanton Argowia), co czyni tę ścieżkę praktycznie dostępną.</w:t>
      </w:r>
    </w:p>
    <w:p w14:paraId="3E2EDD81" w14:textId="77777777" w:rsidR="00FB3294" w:rsidRDefault="00FB3294">
      <w:pPr>
        <w:spacing w:after="60"/>
      </w:pPr>
    </w:p>
    <w:p w14:paraId="26F46ABE" w14:textId="77777777" w:rsidR="00FB3294" w:rsidRDefault="00FB3294">
      <w:pPr>
        <w:pBdr>
          <w:top w:val="single" w:sz="2" w:space="4" w:color="1B3A5C"/>
        </w:pBdr>
        <w:spacing w:before="200"/>
      </w:pPr>
    </w:p>
    <w:p w14:paraId="09AFBC71" w14:textId="77777777" w:rsidR="00FB3294" w:rsidRDefault="00FB3294">
      <w:pPr>
        <w:spacing w:after="60"/>
      </w:pPr>
    </w:p>
    <w:p w14:paraId="35DCDE1E" w14:textId="77777777" w:rsidR="00FB3294" w:rsidRDefault="00000000">
      <w:pPr>
        <w:spacing w:after="120" w:line="276" w:lineRule="auto"/>
        <w:jc w:val="both"/>
      </w:pPr>
      <w:r>
        <w:rPr>
          <w:i/>
          <w:iCs/>
          <w:color w:val="666666"/>
        </w:rPr>
        <w:t>ZASTRZEŻENIE: Niniejsza opinia ma charakter informacyjny i nie stanowi porady prawnej w rozumieniu prawa szwajcarskiego. Przed podjęciem działań prawnych zalecam konsultację z uprawnionym adwokatem (Rechtsanwalt) specjalizującym się w szwajcarskim prawie pracy. Każdy przypadek wymaga indywidualnej oceny prawnej uwzględniającej pełny kontekst faktyczny.</w:t>
      </w:r>
    </w:p>
    <w:sectPr w:rsidR="00FB3294">
      <w:headerReference w:type="default" r:id="rId7"/>
      <w:footerReference w:type="default" r:id="rId8"/>
      <w:pgSz w:w="11906" w:h="16838"/>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CB2C4" w14:textId="77777777" w:rsidR="00445809" w:rsidRDefault="00445809">
      <w:r>
        <w:separator/>
      </w:r>
    </w:p>
  </w:endnote>
  <w:endnote w:type="continuationSeparator" w:id="0">
    <w:p w14:paraId="2CCDFC4F" w14:textId="77777777" w:rsidR="00445809" w:rsidRDefault="00445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7F8D" w14:textId="77777777" w:rsidR="00FB3294" w:rsidRDefault="00000000">
    <w:pPr>
      <w:pBdr>
        <w:top w:val="single" w:sz="1" w:space="4" w:color="CCCCCC"/>
      </w:pBdr>
      <w:jc w:val="center"/>
    </w:pPr>
    <w:r>
      <w:rPr>
        <w:color w:val="666666"/>
        <w:sz w:val="14"/>
        <w:szCs w:val="14"/>
      </w:rPr>
      <w:t xml:space="preserve">Dokument poufny – przygotowany wyłącznie na potrzeby Pana Jarosława Łacha  |  Strona </w:t>
    </w:r>
    <w:r>
      <w:rPr>
        <w:color w:val="666666"/>
        <w:sz w:val="14"/>
        <w:szCs w:val="14"/>
      </w:rPr>
      <w:fldChar w:fldCharType="begin"/>
    </w:r>
    <w:r>
      <w:rPr>
        <w:color w:val="666666"/>
        <w:sz w:val="14"/>
        <w:szCs w:val="14"/>
      </w:rPr>
      <w:instrText>PAGE</w:instrText>
    </w:r>
    <w:r>
      <w:rPr>
        <w:color w:val="666666"/>
        <w:sz w:val="14"/>
        <w:szCs w:val="14"/>
      </w:rPr>
      <w:fldChar w:fldCharType="separate"/>
    </w:r>
    <w:r w:rsidR="00BB3ABF">
      <w:rPr>
        <w:noProof/>
        <w:color w:val="666666"/>
        <w:sz w:val="14"/>
        <w:szCs w:val="14"/>
      </w:rPr>
      <w:t>1</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C1F0" w14:textId="77777777" w:rsidR="00445809" w:rsidRDefault="00445809">
      <w:r>
        <w:separator/>
      </w:r>
    </w:p>
  </w:footnote>
  <w:footnote w:type="continuationSeparator" w:id="0">
    <w:p w14:paraId="34C0417B" w14:textId="77777777" w:rsidR="00445809" w:rsidRDefault="00445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3ADD" w14:textId="77777777" w:rsidR="00FB3294" w:rsidRDefault="00000000">
    <w:pPr>
      <w:pBdr>
        <w:bottom w:val="single" w:sz="2" w:space="4" w:color="D4740A"/>
      </w:pBdr>
      <w:spacing w:after="200"/>
    </w:pPr>
    <w:r>
      <w:rPr>
        <w:b/>
        <w:bCs/>
        <w:color w:val="666666"/>
        <w:sz w:val="16"/>
        <w:szCs w:val="16"/>
      </w:rPr>
      <w:t xml:space="preserve">OPINIA PRAWNA  |  </w:t>
    </w:r>
    <w:r>
      <w:rPr>
        <w:color w:val="666666"/>
        <w:sz w:val="16"/>
        <w:szCs w:val="16"/>
      </w:rPr>
      <w:t>Premia za rok 2025 – BRUGG Rohrsystem 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BE3"/>
    <w:multiLevelType w:val="hybridMultilevel"/>
    <w:tmpl w:val="6E6C98BA"/>
    <w:lvl w:ilvl="0" w:tplc="C58AE22C">
      <w:start w:val="1"/>
      <w:numFmt w:val="lowerLetter"/>
      <w:lvlText w:val="%1)"/>
      <w:lvlJc w:val="left"/>
      <w:pPr>
        <w:ind w:left="720" w:hanging="360"/>
      </w:pPr>
    </w:lvl>
    <w:lvl w:ilvl="1" w:tplc="6BBC6792">
      <w:numFmt w:val="decimal"/>
      <w:lvlText w:val=""/>
      <w:lvlJc w:val="left"/>
    </w:lvl>
    <w:lvl w:ilvl="2" w:tplc="E298627E">
      <w:numFmt w:val="decimal"/>
      <w:lvlText w:val=""/>
      <w:lvlJc w:val="left"/>
    </w:lvl>
    <w:lvl w:ilvl="3" w:tplc="0AC21796">
      <w:numFmt w:val="decimal"/>
      <w:lvlText w:val=""/>
      <w:lvlJc w:val="left"/>
    </w:lvl>
    <w:lvl w:ilvl="4" w:tplc="5498D882">
      <w:numFmt w:val="decimal"/>
      <w:lvlText w:val=""/>
      <w:lvlJc w:val="left"/>
    </w:lvl>
    <w:lvl w:ilvl="5" w:tplc="ABD6AF48">
      <w:numFmt w:val="decimal"/>
      <w:lvlText w:val=""/>
      <w:lvlJc w:val="left"/>
    </w:lvl>
    <w:lvl w:ilvl="6" w:tplc="CB6684D6">
      <w:numFmt w:val="decimal"/>
      <w:lvlText w:val=""/>
      <w:lvlJc w:val="left"/>
    </w:lvl>
    <w:lvl w:ilvl="7" w:tplc="6D5CF238">
      <w:numFmt w:val="decimal"/>
      <w:lvlText w:val=""/>
      <w:lvlJc w:val="left"/>
    </w:lvl>
    <w:lvl w:ilvl="8" w:tplc="0018DC8E">
      <w:numFmt w:val="decimal"/>
      <w:lvlText w:val=""/>
      <w:lvlJc w:val="left"/>
    </w:lvl>
  </w:abstractNum>
  <w:abstractNum w:abstractNumId="1" w15:restartNumberingAfterBreak="0">
    <w:nsid w:val="30B82D41"/>
    <w:multiLevelType w:val="hybridMultilevel"/>
    <w:tmpl w:val="19AC219E"/>
    <w:lvl w:ilvl="0" w:tplc="1EE6B776">
      <w:start w:val="1"/>
      <w:numFmt w:val="bullet"/>
      <w:lvlText w:val="●"/>
      <w:lvlJc w:val="left"/>
      <w:pPr>
        <w:ind w:left="720" w:hanging="360"/>
      </w:pPr>
    </w:lvl>
    <w:lvl w:ilvl="1" w:tplc="A59AB2B4">
      <w:start w:val="1"/>
      <w:numFmt w:val="bullet"/>
      <w:lvlText w:val="○"/>
      <w:lvlJc w:val="left"/>
      <w:pPr>
        <w:ind w:left="1440" w:hanging="360"/>
      </w:pPr>
    </w:lvl>
    <w:lvl w:ilvl="2" w:tplc="4C8C2782">
      <w:start w:val="1"/>
      <w:numFmt w:val="bullet"/>
      <w:lvlText w:val="■"/>
      <w:lvlJc w:val="left"/>
      <w:pPr>
        <w:ind w:left="2160" w:hanging="360"/>
      </w:pPr>
    </w:lvl>
    <w:lvl w:ilvl="3" w:tplc="2694776E">
      <w:start w:val="1"/>
      <w:numFmt w:val="bullet"/>
      <w:lvlText w:val="●"/>
      <w:lvlJc w:val="left"/>
      <w:pPr>
        <w:ind w:left="2880" w:hanging="360"/>
      </w:pPr>
    </w:lvl>
    <w:lvl w:ilvl="4" w:tplc="3EA6C3EE">
      <w:start w:val="1"/>
      <w:numFmt w:val="bullet"/>
      <w:lvlText w:val="○"/>
      <w:lvlJc w:val="left"/>
      <w:pPr>
        <w:ind w:left="3600" w:hanging="360"/>
      </w:pPr>
    </w:lvl>
    <w:lvl w:ilvl="5" w:tplc="F35EEFDA">
      <w:start w:val="1"/>
      <w:numFmt w:val="bullet"/>
      <w:lvlText w:val="■"/>
      <w:lvlJc w:val="left"/>
      <w:pPr>
        <w:ind w:left="4320" w:hanging="360"/>
      </w:pPr>
    </w:lvl>
    <w:lvl w:ilvl="6" w:tplc="20827456">
      <w:start w:val="1"/>
      <w:numFmt w:val="bullet"/>
      <w:lvlText w:val="●"/>
      <w:lvlJc w:val="left"/>
      <w:pPr>
        <w:ind w:left="5040" w:hanging="360"/>
      </w:pPr>
    </w:lvl>
    <w:lvl w:ilvl="7" w:tplc="8F007CCA">
      <w:start w:val="1"/>
      <w:numFmt w:val="bullet"/>
      <w:lvlText w:val="●"/>
      <w:lvlJc w:val="left"/>
      <w:pPr>
        <w:ind w:left="5760" w:hanging="360"/>
      </w:pPr>
    </w:lvl>
    <w:lvl w:ilvl="8" w:tplc="C12EBA76">
      <w:start w:val="1"/>
      <w:numFmt w:val="bullet"/>
      <w:lvlText w:val="●"/>
      <w:lvlJc w:val="left"/>
      <w:pPr>
        <w:ind w:left="6480" w:hanging="360"/>
      </w:pPr>
    </w:lvl>
  </w:abstractNum>
  <w:abstractNum w:abstractNumId="2" w15:restartNumberingAfterBreak="0">
    <w:nsid w:val="64974B0D"/>
    <w:multiLevelType w:val="hybridMultilevel"/>
    <w:tmpl w:val="EAAC4ABE"/>
    <w:lvl w:ilvl="0" w:tplc="F4063DC8">
      <w:start w:val="1"/>
      <w:numFmt w:val="bullet"/>
      <w:lvlText w:val="•"/>
      <w:lvlJc w:val="left"/>
      <w:pPr>
        <w:ind w:left="720" w:hanging="360"/>
      </w:pPr>
    </w:lvl>
    <w:lvl w:ilvl="1" w:tplc="B11E7BE2">
      <w:numFmt w:val="decimal"/>
      <w:lvlText w:val=""/>
      <w:lvlJc w:val="left"/>
    </w:lvl>
    <w:lvl w:ilvl="2" w:tplc="3168E60A">
      <w:numFmt w:val="decimal"/>
      <w:lvlText w:val=""/>
      <w:lvlJc w:val="left"/>
    </w:lvl>
    <w:lvl w:ilvl="3" w:tplc="A2A410DA">
      <w:numFmt w:val="decimal"/>
      <w:lvlText w:val=""/>
      <w:lvlJc w:val="left"/>
    </w:lvl>
    <w:lvl w:ilvl="4" w:tplc="EC10DCCC">
      <w:numFmt w:val="decimal"/>
      <w:lvlText w:val=""/>
      <w:lvlJc w:val="left"/>
    </w:lvl>
    <w:lvl w:ilvl="5" w:tplc="3F34F9A0">
      <w:numFmt w:val="decimal"/>
      <w:lvlText w:val=""/>
      <w:lvlJc w:val="left"/>
    </w:lvl>
    <w:lvl w:ilvl="6" w:tplc="272ADEE4">
      <w:numFmt w:val="decimal"/>
      <w:lvlText w:val=""/>
      <w:lvlJc w:val="left"/>
    </w:lvl>
    <w:lvl w:ilvl="7" w:tplc="817031A6">
      <w:numFmt w:val="decimal"/>
      <w:lvlText w:val=""/>
      <w:lvlJc w:val="left"/>
    </w:lvl>
    <w:lvl w:ilvl="8" w:tplc="2E28239C">
      <w:numFmt w:val="decimal"/>
      <w:lvlText w:val=""/>
      <w:lvlJc w:val="left"/>
    </w:lvl>
  </w:abstractNum>
  <w:abstractNum w:abstractNumId="3" w15:restartNumberingAfterBreak="0">
    <w:nsid w:val="6DD7195D"/>
    <w:multiLevelType w:val="hybridMultilevel"/>
    <w:tmpl w:val="92DCAEC6"/>
    <w:lvl w:ilvl="0" w:tplc="54E430E0">
      <w:start w:val="1"/>
      <w:numFmt w:val="decimal"/>
      <w:lvlText w:val="%1."/>
      <w:lvlJc w:val="left"/>
      <w:pPr>
        <w:ind w:left="720" w:hanging="360"/>
      </w:pPr>
    </w:lvl>
    <w:lvl w:ilvl="1" w:tplc="563A7D0E">
      <w:numFmt w:val="decimal"/>
      <w:lvlText w:val=""/>
      <w:lvlJc w:val="left"/>
    </w:lvl>
    <w:lvl w:ilvl="2" w:tplc="FACAD522">
      <w:numFmt w:val="decimal"/>
      <w:lvlText w:val=""/>
      <w:lvlJc w:val="left"/>
    </w:lvl>
    <w:lvl w:ilvl="3" w:tplc="F86CFB2A">
      <w:numFmt w:val="decimal"/>
      <w:lvlText w:val=""/>
      <w:lvlJc w:val="left"/>
    </w:lvl>
    <w:lvl w:ilvl="4" w:tplc="FBFEF470">
      <w:numFmt w:val="decimal"/>
      <w:lvlText w:val=""/>
      <w:lvlJc w:val="left"/>
    </w:lvl>
    <w:lvl w:ilvl="5" w:tplc="3418ECDC">
      <w:numFmt w:val="decimal"/>
      <w:lvlText w:val=""/>
      <w:lvlJc w:val="left"/>
    </w:lvl>
    <w:lvl w:ilvl="6" w:tplc="3852F90C">
      <w:numFmt w:val="decimal"/>
      <w:lvlText w:val=""/>
      <w:lvlJc w:val="left"/>
    </w:lvl>
    <w:lvl w:ilvl="7" w:tplc="EFB464FA">
      <w:numFmt w:val="decimal"/>
      <w:lvlText w:val=""/>
      <w:lvlJc w:val="left"/>
    </w:lvl>
    <w:lvl w:ilvl="8" w:tplc="38DA5C6E">
      <w:numFmt w:val="decimal"/>
      <w:lvlText w:val=""/>
      <w:lvlJc w:val="left"/>
    </w:lvl>
  </w:abstractNum>
  <w:num w:numId="1" w16cid:durableId="1627466291">
    <w:abstractNumId w:val="1"/>
    <w:lvlOverride w:ilvl="0">
      <w:startOverride w:val="1"/>
    </w:lvlOverride>
  </w:num>
  <w:num w:numId="2" w16cid:durableId="592858605">
    <w:abstractNumId w:val="3"/>
    <w:lvlOverride w:ilvl="0">
      <w:startOverride w:val="1"/>
    </w:lvlOverride>
  </w:num>
  <w:num w:numId="3" w16cid:durableId="974798052">
    <w:abstractNumId w:val="2"/>
    <w:lvlOverride w:ilvl="0">
      <w:startOverride w:val="1"/>
    </w:lvlOverride>
  </w:num>
  <w:num w:numId="4" w16cid:durableId="1160073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294"/>
    <w:rsid w:val="00445809"/>
    <w:rsid w:val="005119F9"/>
    <w:rsid w:val="00BB3ABF"/>
    <w:rsid w:val="00C24F21"/>
    <w:rsid w:val="00FB329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9895"/>
  <w15:docId w15:val="{4AC34566-7306-4139-8B8E-C992CA4C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1B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1747</Words>
  <Characters>11321</Characters>
  <Application>Microsoft Office Word</Application>
  <DocSecurity>0</DocSecurity>
  <Lines>221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Jarek Lach</cp:lastModifiedBy>
  <cp:revision>3</cp:revision>
  <cp:lastPrinted>2026-03-21T18:32:00Z</cp:lastPrinted>
  <dcterms:created xsi:type="dcterms:W3CDTF">2026-03-21T18:26:00Z</dcterms:created>
  <dcterms:modified xsi:type="dcterms:W3CDTF">2026-03-21T18:47:00Z</dcterms:modified>
</cp:coreProperties>
</file>