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AC12F" w14:textId="3AD3C9D5" w:rsidR="002A7357" w:rsidRDefault="00A17F6D">
      <w:pPr>
        <w:rPr>
          <w:rFonts w:ascii="Times New Roman" w:hAnsi="Times New Roman" w:cs="Times New Roman"/>
        </w:rPr>
      </w:pPr>
      <w:r>
        <w:rPr>
          <w:rFonts w:ascii="Times New Roman" w:hAnsi="Times New Roman" w:cs="Times New Roman"/>
        </w:rPr>
        <w:t>Joseph C. Arenas</w:t>
      </w:r>
      <w:r w:rsidR="0015649D">
        <w:rPr>
          <w:rFonts w:ascii="Times New Roman" w:hAnsi="Times New Roman" w:cs="Times New Roman"/>
        </w:rPr>
        <w:t xml:space="preserve">                                                                                                        Assignment #</w:t>
      </w:r>
      <w:r w:rsidR="007A1F67">
        <w:rPr>
          <w:rFonts w:ascii="Times New Roman" w:hAnsi="Times New Roman" w:cs="Times New Roman"/>
        </w:rPr>
        <w:t>3</w:t>
      </w:r>
    </w:p>
    <w:p w14:paraId="52684396" w14:textId="742A6F87" w:rsidR="00A17F6D" w:rsidRDefault="00A17F6D">
      <w:pPr>
        <w:rPr>
          <w:rFonts w:ascii="Times New Roman" w:hAnsi="Times New Roman" w:cs="Times New Roman"/>
        </w:rPr>
      </w:pPr>
      <w:r>
        <w:rPr>
          <w:rFonts w:ascii="Times New Roman" w:hAnsi="Times New Roman" w:cs="Times New Roman"/>
        </w:rPr>
        <w:t>BET-CPET 3A</w:t>
      </w:r>
      <w:r w:rsidR="0015649D">
        <w:rPr>
          <w:rFonts w:ascii="Times New Roman" w:hAnsi="Times New Roman" w:cs="Times New Roman"/>
        </w:rPr>
        <w:t xml:space="preserve">                                                                                                                      CPET13</w:t>
      </w:r>
    </w:p>
    <w:p w14:paraId="730D3690" w14:textId="26800767" w:rsidR="00283A59" w:rsidRPr="007A1F67" w:rsidRDefault="004B541A" w:rsidP="00B121D7">
      <w:pPr>
        <w:jc w:val="center"/>
        <w:rPr>
          <w:rFonts w:ascii="Times New Roman" w:hAnsi="Times New Roman" w:cs="Times New Roman"/>
          <w:b/>
          <w:bCs/>
          <w:u w:val="single"/>
        </w:rPr>
      </w:pPr>
      <w:r w:rsidRPr="007A1F67">
        <w:rPr>
          <w:rFonts w:ascii="Times New Roman" w:hAnsi="Times New Roman" w:cs="Times New Roman"/>
          <w:b/>
          <w:bCs/>
          <w:u w:val="single"/>
        </w:rPr>
        <w:t>RA 8</w:t>
      </w:r>
      <w:r w:rsidR="00097850">
        <w:rPr>
          <w:rFonts w:ascii="Times New Roman" w:hAnsi="Times New Roman" w:cs="Times New Roman"/>
          <w:b/>
          <w:bCs/>
          <w:u w:val="single"/>
        </w:rPr>
        <w:t>293</w:t>
      </w:r>
      <w:r w:rsidRPr="007A1F67">
        <w:rPr>
          <w:rFonts w:ascii="Times New Roman" w:hAnsi="Times New Roman" w:cs="Times New Roman"/>
          <w:b/>
          <w:bCs/>
          <w:u w:val="single"/>
        </w:rPr>
        <w:t xml:space="preserve">: </w:t>
      </w:r>
      <w:r w:rsidR="00097850">
        <w:rPr>
          <w:rFonts w:ascii="Times New Roman" w:hAnsi="Times New Roman" w:cs="Times New Roman"/>
          <w:b/>
          <w:bCs/>
          <w:u w:val="single"/>
        </w:rPr>
        <w:t>Intellectual Property Code of the Philippines</w:t>
      </w:r>
    </w:p>
    <w:p w14:paraId="50FFE219" w14:textId="1C25AA5F" w:rsidR="00097850" w:rsidRPr="00097850" w:rsidRDefault="00097850" w:rsidP="00097850">
      <w:pPr>
        <w:pStyle w:val="NormalWeb"/>
        <w:spacing w:line="276" w:lineRule="auto"/>
        <w:ind w:firstLine="720"/>
        <w:jc w:val="both"/>
        <w:divId w:val="679619825"/>
        <w:rPr>
          <w:rFonts w:asciiTheme="minorHAnsi" w:hAnsiTheme="minorHAnsi" w:cstheme="minorBidi"/>
          <w:kern w:val="2"/>
          <w14:ligatures w14:val="standardContextual"/>
        </w:rPr>
      </w:pPr>
      <w:r w:rsidRPr="00097850">
        <w:rPr>
          <w:rFonts w:asciiTheme="minorHAnsi" w:hAnsiTheme="minorHAnsi" w:cstheme="minorBidi"/>
          <w:kern w:val="2"/>
          <w14:ligatures w14:val="standardContextual"/>
        </w:rPr>
        <w:t>Republic Act 8293, also known as the Intellectual Property Code of the Philippines, was passed in 1997 to modernize and unify laws concerning intellectual property. It covers patents, trademarks, copyrights, and other forms of IP, giving creators and inventors exclusive rights to their works and innovations (Republic Act No. 8293, 1997). This move aligned the Philippines with international agreements such as TRIPS, ensuring that the country’s laws met global standards (World Intellectual Property Organization, 2013).</w:t>
      </w:r>
    </w:p>
    <w:p w14:paraId="0ACB73E8" w14:textId="6C05BFD9" w:rsidR="00097850" w:rsidRPr="00097850" w:rsidRDefault="00097850" w:rsidP="00097850">
      <w:pPr>
        <w:pStyle w:val="NormalWeb"/>
        <w:spacing w:line="276" w:lineRule="auto"/>
        <w:ind w:firstLine="720"/>
        <w:jc w:val="both"/>
        <w:divId w:val="679619825"/>
        <w:rPr>
          <w:rFonts w:asciiTheme="minorHAnsi" w:hAnsiTheme="minorHAnsi" w:cstheme="minorBidi"/>
          <w:kern w:val="2"/>
          <w14:ligatures w14:val="standardContextual"/>
        </w:rPr>
      </w:pPr>
      <w:r w:rsidRPr="00097850">
        <w:rPr>
          <w:rFonts w:asciiTheme="minorHAnsi" w:hAnsiTheme="minorHAnsi" w:cstheme="minorBidi"/>
          <w:kern w:val="2"/>
          <w14:ligatures w14:val="standardContextual"/>
        </w:rPr>
        <w:t>The law promotes innovation and creativity by protecting the efforts of individuals and businesses, encouraging them to invest in new ideas without fear of exploitation. By safeguarding brands, inventions, and creative works, RA 8293 also helps establish trust in the market and ensures fair competition (Intellectual Property Office of the Philippines, n.d.). This protection is vital not just for large companies but also for local entrepreneurs and artists who rely on their intellectual property for growth and recognition.</w:t>
      </w:r>
    </w:p>
    <w:p w14:paraId="22FB33AA" w14:textId="3A2A3877" w:rsidR="00283A59" w:rsidRDefault="00097850" w:rsidP="00097850">
      <w:pPr>
        <w:pStyle w:val="NormalWeb"/>
        <w:spacing w:line="276" w:lineRule="auto"/>
        <w:ind w:firstLine="720"/>
        <w:jc w:val="both"/>
        <w:divId w:val="679619825"/>
      </w:pPr>
      <w:r w:rsidRPr="00097850">
        <w:rPr>
          <w:rFonts w:asciiTheme="minorHAnsi" w:hAnsiTheme="minorHAnsi" w:cstheme="minorBidi"/>
          <w:kern w:val="2"/>
          <w14:ligatures w14:val="standardContextual"/>
        </w:rPr>
        <w:t>At the same time, RA 8293 balances private rights with public interest by providing exceptions and limitations, especially in education, research, and access to information (Republic Act No. 8293, 1997). This ensures that intellectual property rights do not become barriers to learning and development. Overall, the law plays a key role in supporting economic progress while promoting respect for intellectual property in Philippine society (Intellectual Property Office of the Philippines, n.d.).</w:t>
      </w:r>
    </w:p>
    <w:p w14:paraId="19F9C3E5" w14:textId="6780E3CB" w:rsidR="00283A59" w:rsidRDefault="00283A59" w:rsidP="00853767">
      <w:pPr>
        <w:jc w:val="both"/>
        <w:divId w:val="679619825"/>
        <w:rPr>
          <w:rFonts w:eastAsia="Times New Roman"/>
        </w:rPr>
      </w:pPr>
    </w:p>
    <w:p w14:paraId="1DDCF871" w14:textId="77777777" w:rsidR="00283A59" w:rsidRDefault="00283A59" w:rsidP="00853767">
      <w:pPr>
        <w:pStyle w:val="NormalWeb"/>
        <w:jc w:val="both"/>
        <w:divId w:val="679619825"/>
      </w:pPr>
      <w:r>
        <w:rPr>
          <w:rStyle w:val="Strong"/>
        </w:rPr>
        <w:t>References</w:t>
      </w:r>
    </w:p>
    <w:p w14:paraId="43D22269" w14:textId="77777777" w:rsidR="00097850" w:rsidRPr="00097850" w:rsidRDefault="00097850" w:rsidP="00097850">
      <w:pPr>
        <w:pStyle w:val="NormalWeb"/>
        <w:ind w:firstLine="720"/>
        <w:jc w:val="both"/>
        <w:divId w:val="679619825"/>
      </w:pPr>
      <w:r w:rsidRPr="00097850">
        <w:t xml:space="preserve">Intellectual Property Office of the Philippines. (n.d.). </w:t>
      </w:r>
      <w:r w:rsidRPr="00097850">
        <w:rPr>
          <w:i/>
          <w:iCs/>
        </w:rPr>
        <w:t>Philippine laws on intellectual property: Republic Act No. 8293, amended</w:t>
      </w:r>
      <w:r w:rsidRPr="00097850">
        <w:t xml:space="preserve">. Intellectual Property Office of the Philippines. </w:t>
      </w:r>
      <w:hyperlink r:id="rId4" w:tgtFrame="_new" w:history="1">
        <w:r w:rsidRPr="00097850">
          <w:rPr>
            <w:rStyle w:val="Hyperlink"/>
          </w:rPr>
          <w:t>https://www.ipophil.gov.ph/intellectual-property-code-implementing-rules-and-regulations/</w:t>
        </w:r>
      </w:hyperlink>
    </w:p>
    <w:p w14:paraId="6F7EE9B0" w14:textId="77777777" w:rsidR="00097850" w:rsidRPr="00097850" w:rsidRDefault="00097850" w:rsidP="00097850">
      <w:pPr>
        <w:pStyle w:val="NormalWeb"/>
        <w:ind w:firstLine="720"/>
        <w:jc w:val="both"/>
        <w:divId w:val="679619825"/>
      </w:pPr>
      <w:r w:rsidRPr="00097850">
        <w:t xml:space="preserve">Republic Act No. 8293. (1997, June 6). </w:t>
      </w:r>
      <w:r w:rsidRPr="00097850">
        <w:rPr>
          <w:i/>
          <w:iCs/>
        </w:rPr>
        <w:t>Intellectual Property Code of the Philippines</w:t>
      </w:r>
      <w:r w:rsidRPr="00097850">
        <w:t xml:space="preserve">. LawPhil. </w:t>
      </w:r>
      <w:hyperlink r:id="rId5" w:tgtFrame="_new" w:history="1">
        <w:r w:rsidRPr="00097850">
          <w:rPr>
            <w:rStyle w:val="Hyperlink"/>
          </w:rPr>
          <w:t>https://lawphil.net/statutes/repacts/ra1997/ra_8293_1997.html</w:t>
        </w:r>
      </w:hyperlink>
    </w:p>
    <w:p w14:paraId="5147E5A6" w14:textId="27DC50D6" w:rsidR="00B8157E" w:rsidRPr="00097850" w:rsidRDefault="00097850" w:rsidP="00097850">
      <w:pPr>
        <w:pStyle w:val="NormalWeb"/>
        <w:ind w:firstLine="720"/>
        <w:jc w:val="both"/>
        <w:divId w:val="679619825"/>
      </w:pPr>
      <w:r w:rsidRPr="00097850">
        <w:t xml:space="preserve">World Intellectual Property Organization. (2013). </w:t>
      </w:r>
      <w:r w:rsidRPr="00097850">
        <w:rPr>
          <w:i/>
          <w:iCs/>
        </w:rPr>
        <w:t>Intellectual Property Code of the Philippines (RA 8293), as amended (2015 edition)</w:t>
      </w:r>
      <w:r w:rsidRPr="00097850">
        <w:t xml:space="preserve">. WIPOLEX. </w:t>
      </w:r>
      <w:hyperlink r:id="rId6" w:tgtFrame="_new" w:history="1">
        <w:r w:rsidRPr="00097850">
          <w:rPr>
            <w:rStyle w:val="Hyperlink"/>
          </w:rPr>
          <w:t>https://www.wipo.int/wipolex/en/legislation/details/18399</w:t>
        </w:r>
      </w:hyperlink>
    </w:p>
    <w:sectPr w:rsidR="00B8157E" w:rsidRPr="00097850" w:rsidSect="002A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357"/>
    <w:rsid w:val="00097850"/>
    <w:rsid w:val="0015649D"/>
    <w:rsid w:val="00283A59"/>
    <w:rsid w:val="002A7357"/>
    <w:rsid w:val="00371EE8"/>
    <w:rsid w:val="00375822"/>
    <w:rsid w:val="004B541A"/>
    <w:rsid w:val="00715CAB"/>
    <w:rsid w:val="007A1F67"/>
    <w:rsid w:val="00853767"/>
    <w:rsid w:val="009E1C8F"/>
    <w:rsid w:val="00A17F6D"/>
    <w:rsid w:val="00A73C81"/>
    <w:rsid w:val="00AC5F70"/>
    <w:rsid w:val="00B121D7"/>
    <w:rsid w:val="00B24B92"/>
    <w:rsid w:val="00B8157E"/>
    <w:rsid w:val="00BC7A8F"/>
    <w:rsid w:val="00EC1162"/>
    <w:rsid w:val="00F8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E143"/>
  <w15:chartTrackingRefBased/>
  <w15:docId w15:val="{C8261333-8513-8E46-8602-BC0B12F45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7357"/>
    <w:rPr>
      <w:rFonts w:eastAsiaTheme="majorEastAsia" w:cstheme="majorBidi"/>
      <w:color w:val="272727" w:themeColor="text1" w:themeTint="D8"/>
    </w:rPr>
  </w:style>
  <w:style w:type="paragraph" w:styleId="Title">
    <w:name w:val="Title"/>
    <w:basedOn w:val="Normal"/>
    <w:next w:val="Normal"/>
    <w:link w:val="TitleChar"/>
    <w:uiPriority w:val="10"/>
    <w:qFormat/>
    <w:rsid w:val="002A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7357"/>
    <w:pPr>
      <w:spacing w:before="160"/>
      <w:jc w:val="center"/>
    </w:pPr>
    <w:rPr>
      <w:i/>
      <w:iCs/>
      <w:color w:val="404040" w:themeColor="text1" w:themeTint="BF"/>
    </w:rPr>
  </w:style>
  <w:style w:type="character" w:customStyle="1" w:styleId="QuoteChar">
    <w:name w:val="Quote Char"/>
    <w:basedOn w:val="DefaultParagraphFont"/>
    <w:link w:val="Quote"/>
    <w:uiPriority w:val="29"/>
    <w:rsid w:val="002A7357"/>
    <w:rPr>
      <w:i/>
      <w:iCs/>
      <w:color w:val="404040" w:themeColor="text1" w:themeTint="BF"/>
    </w:rPr>
  </w:style>
  <w:style w:type="paragraph" w:styleId="ListParagraph">
    <w:name w:val="List Paragraph"/>
    <w:basedOn w:val="Normal"/>
    <w:uiPriority w:val="34"/>
    <w:qFormat/>
    <w:rsid w:val="002A7357"/>
    <w:pPr>
      <w:ind w:left="720"/>
      <w:contextualSpacing/>
    </w:pPr>
  </w:style>
  <w:style w:type="character" w:styleId="IntenseEmphasis">
    <w:name w:val="Intense Emphasis"/>
    <w:basedOn w:val="DefaultParagraphFont"/>
    <w:uiPriority w:val="21"/>
    <w:qFormat/>
    <w:rsid w:val="002A7357"/>
    <w:rPr>
      <w:i/>
      <w:iCs/>
      <w:color w:val="0F4761" w:themeColor="accent1" w:themeShade="BF"/>
    </w:rPr>
  </w:style>
  <w:style w:type="paragraph" w:styleId="IntenseQuote">
    <w:name w:val="Intense Quote"/>
    <w:basedOn w:val="Normal"/>
    <w:next w:val="Normal"/>
    <w:link w:val="IntenseQuoteChar"/>
    <w:uiPriority w:val="30"/>
    <w:qFormat/>
    <w:rsid w:val="002A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7357"/>
    <w:rPr>
      <w:i/>
      <w:iCs/>
      <w:color w:val="0F4761" w:themeColor="accent1" w:themeShade="BF"/>
    </w:rPr>
  </w:style>
  <w:style w:type="character" w:styleId="IntenseReference">
    <w:name w:val="Intense Reference"/>
    <w:basedOn w:val="DefaultParagraphFont"/>
    <w:uiPriority w:val="32"/>
    <w:qFormat/>
    <w:rsid w:val="002A7357"/>
    <w:rPr>
      <w:b/>
      <w:bCs/>
      <w:smallCaps/>
      <w:color w:val="0F4761" w:themeColor="accent1" w:themeShade="BF"/>
      <w:spacing w:val="5"/>
    </w:rPr>
  </w:style>
  <w:style w:type="paragraph" w:styleId="NormalWeb">
    <w:name w:val="Normal (Web)"/>
    <w:basedOn w:val="Normal"/>
    <w:uiPriority w:val="99"/>
    <w:unhideWhenUsed/>
    <w:rsid w:val="00283A59"/>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283A59"/>
    <w:rPr>
      <w:i/>
      <w:iCs/>
    </w:rPr>
  </w:style>
  <w:style w:type="character" w:styleId="Strong">
    <w:name w:val="Strong"/>
    <w:basedOn w:val="DefaultParagraphFont"/>
    <w:uiPriority w:val="22"/>
    <w:qFormat/>
    <w:rsid w:val="00283A59"/>
    <w:rPr>
      <w:b/>
      <w:bCs/>
    </w:rPr>
  </w:style>
  <w:style w:type="character" w:styleId="Hyperlink">
    <w:name w:val="Hyperlink"/>
    <w:basedOn w:val="DefaultParagraphFont"/>
    <w:uiPriority w:val="99"/>
    <w:unhideWhenUsed/>
    <w:rsid w:val="00283A59"/>
    <w:rPr>
      <w:color w:val="0000FF"/>
      <w:u w:val="single"/>
    </w:rPr>
  </w:style>
  <w:style w:type="character" w:styleId="UnresolvedMention">
    <w:name w:val="Unresolved Mention"/>
    <w:basedOn w:val="DefaultParagraphFont"/>
    <w:uiPriority w:val="99"/>
    <w:semiHidden/>
    <w:unhideWhenUsed/>
    <w:rsid w:val="00097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19825">
      <w:bodyDiv w:val="1"/>
      <w:marLeft w:val="0"/>
      <w:marRight w:val="0"/>
      <w:marTop w:val="0"/>
      <w:marBottom w:val="0"/>
      <w:divBdr>
        <w:top w:val="none" w:sz="0" w:space="0" w:color="auto"/>
        <w:left w:val="none" w:sz="0" w:space="0" w:color="auto"/>
        <w:bottom w:val="none" w:sz="0" w:space="0" w:color="auto"/>
        <w:right w:val="none" w:sz="0" w:space="0" w:color="auto"/>
      </w:divBdr>
    </w:div>
    <w:div w:id="82597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po.int/wipolex/en/legislation/details/18399?utm_source=chatgpt.com" TargetMode="External"/><Relationship Id="rId5" Type="http://schemas.openxmlformats.org/officeDocument/2006/relationships/hyperlink" Target="https://lawphil.net/statutes/repacts/ra1997/ra_8293_1997.html?utm_source=chatgpt.com" TargetMode="External"/><Relationship Id="rId4" Type="http://schemas.openxmlformats.org/officeDocument/2006/relationships/hyperlink" Target="https://www.ipophil.gov.ph/intellectual-property-code-implementing-rules-and-regulation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Arenas</dc:creator>
  <cp:keywords/>
  <dc:description/>
  <cp:lastModifiedBy>Whon Jick</cp:lastModifiedBy>
  <cp:revision>4</cp:revision>
  <dcterms:created xsi:type="dcterms:W3CDTF">2025-09-14T21:45:00Z</dcterms:created>
  <dcterms:modified xsi:type="dcterms:W3CDTF">2025-09-20T03:56:00Z</dcterms:modified>
</cp:coreProperties>
</file>