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AC12F" w14:textId="20528056" w:rsidR="002A7357" w:rsidRDefault="00A17F6D">
      <w:pPr>
        <w:rPr>
          <w:rFonts w:ascii="Times New Roman" w:hAnsi="Times New Roman" w:cs="Times New Roman"/>
        </w:rPr>
      </w:pPr>
      <w:r>
        <w:rPr>
          <w:rFonts w:ascii="Times New Roman" w:hAnsi="Times New Roman" w:cs="Times New Roman"/>
        </w:rPr>
        <w:t>Joseph C. Arenas</w:t>
      </w:r>
      <w:r w:rsidR="0015649D">
        <w:rPr>
          <w:rFonts w:ascii="Times New Roman" w:hAnsi="Times New Roman" w:cs="Times New Roman"/>
        </w:rPr>
        <w:t xml:space="preserve">                                                                                                        Assignment #</w:t>
      </w:r>
      <w:r w:rsidR="00555520">
        <w:rPr>
          <w:rFonts w:ascii="Times New Roman" w:hAnsi="Times New Roman" w:cs="Times New Roman"/>
        </w:rPr>
        <w:t>4</w:t>
      </w:r>
    </w:p>
    <w:p w14:paraId="52684396" w14:textId="742A6F87" w:rsidR="00A17F6D" w:rsidRDefault="00A17F6D">
      <w:pPr>
        <w:rPr>
          <w:rFonts w:ascii="Times New Roman" w:hAnsi="Times New Roman" w:cs="Times New Roman"/>
        </w:rPr>
      </w:pPr>
      <w:r>
        <w:rPr>
          <w:rFonts w:ascii="Times New Roman" w:hAnsi="Times New Roman" w:cs="Times New Roman"/>
        </w:rPr>
        <w:t>BET-CPET 3A</w:t>
      </w:r>
      <w:r w:rsidR="0015649D">
        <w:rPr>
          <w:rFonts w:ascii="Times New Roman" w:hAnsi="Times New Roman" w:cs="Times New Roman"/>
        </w:rPr>
        <w:t xml:space="preserve">                                                                                                                      CPET13</w:t>
      </w:r>
    </w:p>
    <w:p w14:paraId="730D3690" w14:textId="4A61816B" w:rsidR="00283A59" w:rsidRPr="007A1F67" w:rsidRDefault="004B541A" w:rsidP="00B121D7">
      <w:pPr>
        <w:jc w:val="center"/>
        <w:rPr>
          <w:rFonts w:ascii="Times New Roman" w:hAnsi="Times New Roman" w:cs="Times New Roman"/>
          <w:b/>
          <w:bCs/>
          <w:u w:val="single"/>
        </w:rPr>
      </w:pPr>
      <w:r w:rsidRPr="007A1F67">
        <w:rPr>
          <w:rFonts w:ascii="Times New Roman" w:hAnsi="Times New Roman" w:cs="Times New Roman"/>
          <w:b/>
          <w:bCs/>
          <w:u w:val="single"/>
        </w:rPr>
        <w:t xml:space="preserve">RA </w:t>
      </w:r>
      <w:r w:rsidR="0047115B">
        <w:rPr>
          <w:rFonts w:ascii="Times New Roman" w:hAnsi="Times New Roman" w:cs="Times New Roman"/>
          <w:b/>
          <w:bCs/>
          <w:u w:val="single"/>
        </w:rPr>
        <w:t>9239</w:t>
      </w:r>
      <w:r w:rsidRPr="007A1F67">
        <w:rPr>
          <w:rFonts w:ascii="Times New Roman" w:hAnsi="Times New Roman" w:cs="Times New Roman"/>
          <w:b/>
          <w:bCs/>
          <w:u w:val="single"/>
        </w:rPr>
        <w:t xml:space="preserve">: </w:t>
      </w:r>
      <w:r w:rsidR="0047115B">
        <w:rPr>
          <w:rFonts w:ascii="Times New Roman" w:hAnsi="Times New Roman" w:cs="Times New Roman"/>
          <w:b/>
          <w:bCs/>
          <w:u w:val="single"/>
        </w:rPr>
        <w:t>Optical Media Act of 2003</w:t>
      </w:r>
    </w:p>
    <w:p w14:paraId="22FB33AA" w14:textId="05CB8CB3" w:rsidR="00283A59" w:rsidRPr="0047115B" w:rsidRDefault="0047115B" w:rsidP="00097850">
      <w:pPr>
        <w:pStyle w:val="NormalWeb"/>
        <w:spacing w:line="276" w:lineRule="auto"/>
        <w:ind w:firstLine="720"/>
        <w:jc w:val="both"/>
        <w:divId w:val="679619825"/>
        <w:rPr>
          <w:kern w:val="2"/>
          <w14:ligatures w14:val="standardContextual"/>
        </w:rPr>
      </w:pPr>
      <w:r w:rsidRPr="0047115B">
        <w:rPr>
          <w:kern w:val="2"/>
          <w14:ligatures w14:val="standardContextual"/>
        </w:rPr>
        <w:t>Republic Act No. 9239, the Optical Media Act of 2003, created the Optical Media Board (OMB) and criminalized the unregulated manufacture, importation, sale, and distribution of optical media to protect intellectual property and the Philippine economy (Republic Act No. 9239, 2004). The law gave the OMB investigatory and enforcement powers, and it also created administrative and criminal remedies to stop large-scale piracy and illegal trade in optical media. The statute’s purpose and the OMB’s mandate have been routinely invoked in enforcement actions and prosecutions that followed raids on vendors and distributors of pirated CDs/DVDs across the country (Republic Act No. 9239, 2004).</w:t>
      </w:r>
    </w:p>
    <w:p w14:paraId="4A4BD682" w14:textId="46705A1F" w:rsidR="0047115B" w:rsidRDefault="0047115B" w:rsidP="00097850">
      <w:pPr>
        <w:pStyle w:val="NormalWeb"/>
        <w:spacing w:line="276" w:lineRule="auto"/>
        <w:ind w:firstLine="720"/>
        <w:jc w:val="both"/>
        <w:divId w:val="679619825"/>
      </w:pPr>
      <w:r w:rsidRPr="0047115B">
        <w:t xml:space="preserve">A high-profile legal controversy involving RA 9239 reached the Philippines’ courts in the case commonly referred to as </w:t>
      </w:r>
      <w:r w:rsidRPr="0047115B">
        <w:rPr>
          <w:i/>
          <w:iCs/>
        </w:rPr>
        <w:t>People of the Philippines v. Ronald Ricketts et al.</w:t>
      </w:r>
      <w:r w:rsidRPr="0047115B">
        <w:t xml:space="preserve"> (G.R. No. 250867). The matter arose from a 2010 raid in Quiapo, Manila, where suspected pirated optical media were seized; allegations followed that then-OMB officials failed to perform proper charging procedures or otherwise mishandled enforcement steps after the operation (People v. Ricketts, G.R. No. 250867, 2022). Criminal and administrative questions in the case implicate both the scope of the OMB’s enforcement duties under RA 9239 and the possible civil-service or graft liabilities of officials accused of dereliction in connection with anti-piracy operations.</w:t>
      </w:r>
    </w:p>
    <w:p w14:paraId="00269520" w14:textId="24613D8B" w:rsidR="0047115B" w:rsidRDefault="0047115B" w:rsidP="00097850">
      <w:pPr>
        <w:pStyle w:val="NormalWeb"/>
        <w:spacing w:line="276" w:lineRule="auto"/>
        <w:ind w:firstLine="720"/>
        <w:jc w:val="both"/>
        <w:divId w:val="679619825"/>
      </w:pPr>
      <w:r w:rsidRPr="0047115B">
        <w:t>The dispute was ultimately litigated through the available remedies, including petitions to the Supreme Court. The Supreme Court denied a petition filed by former OMB officials seeking to dismiss graft charges—effectively allowing the lower-court/prosecutorial actions related to the alleged mishandling of the Quiapo raid to proceed (Supreme Court; People v. Ricketts). In practical terms, the Court’s disposition meant that challenges to the sufficiency of the graft and related charges could not be resolved by the high court at that procedural stage and that the accused must face the ordinary course of prosecution or administrative adjudication (Supreme Court; People v. Ricketts). The decision underscores how RA 9239 cases can raise overlapping criminal, administrative, and statutory-interpretation issues and shows the judiciary’s role in policing not only piracy but also the conduct of the agencies tasked with enforcing anti-piracy laws.</w:t>
      </w:r>
    </w:p>
    <w:p w14:paraId="19F9C3E5" w14:textId="6780E3CB" w:rsidR="00283A59" w:rsidRDefault="00283A59" w:rsidP="00853767">
      <w:pPr>
        <w:jc w:val="both"/>
        <w:divId w:val="679619825"/>
        <w:rPr>
          <w:rFonts w:eastAsia="Times New Roman"/>
        </w:rPr>
      </w:pPr>
    </w:p>
    <w:p w14:paraId="4F58FBDB" w14:textId="77777777" w:rsidR="0047115B" w:rsidRDefault="0047115B" w:rsidP="00853767">
      <w:pPr>
        <w:jc w:val="both"/>
        <w:divId w:val="679619825"/>
        <w:rPr>
          <w:rFonts w:eastAsia="Times New Roman"/>
        </w:rPr>
      </w:pPr>
    </w:p>
    <w:p w14:paraId="044A17DA" w14:textId="77777777" w:rsidR="0047115B" w:rsidRDefault="0047115B" w:rsidP="00853767">
      <w:pPr>
        <w:jc w:val="both"/>
        <w:divId w:val="679619825"/>
        <w:rPr>
          <w:rFonts w:eastAsia="Times New Roman"/>
        </w:rPr>
      </w:pPr>
    </w:p>
    <w:p w14:paraId="720A3E27" w14:textId="77777777" w:rsidR="0047115B" w:rsidRDefault="0047115B" w:rsidP="00853767">
      <w:pPr>
        <w:jc w:val="both"/>
        <w:divId w:val="679619825"/>
        <w:rPr>
          <w:rFonts w:eastAsia="Times New Roman"/>
        </w:rPr>
      </w:pPr>
    </w:p>
    <w:p w14:paraId="1DDCF871" w14:textId="77777777" w:rsidR="00283A59" w:rsidRDefault="00283A59" w:rsidP="00853767">
      <w:pPr>
        <w:pStyle w:val="NormalWeb"/>
        <w:jc w:val="both"/>
        <w:divId w:val="679619825"/>
      </w:pPr>
      <w:r>
        <w:rPr>
          <w:rStyle w:val="Strong"/>
        </w:rPr>
        <w:lastRenderedPageBreak/>
        <w:t>References</w:t>
      </w:r>
    </w:p>
    <w:p w14:paraId="4C7E2D7A" w14:textId="77777777" w:rsidR="0047115B" w:rsidRPr="0047115B" w:rsidRDefault="0047115B" w:rsidP="0047115B">
      <w:pPr>
        <w:pStyle w:val="NormalWeb"/>
        <w:ind w:firstLine="720"/>
        <w:jc w:val="both"/>
        <w:divId w:val="679619825"/>
      </w:pPr>
      <w:r w:rsidRPr="0047115B">
        <w:t xml:space="preserve">People of the Philippines v. Ricketts, G.R. No. 250867 (Mar. 16, 2022). Lawphil. </w:t>
      </w:r>
      <w:hyperlink r:id="rId4" w:tgtFrame="_blank" w:history="1">
        <w:r w:rsidRPr="0047115B">
          <w:rPr>
            <w:rStyle w:val="Hyperlink"/>
          </w:rPr>
          <w:t>LawPhil</w:t>
        </w:r>
      </w:hyperlink>
    </w:p>
    <w:p w14:paraId="1FA36F06" w14:textId="77777777" w:rsidR="0047115B" w:rsidRPr="0047115B" w:rsidRDefault="0047115B" w:rsidP="0047115B">
      <w:pPr>
        <w:pStyle w:val="NormalWeb"/>
        <w:ind w:firstLine="720"/>
        <w:jc w:val="both"/>
        <w:divId w:val="679619825"/>
      </w:pPr>
      <w:r w:rsidRPr="0047115B">
        <w:t xml:space="preserve">Supreme Court of the Philippines. (2024, February 20). </w:t>
      </w:r>
      <w:r w:rsidRPr="0047115B">
        <w:rPr>
          <w:i/>
          <w:iCs/>
        </w:rPr>
        <w:t>SC junks petition re graft charges of former Optical Media Board chair</w:t>
      </w:r>
      <w:r w:rsidRPr="0047115B">
        <w:t xml:space="preserve"> [Press release]. Supreme Court of the Philippines. </w:t>
      </w:r>
      <w:hyperlink r:id="rId5" w:tgtFrame="_blank" w:history="1">
        <w:r w:rsidRPr="0047115B">
          <w:rPr>
            <w:rStyle w:val="Hyperlink"/>
          </w:rPr>
          <w:t>Supreme Court of the Philippines</w:t>
        </w:r>
      </w:hyperlink>
    </w:p>
    <w:p w14:paraId="5BE6FA84" w14:textId="77777777" w:rsidR="0047115B" w:rsidRPr="0047115B" w:rsidRDefault="0047115B" w:rsidP="0047115B">
      <w:pPr>
        <w:pStyle w:val="NormalWeb"/>
        <w:ind w:firstLine="720"/>
        <w:jc w:val="both"/>
        <w:divId w:val="679619825"/>
      </w:pPr>
      <w:r w:rsidRPr="0047115B">
        <w:t xml:space="preserve">Philippine News Agency. (2022, April 19). </w:t>
      </w:r>
      <w:r w:rsidRPr="0047115B">
        <w:rPr>
          <w:i/>
          <w:iCs/>
        </w:rPr>
        <w:t>SC throws out ex-OMB exec's appeal in graft raps.</w:t>
      </w:r>
      <w:r w:rsidRPr="0047115B">
        <w:t xml:space="preserve"> Philippine News Agency. </w:t>
      </w:r>
      <w:hyperlink r:id="rId6" w:tgtFrame="_blank" w:history="1">
        <w:r w:rsidRPr="0047115B">
          <w:rPr>
            <w:rStyle w:val="Hyperlink"/>
          </w:rPr>
          <w:t>Philippine News Agency</w:t>
        </w:r>
      </w:hyperlink>
    </w:p>
    <w:p w14:paraId="472582C7" w14:textId="77777777" w:rsidR="0047115B" w:rsidRPr="0047115B" w:rsidRDefault="0047115B" w:rsidP="0047115B">
      <w:pPr>
        <w:pStyle w:val="NormalWeb"/>
        <w:ind w:firstLine="720"/>
        <w:jc w:val="both"/>
        <w:divId w:val="679619825"/>
      </w:pPr>
      <w:r w:rsidRPr="0047115B">
        <w:t xml:space="preserve">Republic Act No. 9239, An Act Regulating Optical Media (Optical Media Act of 2003), Feb. 10, 2004. Lawphil. </w:t>
      </w:r>
      <w:hyperlink r:id="rId7" w:tgtFrame="_blank" w:history="1">
        <w:r w:rsidRPr="0047115B">
          <w:rPr>
            <w:rStyle w:val="Hyperlink"/>
          </w:rPr>
          <w:t>LawPhil</w:t>
        </w:r>
      </w:hyperlink>
    </w:p>
    <w:p w14:paraId="5147E5A6" w14:textId="2CF30A85" w:rsidR="00B8157E" w:rsidRPr="00097850" w:rsidRDefault="0047115B" w:rsidP="0047115B">
      <w:pPr>
        <w:pStyle w:val="NormalWeb"/>
        <w:ind w:firstLine="720"/>
        <w:jc w:val="both"/>
        <w:divId w:val="679619825"/>
      </w:pPr>
      <w:r w:rsidRPr="0047115B">
        <w:t xml:space="preserve">Optical Media Board. (n.d.). </w:t>
      </w:r>
      <w:r w:rsidRPr="0047115B">
        <w:rPr>
          <w:i/>
          <w:iCs/>
        </w:rPr>
        <w:t>About.</w:t>
      </w:r>
      <w:r w:rsidRPr="0047115B">
        <w:t xml:space="preserve"> Optical Media Board.</w:t>
      </w:r>
    </w:p>
    <w:sectPr w:rsidR="00B8157E" w:rsidRPr="00097850" w:rsidSect="002A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57"/>
    <w:rsid w:val="00097850"/>
    <w:rsid w:val="0015649D"/>
    <w:rsid w:val="00283A59"/>
    <w:rsid w:val="002A7357"/>
    <w:rsid w:val="00371EE8"/>
    <w:rsid w:val="00375822"/>
    <w:rsid w:val="0047115B"/>
    <w:rsid w:val="004B541A"/>
    <w:rsid w:val="00555520"/>
    <w:rsid w:val="00715CAB"/>
    <w:rsid w:val="007A1F67"/>
    <w:rsid w:val="00853767"/>
    <w:rsid w:val="009E1C8F"/>
    <w:rsid w:val="00A17F6D"/>
    <w:rsid w:val="00A73C81"/>
    <w:rsid w:val="00AC5F70"/>
    <w:rsid w:val="00B121D7"/>
    <w:rsid w:val="00B24B92"/>
    <w:rsid w:val="00B8157E"/>
    <w:rsid w:val="00BC7A8F"/>
    <w:rsid w:val="00DE7292"/>
    <w:rsid w:val="00EC1162"/>
    <w:rsid w:val="00F8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E143"/>
  <w15:chartTrackingRefBased/>
  <w15:docId w15:val="{C8261333-8513-8E46-8602-BC0B12F4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357"/>
    <w:rPr>
      <w:rFonts w:eastAsiaTheme="majorEastAsia" w:cstheme="majorBidi"/>
      <w:color w:val="272727" w:themeColor="text1" w:themeTint="D8"/>
    </w:rPr>
  </w:style>
  <w:style w:type="paragraph" w:styleId="Title">
    <w:name w:val="Title"/>
    <w:basedOn w:val="Normal"/>
    <w:next w:val="Normal"/>
    <w:link w:val="TitleChar"/>
    <w:uiPriority w:val="10"/>
    <w:qFormat/>
    <w:rsid w:val="002A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357"/>
    <w:pPr>
      <w:spacing w:before="160"/>
      <w:jc w:val="center"/>
    </w:pPr>
    <w:rPr>
      <w:i/>
      <w:iCs/>
      <w:color w:val="404040" w:themeColor="text1" w:themeTint="BF"/>
    </w:rPr>
  </w:style>
  <w:style w:type="character" w:customStyle="1" w:styleId="QuoteChar">
    <w:name w:val="Quote Char"/>
    <w:basedOn w:val="DefaultParagraphFont"/>
    <w:link w:val="Quote"/>
    <w:uiPriority w:val="29"/>
    <w:rsid w:val="002A7357"/>
    <w:rPr>
      <w:i/>
      <w:iCs/>
      <w:color w:val="404040" w:themeColor="text1" w:themeTint="BF"/>
    </w:rPr>
  </w:style>
  <w:style w:type="paragraph" w:styleId="ListParagraph">
    <w:name w:val="List Paragraph"/>
    <w:basedOn w:val="Normal"/>
    <w:uiPriority w:val="34"/>
    <w:qFormat/>
    <w:rsid w:val="002A7357"/>
    <w:pPr>
      <w:ind w:left="720"/>
      <w:contextualSpacing/>
    </w:pPr>
  </w:style>
  <w:style w:type="character" w:styleId="IntenseEmphasis">
    <w:name w:val="Intense Emphasis"/>
    <w:basedOn w:val="DefaultParagraphFont"/>
    <w:uiPriority w:val="21"/>
    <w:qFormat/>
    <w:rsid w:val="002A7357"/>
    <w:rPr>
      <w:i/>
      <w:iCs/>
      <w:color w:val="0F4761" w:themeColor="accent1" w:themeShade="BF"/>
    </w:rPr>
  </w:style>
  <w:style w:type="paragraph" w:styleId="IntenseQuote">
    <w:name w:val="Intense Quote"/>
    <w:basedOn w:val="Normal"/>
    <w:next w:val="Normal"/>
    <w:link w:val="IntenseQuoteChar"/>
    <w:uiPriority w:val="30"/>
    <w:qFormat/>
    <w:rsid w:val="002A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357"/>
    <w:rPr>
      <w:i/>
      <w:iCs/>
      <w:color w:val="0F4761" w:themeColor="accent1" w:themeShade="BF"/>
    </w:rPr>
  </w:style>
  <w:style w:type="character" w:styleId="IntenseReference">
    <w:name w:val="Intense Reference"/>
    <w:basedOn w:val="DefaultParagraphFont"/>
    <w:uiPriority w:val="32"/>
    <w:qFormat/>
    <w:rsid w:val="002A7357"/>
    <w:rPr>
      <w:b/>
      <w:bCs/>
      <w:smallCaps/>
      <w:color w:val="0F4761" w:themeColor="accent1" w:themeShade="BF"/>
      <w:spacing w:val="5"/>
    </w:rPr>
  </w:style>
  <w:style w:type="paragraph" w:styleId="NormalWeb">
    <w:name w:val="Normal (Web)"/>
    <w:basedOn w:val="Normal"/>
    <w:uiPriority w:val="99"/>
    <w:unhideWhenUsed/>
    <w:rsid w:val="00283A59"/>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283A59"/>
    <w:rPr>
      <w:i/>
      <w:iCs/>
    </w:rPr>
  </w:style>
  <w:style w:type="character" w:styleId="Strong">
    <w:name w:val="Strong"/>
    <w:basedOn w:val="DefaultParagraphFont"/>
    <w:uiPriority w:val="22"/>
    <w:qFormat/>
    <w:rsid w:val="00283A59"/>
    <w:rPr>
      <w:b/>
      <w:bCs/>
    </w:rPr>
  </w:style>
  <w:style w:type="character" w:styleId="Hyperlink">
    <w:name w:val="Hyperlink"/>
    <w:basedOn w:val="DefaultParagraphFont"/>
    <w:uiPriority w:val="99"/>
    <w:unhideWhenUsed/>
    <w:rsid w:val="00283A59"/>
    <w:rPr>
      <w:color w:val="0000FF"/>
      <w:u w:val="single"/>
    </w:rPr>
  </w:style>
  <w:style w:type="character" w:styleId="UnresolvedMention">
    <w:name w:val="Unresolved Mention"/>
    <w:basedOn w:val="DefaultParagraphFont"/>
    <w:uiPriority w:val="99"/>
    <w:semiHidden/>
    <w:unhideWhenUsed/>
    <w:rsid w:val="00097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19825">
      <w:bodyDiv w:val="1"/>
      <w:marLeft w:val="0"/>
      <w:marRight w:val="0"/>
      <w:marTop w:val="0"/>
      <w:marBottom w:val="0"/>
      <w:divBdr>
        <w:top w:val="none" w:sz="0" w:space="0" w:color="auto"/>
        <w:left w:val="none" w:sz="0" w:space="0" w:color="auto"/>
        <w:bottom w:val="none" w:sz="0" w:space="0" w:color="auto"/>
        <w:right w:val="none" w:sz="0" w:space="0" w:color="auto"/>
      </w:divBdr>
    </w:div>
    <w:div w:id="82597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awphil.net/statutes/repacts/ra2004/ra_9239_2004.html?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na.gov.ph/articles/1172479?utm_source=chatgpt.com" TargetMode="External"/><Relationship Id="rId5" Type="http://schemas.openxmlformats.org/officeDocument/2006/relationships/hyperlink" Target="https://sc.judiciary.gov.ph/sc-junks-petition-re-graft-charges-of-former-optical-media-board-chair/?utm_source=chatgpt.com" TargetMode="External"/><Relationship Id="rId4" Type="http://schemas.openxmlformats.org/officeDocument/2006/relationships/hyperlink" Target="https://lawphil.net/judjuris/juri2022/mar2022/gr_250867_2022.html?utm_source=chatgpt.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Arenas</dc:creator>
  <cp:keywords/>
  <dc:description/>
  <cp:lastModifiedBy>Whon Jick</cp:lastModifiedBy>
  <cp:revision>7</cp:revision>
  <dcterms:created xsi:type="dcterms:W3CDTF">2025-09-14T21:45:00Z</dcterms:created>
  <dcterms:modified xsi:type="dcterms:W3CDTF">2025-09-26T18:22:00Z</dcterms:modified>
</cp:coreProperties>
</file>