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INFO 200 Final Prototype Feedback Comments and Implementations</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We made the intro message shorter so the app is more active and gets user started quickly</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On the “Devices user currently owns” page, we decided not to implement a feature to help users select a device if they do not know the device name (ie. flip phone) or model number, because we assume users who do not know their own devices aren’t going to use features on their products that create a “tech ecosystem”, and we didn’t want the first page to be confusing for users who would have trouble selecting their own device, so we added an “I’m not sure” button instead to quickly move those users on to the next question  (NOTE: The keyboard on the “devices owned” page is non-functioning, so you cannot see the “I’m not sure” button under it, but it would be there if we could show it)</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For the “profile” feedback, we already have that, but it is left as an optional feature and is at the bottom of the screen on the navigation bar</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We added a comment to the “hobbies” page to include things they potentially want to do, but are not hobbies for them now</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For the “ranking their types of work” feedback, we decided not to implement this because we believe that they should be able to do all the types of work they select, and we should not prioritize one over the other for the user</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For the “what will be different” comment on the classes page: the difference in device selection will mainly be decided by the algorithm (machine learning), but probably the power in the device that is selected for the user (more power for designers or engineers versus literature majors)</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For your “All laptops have all of these [storage capabilities]”: we ask this question instead to gauge how much space the user will need (more space if all options are selected, for example)</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For your feedback on the price range: we decided to keep this question vague because we want users to be shown as little specifics as possible, such as price, because many users might not know what a device should cost. We simply have 3 options; one to guide users toward the cheapest possible device, one to give users the most expensive and powerful device, and one in the middle.</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For the “Users may not know the difference [in operating systems]” feedback: we decided to keep this page because users have the option to say they are not sure, we will, however, reword the button to say “I’m not sure/I don’t know what these are”</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For the comment on potentially explaining the “advanced features” question to users, we decided not to implement that because we want the advanced features to be a selectable option for advanced users to select, because it might confuse the average user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