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Style w:val="MdHeading1"/>
      </w:pPr>
      <w:r>
        <w:t xml:space="preserve">ClearView Brand Identity &amp; Design System</w:t>
      </w:r>
    </w:p>
    <w:p>
      <w:pPr>
        <w:pStyle w:val="Heading2"/>
        <w:pStyle w:val="MdHeading2"/>
      </w:pPr>
      <w:r>
        <w:t xml:space="preserve">Brand Identity (Contribution led by the Brand Strategist)</w:t>
      </w:r>
    </w:p>
    <w:p>
      <w:pPr>
        <w:pStyle w:val="Heading3"/>
        <w:pStyle w:val="MdHeading3"/>
      </w:pPr>
      <w:r>
        <w:t xml:space="preserve">Brand Essence</w:t>
      </w:r>
    </w:p>
    <w:p>
      <w:pPr>
        <w:pStyle w:val="MdParagraph"/>
      </w:pPr>
      <w:r>
        <w:t xml:space="preserve">Based on the core needs and values of our target avatar, Brenda Rodriguez, the ClearView brand is defined by the following attributes:</w:t>
      </w:r>
    </w:p>
    <w:p>
      <w:pPr>
        <w:pStyle w:val="MdSpace"/>
        <w:spacing w:before="0" w:after="60"/>
      </w:pPr>
    </w:p>
    <w:p>
      <w:pPr>
        <w:pStyle w:val="MdListItem"/>
        <w:numPr>
          <w:ilvl w:val="0"/>
          <w:numId w:val="2"/>
        </w:numPr>
      </w:pPr>
      <w:r>
        <w:rPr>
          <w:rStyle w:val="MdStrong"/>
          <w:b/>
          <w:bCs/>
        </w:rPr>
        <w:t xml:space="preserve">Clarity:</w:t>
      </w:r>
      <w:r>
        <w:t xml:space="preserve"> We replace ambiguity with certainty, providing transparent, easy-to-understand data.</w:t>
      </w:r>
    </w:p>
    <w:p>
      <w:pPr>
        <w:pStyle w:val="MdListItem"/>
        <w:numPr>
          <w:ilvl w:val="0"/>
          <w:numId w:val="2"/>
        </w:numPr>
      </w:pPr>
      <w:r>
        <w:rPr>
          <w:rStyle w:val="MdStrong"/>
          <w:b/>
          <w:bCs/>
        </w:rPr>
        <w:t xml:space="preserve">Control:</w:t>
      </w:r>
      <w:r>
        <w:t xml:space="preserve"> We empower boards with the tools to manage their community's finances and operations decisively.</w:t>
      </w:r>
    </w:p>
    <w:p>
      <w:pPr>
        <w:pStyle w:val="MdListItem"/>
        <w:numPr>
          <w:ilvl w:val="0"/>
          <w:numId w:val="2"/>
        </w:numPr>
      </w:pPr>
      <w:r>
        <w:rPr>
          <w:rStyle w:val="MdStrong"/>
          <w:b/>
          <w:bCs/>
        </w:rPr>
        <w:t xml:space="preserve">Integrity:</w:t>
      </w:r>
      <w:r>
        <w:t xml:space="preserve"> Our system is built on a foundation of fiduciary responsibility, ensuring every action is auditable and compliant.</w:t>
      </w:r>
    </w:p>
    <w:p>
      <w:pPr>
        <w:pStyle w:val="MdListItem"/>
        <w:numPr>
          <w:ilvl w:val="0"/>
          <w:numId w:val="2"/>
        </w:numPr>
      </w:pPr>
      <w:r>
        <w:rPr>
          <w:rStyle w:val="MdStrong"/>
          <w:b/>
          <w:bCs/>
        </w:rPr>
        <w:t xml:space="preserve">Reliability:</w:t>
      </w:r>
      <w:r>
        <w:t xml:space="preserve"> We are the single source of truth—a stable, consistent platform that boards can depend on, month after month.</w:t>
      </w:r>
    </w:p>
    <w:p>
      <w:pPr>
        <w:pStyle w:val="MdListItem"/>
        <w:numPr>
          <w:ilvl w:val="0"/>
          <w:numId w:val="2"/>
        </w:numPr>
      </w:pPr>
      <w:r>
        <w:rPr>
          <w:rStyle w:val="MdStrong"/>
          <w:b/>
          <w:bCs/>
        </w:rPr>
        <w:t xml:space="preserve">Security:</w:t>
      </w:r>
      <w:r>
        <w:t xml:space="preserve"> We provide peace of mind by protecting sensitive data and mitigating financial and legal risks.</w:t>
      </w:r>
    </w:p>
    <w:p>
      <w:pPr>
        <w:pStyle w:val="MdListItem"/>
        <w:numPr>
          <w:ilvl w:val="0"/>
          <w:numId w:val="2"/>
        </w:numPr>
      </w:pPr>
      <w:r>
        <w:rPr>
          <w:rStyle w:val="MdStrong"/>
          <w:b/>
          <w:bCs/>
        </w:rPr>
        <w:t xml:space="preserve">Transparency:</w:t>
      </w:r>
      <w:r>
        <w:t xml:space="preserve"> We offer an open window into the association's financial health for both the board and the owners.</w:t>
      </w:r>
    </w:p>
    <w:p>
      <w:pPr>
        <w:pStyle w:val="MdListItem"/>
        <w:numPr>
          <w:ilvl w:val="0"/>
          <w:numId w:val="2"/>
        </w:numPr>
      </w:pPr>
      <w:r>
        <w:rPr>
          <w:rStyle w:val="MdStrong"/>
          <w:b/>
          <w:bCs/>
        </w:rPr>
        <w:t xml:space="preserve">Efficiency:</w:t>
      </w:r>
      <w:r>
        <w:t xml:space="preserve"> We save boards valuable time and energy by automating tedious tasks and streamlining complex workflows.</w:t>
      </w:r>
    </w:p>
    <w:p>
      <w:pPr>
        <w:pStyle w:val="MdSpace"/>
        <w:spacing w:before="0" w:after="60"/>
      </w:pPr>
    </w:p>
    <w:p>
      <w:pPr>
        <w:pStyle w:val="Heading3"/>
        <w:pStyle w:val="MdHeading3"/>
      </w:pPr>
      <w:r>
        <w:t xml:space="preserve">Brand Voice</w:t>
      </w:r>
    </w:p>
    <w:p>
      <w:pPr>
        <w:pStyle w:val="MdListItem"/>
        <w:numPr>
          <w:ilvl w:val="0"/>
          <w:numId w:val="2"/>
        </w:numPr>
      </w:pPr>
      <w:r>
        <w:rPr>
          <w:rStyle w:val="MdStrong"/>
          <w:b/>
          <w:bCs/>
        </w:rPr>
        <w:t xml:space="preserve">Tone:</w:t>
      </w:r>
      <w:r>
        <w:t xml:space="preserve"> Our tone is </w:t>
      </w:r>
      <w:r>
        <w:rPr>
          <w:rStyle w:val="MdStrong"/>
          <w:b/>
          <w:bCs/>
        </w:rPr>
        <w:t xml:space="preserve">Professional, Confident, and Reassuring</w:t>
      </w:r>
      <w:r>
        <w:t xml:space="preserve">. We speak to our audience as intelligent, capable peers. We acknowledge the weight of their responsibilities and provide calm, expert guidance. We are not flashy or casual; we are the steady hand on the tiller.</w:t>
      </w:r>
    </w:p>
    <w:p>
      <w:pPr>
        <w:pStyle w:val="MdListItem"/>
        <w:numPr>
          <w:ilvl w:val="0"/>
          <w:numId w:val="2"/>
        </w:numPr>
      </w:pPr>
      <w:r>
        <w:rPr>
          <w:rStyle w:val="MdStrong"/>
          <w:b/>
          <w:bCs/>
        </w:rPr>
        <w:t xml:space="preserve">Language:</w:t>
      </w:r>
      <w:r>
        <w:t xml:space="preserve"> The language is </w:t>
      </w:r>
      <w:r>
        <w:rPr>
          <w:rStyle w:val="MdStrong"/>
          <w:b/>
          <w:bCs/>
        </w:rPr>
        <w:t xml:space="preserve">Clear, direct, and jargon-free</w:t>
      </w:r>
      <w:r>
        <w:t xml:space="preserve">. We use precise terminology that our audience understands ("fiduciary duty," "system of record," "AR/AP") but avoid technical slang. Every statement is unambiguous and purposeful.</w:t>
      </w:r>
    </w:p>
    <w:p>
      <w:pPr>
        <w:pStyle w:val="MdListItem"/>
        <w:numPr>
          <w:ilvl w:val="0"/>
          <w:numId w:val="2"/>
        </w:numPr>
      </w:pPr>
      <w:r>
        <w:rPr>
          <w:rStyle w:val="MdStrong"/>
          <w:b/>
          <w:bCs/>
        </w:rPr>
        <w:t xml:space="preserve">Communication Style:</w:t>
      </w:r>
      <w:r>
        <w:t xml:space="preserve"> Our style is </w:t>
      </w:r>
      <w:r>
        <w:rPr>
          <w:rStyle w:val="MdStrong"/>
          <w:b/>
          <w:bCs/>
        </w:rPr>
        <w:t xml:space="preserve">Solution-oriented, evidence-based, and benefit-driven</w:t>
      </w:r>
      <w:r>
        <w:t xml:space="preserve">. We don't just describe features; we explain how they solve specific, painful problems. We use data and logic to build trust, demonstrating a clear return on investment in terms of time saved, risk avoided, and peace of mind gained.</w:t>
      </w:r>
    </w:p>
    <w:p>
      <w:pPr>
        <w:pStyle w:val="MdSpace"/>
        <w:spacing w:before="0" w:after="60"/>
      </w:pPr>
    </w:p>
    <w:p>
      <w:pPr>
        <w:pStyle w:val="Heading3"/>
        <w:pStyle w:val="MdHeading3"/>
      </w:pPr>
      <w:r>
        <w:t xml:space="preserve">Brand Narrative</w:t>
      </w:r>
    </w:p>
    <w:p>
      <w:pPr>
        <w:pStyle w:val="MdParagraph"/>
      </w:pPr>
      <w:r>
        <w:t xml:space="preserve">For conscientious condo board members overwhelmed by financial chaos and operational inefficiency, ClearView provides a single, reliable system of record to manage their community's finances with absolute clarity and control. In a world of scattered spreadsheets, missed deadlines, and confusing payment portals, our platform delivers institutional-grade tools that ensure every dollar is accounted for, every vendor is paid on time, and every financial report is accurate and accessible. We empower boards to fulfill their fiduciary duty with confidence, replacing frustration and anxiety with the peace of mind that comes from knowing everything is in order. ClearView isn't just software; it's the foundation for a stable, solvent, and harmonious community.</w:t>
      </w:r>
    </w:p>
    <w:p>
      <w:pPr>
        <w:pStyle w:val="MdSpace"/>
        <w:spacing w:before="0" w:after="60"/>
      </w:pPr>
    </w:p>
    <w:p>
      <w:pPr>
        <w:pStyle w:val="Heading2"/>
        <w:pStyle w:val="MdHeading2"/>
      </w:pPr>
      <w:r>
        <w:t xml:space="preserve">Design System (Contribution led by the Lead UI/UX Designer and Lead Front-End Developer)</w:t>
      </w:r>
    </w:p>
    <w:p>
      <w:pPr>
        <w:pStyle w:val="Heading3"/>
        <w:pStyle w:val="MdHeading3"/>
      </w:pPr>
      <w:r>
        <w:t xml:space="preserve">Color Palette</w:t>
      </w:r>
    </w:p>
    <w:p>
      <w:pPr>
        <w:pStyle w:val="Heading4"/>
        <w:pStyle w:val="MdHeading4"/>
      </w:pPr>
      <w:r>
        <w:t xml:space="preserve">Primary Colors</w:t>
      </w:r>
    </w:p>
    <w:p>
      <w:pPr>
        <w:pStyle w:val="MdListItem"/>
        <w:numPr>
          <w:ilvl w:val="0"/>
          <w:numId w:val="2"/>
        </w:numPr>
      </w:pPr>
      <w:r>
        <w:rPr>
          <w:rStyle w:val="MdStrong"/>
          <w:b/>
          <w:bCs/>
        </w:rPr>
        <w:t xml:space="preserve">Gradient Base:</w:t>
      </w:r>
      <w:r>
        <w:t xml:space="preserve"> The core brand identity is captured in a professional and reassuring gradient that moves from a deep, trustworthy teal to a lighter, more transparent aqua. This reflects the journey from financial complexity to clarity.</w:t>
      </w:r>
    </w:p>
    <w:p>
      <w:pPr>
        <w:pStyle w:val="MdCode"/>
        <w:pBdr>
          <w:top w:val="single" w:color="E1E4E8" w:sz="1" w:space="8"/>
          <w:bottom w:val="single" w:color="E1E4E8" w:sz="1" w:space="8"/>
          <w:left w:val="single" w:color="E1E4E8" w:sz="1" w:space="8"/>
          <w:right w:val="single" w:color="E1E4E8" w:sz="1" w:space="8"/>
        </w:pBdr>
        <w:shd w:fill="F6F8FA"/>
        <w:spacing w:before="120" w:after="12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linear-gradient(to right, </w:t>
      </w:r>
      <w:r>
        <w:rPr>
          <w:rFonts w:ascii="Cascadia Code, Consolas, Courier New" w:cs="Cascadia Code, Consolas, Courier New" w:eastAsia="Cascadia Code, Consolas, Courier New" w:hAnsi="Cascadia Code, Consolas, Courier New"/>
          <w:b/>
          <w:bCs/>
          <w:i w:val="false"/>
          <w:iCs w:val="false"/>
          <w:color w:val="B31D28"/>
          <w:sz w:val="20"/>
          <w:szCs w:val="20"/>
        </w:rPr>
        <w:t xml:space="preserve">#004d40</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bCs/>
          <w:i w:val="false"/>
          <w:iCs w:val="false"/>
          <w:color w:val="B31D28"/>
          <w:sz w:val="20"/>
          <w:szCs w:val="20"/>
        </w:rPr>
        <w:t xml:space="preserve">#00695c</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bCs/>
          <w:i w:val="false"/>
          <w:iCs w:val="false"/>
          <w:color w:val="B31D28"/>
          <w:sz w:val="20"/>
          <w:szCs w:val="20"/>
        </w:rPr>
        <w:t xml:space="preserve">#00897b</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bCs/>
          <w:i w:val="false"/>
          <w:iCs w:val="false"/>
          <w:color w:val="B31D28"/>
          <w:sz w:val="20"/>
          <w:szCs w:val="20"/>
        </w:rPr>
        <w:t xml:space="preserve">#009688</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bCs/>
          <w:i w:val="false"/>
          <w:iCs w:val="false"/>
          <w:color w:val="B31D28"/>
          <w:sz w:val="20"/>
          <w:szCs w:val="20"/>
        </w:rPr>
        <w:t xml:space="preserve">#26a69a</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bCs/>
          <w:i w:val="false"/>
          <w:iCs w:val="false"/>
          <w:color w:val="B31D28"/>
          <w:sz w:val="20"/>
          <w:szCs w:val="20"/>
        </w:rPr>
        <w:t xml:space="preserve">#4db6ac</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bCs/>
          <w:i w:val="false"/>
          <w:iCs w:val="false"/>
          <w:color w:val="B31D28"/>
          <w:sz w:val="20"/>
          <w:szCs w:val="20"/>
        </w:rPr>
        <w:t xml:space="preserve">#80cbc4</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w:t>
      </w:r>
    </w:p>
    <w:p>
      <w:pPr>
        <w:pStyle w:val="MdListItem"/>
        <w:numPr>
          <w:ilvl w:val="0"/>
          <w:numId w:val="2"/>
        </w:numPr>
      </w:pPr>
      <w:r>
        <w:rPr>
          <w:rStyle w:val="MdStrong"/>
          <w:b/>
          <w:bCs/>
        </w:rPr>
        <w:t xml:space="preserve">Primary Colors (Extracted from gradient):</w:t>
      </w:r>
    </w:p>
    <w:p>
      <w:pPr>
        <w:pStyle w:val="MdListItem"/>
        <w:numPr>
          <w:ilvl w:val="1"/>
          <w:numId w:val="2"/>
        </w:numPr>
      </w:pPr>
      <w:r>
        <w:rPr>
          <w:rStyle w:val="MdCode"/>
          <w:u w:val="single"/>
        </w:rPr>
        <w:t xml:space="preserve">#004d40</w:t>
      </w:r>
      <w:r>
        <w:t xml:space="preserve"> - Forest - Trust</w:t>
      </w:r>
    </w:p>
    <w:p>
      <w:pPr>
        <w:pStyle w:val="MdListItem"/>
        <w:numPr>
          <w:ilvl w:val="1"/>
          <w:numId w:val="2"/>
        </w:numPr>
      </w:pPr>
      <w:r>
        <w:rPr>
          <w:rStyle w:val="MdCode"/>
          <w:u w:val="single"/>
        </w:rPr>
        <w:t xml:space="preserve">#00695c</w:t>
      </w:r>
      <w:r>
        <w:t xml:space="preserve"> - Teal - Stability</w:t>
      </w:r>
    </w:p>
    <w:p>
      <w:pPr>
        <w:pStyle w:val="MdListItem"/>
        <w:numPr>
          <w:ilvl w:val="1"/>
          <w:numId w:val="2"/>
        </w:numPr>
      </w:pPr>
      <w:r>
        <w:rPr>
          <w:rStyle w:val="MdCode"/>
          <w:u w:val="single"/>
        </w:rPr>
        <w:t xml:space="preserve">#00897b</w:t>
      </w:r>
      <w:r>
        <w:t xml:space="preserve"> - Ocean - Clarity</w:t>
      </w:r>
    </w:p>
    <w:p>
      <w:pPr>
        <w:pStyle w:val="MdListItem"/>
        <w:numPr>
          <w:ilvl w:val="1"/>
          <w:numId w:val="2"/>
        </w:numPr>
      </w:pPr>
      <w:r>
        <w:rPr>
          <w:rStyle w:val="MdCode"/>
          <w:u w:val="single"/>
        </w:rPr>
        <w:t xml:space="preserve">#009688</w:t>
      </w:r>
      <w:r>
        <w:t xml:space="preserve"> - Seafoam - Growth</w:t>
      </w:r>
    </w:p>
    <w:p>
      <w:pPr>
        <w:pStyle w:val="MdListItem"/>
        <w:numPr>
          <w:ilvl w:val="1"/>
          <w:numId w:val="2"/>
        </w:numPr>
      </w:pPr>
      <w:r>
        <w:rPr>
          <w:rStyle w:val="MdCode"/>
          <w:u w:val="single"/>
        </w:rPr>
        <w:t xml:space="preserve">#26a69a</w:t>
      </w:r>
      <w:r>
        <w:t xml:space="preserve"> - Aqua - Control</w:t>
      </w:r>
    </w:p>
    <w:p>
      <w:pPr>
        <w:pStyle w:val="MdListItem"/>
        <w:numPr>
          <w:ilvl w:val="1"/>
          <w:numId w:val="2"/>
        </w:numPr>
      </w:pPr>
      <w:r>
        <w:rPr>
          <w:rStyle w:val="MdCode"/>
          <w:u w:val="single"/>
        </w:rPr>
        <w:t xml:space="preserve">#4db6ac</w:t>
      </w:r>
      <w:r>
        <w:t xml:space="preserve"> - Coastal - Calm</w:t>
      </w:r>
    </w:p>
    <w:p>
      <w:pPr>
        <w:pStyle w:val="MdListItem"/>
        <w:numPr>
          <w:ilvl w:val="1"/>
          <w:numId w:val="2"/>
        </w:numPr>
      </w:pPr>
      <w:r>
        <w:rPr>
          <w:rStyle w:val="MdCode"/>
          <w:u w:val="single"/>
        </w:rPr>
        <w:t xml:space="preserve">#80cbc4</w:t>
      </w:r>
      <w:r>
        <w:t xml:space="preserve"> - Sky - Transparency</w:t>
      </w:r>
    </w:p>
    <w:p>
      <w:pPr>
        <w:pStyle w:val="MdSpace"/>
        <w:spacing w:before="0" w:after="60"/>
      </w:pPr>
    </w:p>
    <w:p>
      <w:pPr>
        <w:pStyle w:val="Heading4"/>
        <w:pStyle w:val="MdHeading4"/>
      </w:pPr>
      <w:r>
        <w:t xml:space="preserve">Secondary Colors</w:t>
      </w:r>
    </w:p>
    <w:p>
      <w:pPr>
        <w:pStyle w:val="MdListItem"/>
        <w:numPr>
          <w:ilvl w:val="0"/>
          <w:numId w:val="2"/>
        </w:numPr>
      </w:pPr>
      <w:r>
        <w:rPr>
          <w:rStyle w:val="MdStrong"/>
          <w:b/>
          <w:bCs/>
        </w:rPr>
        <w:t xml:space="preserve">Dark Blue (Primary Text):</w:t>
      </w:r>
      <w:r>
        <w:t xml:space="preserve"> </w:t>
      </w:r>
      <w:r>
        <w:rPr>
          <w:rStyle w:val="MdCode"/>
          <w:u w:val="single"/>
        </w:rPr>
        <w:t xml:space="preserve">#1A202C</w:t>
      </w:r>
    </w:p>
    <w:p>
      <w:pPr>
        <w:pStyle w:val="MdListItem"/>
        <w:numPr>
          <w:ilvl w:val="0"/>
          <w:numId w:val="2"/>
        </w:numPr>
      </w:pPr>
      <w:r>
        <w:rPr>
          <w:rStyle w:val="MdStrong"/>
          <w:b/>
          <w:bCs/>
        </w:rPr>
        <w:t xml:space="preserve">Medium Gray (Secondary Text):</w:t>
      </w:r>
      <w:r>
        <w:t xml:space="preserve"> </w:t>
      </w:r>
      <w:r>
        <w:rPr>
          <w:rStyle w:val="MdCode"/>
          <w:u w:val="single"/>
        </w:rPr>
        <w:t xml:space="preserve">#718096</w:t>
      </w:r>
    </w:p>
    <w:p>
      <w:pPr>
        <w:pStyle w:val="MdListItem"/>
        <w:numPr>
          <w:ilvl w:val="0"/>
          <w:numId w:val="2"/>
        </w:numPr>
      </w:pPr>
      <w:r>
        <w:rPr>
          <w:rStyle w:val="MdStrong"/>
          <w:b/>
          <w:bCs/>
        </w:rPr>
        <w:t xml:space="preserve">Light Gray (Backgrounds):</w:t>
      </w:r>
      <w:r>
        <w:t xml:space="preserve"> </w:t>
      </w:r>
      <w:r>
        <w:rPr>
          <w:rStyle w:val="MdCode"/>
          <w:u w:val="single"/>
        </w:rPr>
        <w:t xml:space="preserve">#F7FAFC</w:t>
      </w:r>
    </w:p>
    <w:p>
      <w:pPr>
        <w:pStyle w:val="MdListItem"/>
        <w:numPr>
          <w:ilvl w:val="0"/>
          <w:numId w:val="2"/>
        </w:numPr>
      </w:pPr>
      <w:r>
        <w:rPr>
          <w:rStyle w:val="MdStrong"/>
          <w:b/>
          <w:bCs/>
        </w:rPr>
        <w:t xml:space="preserve">White:</w:t>
      </w:r>
      <w:r>
        <w:t xml:space="preserve"> </w:t>
      </w:r>
      <w:r>
        <w:rPr>
          <w:rStyle w:val="MdCode"/>
          <w:u w:val="single"/>
        </w:rPr>
        <w:t xml:space="preserve">#FFFFFF</w:t>
      </w:r>
    </w:p>
    <w:p>
      <w:pPr>
        <w:pStyle w:val="MdListItem"/>
        <w:numPr>
          <w:ilvl w:val="0"/>
          <w:numId w:val="2"/>
        </w:numPr>
      </w:pPr>
      <w:r>
        <w:rPr>
          <w:rStyle w:val="MdStrong"/>
          <w:b/>
          <w:bCs/>
        </w:rPr>
        <w:t xml:space="preserve">Black:</w:t>
      </w:r>
      <w:r>
        <w:t xml:space="preserve"> </w:t>
      </w:r>
      <w:r>
        <w:rPr>
          <w:rStyle w:val="MdCode"/>
          <w:u w:val="single"/>
        </w:rPr>
        <w:t xml:space="preserve">#000000</w:t>
      </w:r>
    </w:p>
    <w:p>
      <w:pPr>
        <w:pStyle w:val="MdSpace"/>
        <w:spacing w:before="0" w:after="60"/>
      </w:pPr>
    </w:p>
    <w:p>
      <w:pPr>
        <w:pStyle w:val="Heading4"/>
        <w:pStyle w:val="MdHeading4"/>
      </w:pPr>
      <w:r>
        <w:t xml:space="preserve">Functional Colors</w:t>
      </w:r>
    </w:p>
    <w:p>
      <w:pPr>
        <w:pStyle w:val="MdListItem"/>
        <w:numPr>
          <w:ilvl w:val="0"/>
          <w:numId w:val="2"/>
        </w:numPr>
      </w:pPr>
      <w:r>
        <w:rPr>
          <w:rStyle w:val="MdStrong"/>
          <w:b/>
          <w:bCs/>
        </w:rPr>
        <w:t xml:space="preserve">Success:</w:t>
      </w:r>
      <w:r>
        <w:t xml:space="preserve"> </w:t>
      </w:r>
      <w:r>
        <w:rPr>
          <w:rStyle w:val="MdCode"/>
          <w:u w:val="single"/>
        </w:rPr>
        <w:t xml:space="preserve">#48BB78</w:t>
      </w:r>
    </w:p>
    <w:p>
      <w:pPr>
        <w:pStyle w:val="MdListItem"/>
        <w:numPr>
          <w:ilvl w:val="0"/>
          <w:numId w:val="2"/>
        </w:numPr>
      </w:pPr>
      <w:r>
        <w:rPr>
          <w:rStyle w:val="MdStrong"/>
          <w:b/>
          <w:bCs/>
        </w:rPr>
        <w:t xml:space="preserve">Warning:</w:t>
      </w:r>
      <w:r>
        <w:t xml:space="preserve"> </w:t>
      </w:r>
      <w:r>
        <w:rPr>
          <w:rStyle w:val="MdCode"/>
          <w:u w:val="single"/>
        </w:rPr>
        <w:t xml:space="preserve">#F59E0B</w:t>
      </w:r>
    </w:p>
    <w:p>
      <w:pPr>
        <w:pStyle w:val="MdListItem"/>
        <w:numPr>
          <w:ilvl w:val="0"/>
          <w:numId w:val="2"/>
        </w:numPr>
      </w:pPr>
      <w:r>
        <w:rPr>
          <w:rStyle w:val="MdStrong"/>
          <w:b/>
          <w:bCs/>
        </w:rPr>
        <w:t xml:space="preserve">Error:</w:t>
      </w:r>
      <w:r>
        <w:t xml:space="preserve"> </w:t>
      </w:r>
      <w:r>
        <w:rPr>
          <w:rStyle w:val="MdCode"/>
          <w:u w:val="single"/>
        </w:rPr>
        <w:t xml:space="preserve">#F56565</w:t>
      </w:r>
    </w:p>
    <w:p>
      <w:pPr>
        <w:pStyle w:val="MdListItem"/>
        <w:numPr>
          <w:ilvl w:val="0"/>
          <w:numId w:val="2"/>
        </w:numPr>
      </w:pPr>
      <w:r>
        <w:rPr>
          <w:rStyle w:val="MdStrong"/>
          <w:b/>
          <w:bCs/>
        </w:rPr>
        <w:t xml:space="preserve">Info:</w:t>
      </w:r>
      <w:r>
        <w:t xml:space="preserve"> </w:t>
      </w:r>
      <w:r>
        <w:rPr>
          <w:rStyle w:val="MdCode"/>
          <w:u w:val="single"/>
        </w:rPr>
        <w:t xml:space="preserve">#4299E1</w:t>
      </w:r>
    </w:p>
    <w:p>
      <w:pPr>
        <w:pStyle w:val="MdSpace"/>
        <w:spacing w:before="0" w:after="60"/>
      </w:pPr>
    </w:p>
    <w:p>
      <w:pPr>
        <w:pStyle w:val="Heading3"/>
        <w:pStyle w:val="MdHeading3"/>
      </w:pPr>
      <w:r>
        <w:t xml:space="preserve">Typography</w:t>
      </w:r>
    </w:p>
    <w:p>
      <w:pPr>
        <w:pStyle w:val="Heading4"/>
        <w:pStyle w:val="MdHeading4"/>
      </w:pPr>
      <w:r>
        <w:t xml:space="preserve">Font Family</w:t>
      </w:r>
    </w:p>
    <w:p>
      <w:pPr>
        <w:pStyle w:val="MdListItem"/>
        <w:numPr>
          <w:ilvl w:val="0"/>
          <w:numId w:val="2"/>
        </w:numPr>
      </w:pPr>
      <w:r>
        <w:rPr>
          <w:rStyle w:val="MdStrong"/>
          <w:b/>
          <w:bCs/>
        </w:rPr>
        <w:t xml:space="preserve">Primary Font: Inter</w:t>
      </w:r>
    </w:p>
    <w:p>
      <w:pPr>
        <w:pStyle w:val="MdListItem"/>
        <w:numPr>
          <w:ilvl w:val="1"/>
          <w:numId w:val="2"/>
        </w:numPr>
      </w:pPr>
      <w:r>
        <w:rPr>
          <w:rStyle w:val="MdStrong"/>
          <w:b/>
          <w:bCs/>
        </w:rPr>
        <w:t xml:space="preserve">Justification:</w:t>
      </w:r>
      <w:r>
        <w:t xml:space="preserve"> Inter is a modern, highly-readable sans-serif font designed specifically for user interfaces. Its neutral yet professional character ensures that complex financial data is presented with utmost clarity, which is a core brand value. Its excellent legibility at all sizes makes it perfect for data tables, forms, and body text.</w:t>
      </w:r>
    </w:p>
    <w:p>
      <w:pPr>
        <w:pStyle w:val="MdListItem"/>
        <w:numPr>
          <w:ilvl w:val="0"/>
          <w:numId w:val="2"/>
        </w:numPr>
      </w:pPr>
      <w:r>
        <w:rPr>
          <w:rStyle w:val="MdStrong"/>
          <w:b/>
          <w:bCs/>
        </w:rPr>
        <w:t xml:space="preserve">Secondary Font: DM Serif Display</w:t>
      </w:r>
    </w:p>
    <w:p>
      <w:pPr>
        <w:pStyle w:val="MdListItem"/>
        <w:numPr>
          <w:ilvl w:val="1"/>
          <w:numId w:val="2"/>
        </w:numPr>
      </w:pPr>
      <w:r>
        <w:rPr>
          <w:rStyle w:val="MdStrong"/>
          <w:b/>
          <w:bCs/>
        </w:rPr>
        <w:t xml:space="preserve">Justification:</w:t>
      </w:r>
      <w:r>
        <w:t xml:space="preserve"> For major headlines (H1, H2), DM Serif Display provides a touch of sophistication and authority. Its high-contrast, classic letterforms evoke a sense of integrity and seriousness, appealing to Brenda’s principled nature and the formal responsibility of managing an association’s finances.</w:t>
      </w:r>
    </w:p>
    <w:p>
      <w:pPr>
        <w:pStyle w:val="MdSpace"/>
        <w:spacing w:before="0" w:after="60"/>
      </w:pPr>
    </w:p>
    <w:p>
      <w:pPr>
        <w:pStyle w:val="Heading4"/>
        <w:pStyle w:val="MdHeading4"/>
      </w:pPr>
      <w:r>
        <w:t xml:space="preserve">Font Sizes</w:t>
      </w: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Element</w:t>
            </w:r>
          </w:p>
        </w:tc>
        <w:tc>
          <w:tcPr>
            <w:tcMar>
              <w:top w:type="dxa" w:w="100"/>
              <w:left w:type="dxa" w:w="120"/>
              <w:bottom w:type="dxa" w:w="100"/>
              <w:right w:type="dxa" w:w="120"/>
            </w:tcMar>
            <w:vAlign w:val="center"/>
          </w:tcPr>
          <w:p>
            <w:pPr>
              <w:pStyle w:val="MdTableHeader"/>
            </w:pPr>
            <w:r>
              <w:t xml:space="preserve">REM</w:t>
            </w:r>
          </w:p>
        </w:tc>
        <w:tc>
          <w:tcPr>
            <w:tcMar>
              <w:top w:type="dxa" w:w="100"/>
              <w:left w:type="dxa" w:w="120"/>
              <w:bottom w:type="dxa" w:w="100"/>
              <w:right w:type="dxa" w:w="120"/>
            </w:tcMar>
            <w:vAlign w:val="center"/>
          </w:tcPr>
          <w:p>
            <w:pPr>
              <w:pStyle w:val="MdTableHeader"/>
            </w:pPr>
            <w:r>
              <w:t xml:space="preserve">PX</w:t>
            </w:r>
          </w:p>
        </w:tc>
        <w:tc>
          <w:tcPr>
            <w:tcBorders>
              <w:right w:val="none"/>
            </w:tcBorders>
            <w:tcMar>
              <w:top w:type="dxa" w:w="100"/>
              <w:left w:type="dxa" w:w="120"/>
              <w:bottom w:type="dxa" w:w="100"/>
              <w:right w:type="dxa" w:w="120"/>
            </w:tcMar>
            <w:vAlign w:val="center"/>
          </w:tcPr>
          <w:p>
            <w:pPr>
              <w:pStyle w:val="MdTableHeader"/>
            </w:pPr>
            <w:r>
              <w:t xml:space="preserve">Line Height</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Display</w:t>
            </w:r>
          </w:p>
        </w:tc>
        <w:tc>
          <w:tcPr>
            <w:tcMar>
              <w:top w:type="dxa" w:w="80"/>
              <w:left w:type="dxa" w:w="120"/>
              <w:bottom w:type="dxa" w:w="80"/>
              <w:right w:type="dxa" w:w="120"/>
            </w:tcMar>
            <w:vAlign w:val="center"/>
          </w:tcPr>
          <w:p>
            <w:pPr>
              <w:pStyle w:val="MdTableCell"/>
            </w:pPr>
            <w:r>
              <w:t xml:space="preserve">4.5rem</w:t>
            </w:r>
          </w:p>
        </w:tc>
        <w:tc>
          <w:tcPr>
            <w:tcMar>
              <w:top w:type="dxa" w:w="80"/>
              <w:left w:type="dxa" w:w="120"/>
              <w:bottom w:type="dxa" w:w="80"/>
              <w:right w:type="dxa" w:w="120"/>
            </w:tcMar>
            <w:vAlign w:val="center"/>
          </w:tcPr>
          <w:p>
            <w:pPr>
              <w:pStyle w:val="MdTableCell"/>
            </w:pPr>
            <w:r>
              <w:t xml:space="preserve">72px</w:t>
            </w:r>
          </w:p>
        </w:tc>
        <w:tc>
          <w:tcPr>
            <w:tcBorders>
              <w:right w:val="none"/>
            </w:tcBorders>
            <w:tcMar>
              <w:top w:type="dxa" w:w="80"/>
              <w:left w:type="dxa" w:w="120"/>
              <w:bottom w:type="dxa" w:w="80"/>
              <w:right w:type="dxa" w:w="120"/>
            </w:tcMar>
            <w:vAlign w:val="center"/>
          </w:tcPr>
          <w:p>
            <w:pPr>
              <w:pStyle w:val="MdTableCell"/>
            </w:pPr>
            <w:r>
              <w:t xml:space="preserve">1.1</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H1</w:t>
            </w:r>
          </w:p>
        </w:tc>
        <w:tc>
          <w:tcPr>
            <w:tcMar>
              <w:top w:type="dxa" w:w="80"/>
              <w:left w:type="dxa" w:w="120"/>
              <w:bottom w:type="dxa" w:w="80"/>
              <w:right w:type="dxa" w:w="120"/>
            </w:tcMar>
            <w:vAlign w:val="center"/>
          </w:tcPr>
          <w:p>
            <w:pPr>
              <w:pStyle w:val="MdTableCell"/>
            </w:pPr>
            <w:r>
              <w:t xml:space="preserve">3rem</w:t>
            </w:r>
          </w:p>
        </w:tc>
        <w:tc>
          <w:tcPr>
            <w:tcMar>
              <w:top w:type="dxa" w:w="80"/>
              <w:left w:type="dxa" w:w="120"/>
              <w:bottom w:type="dxa" w:w="80"/>
              <w:right w:type="dxa" w:w="120"/>
            </w:tcMar>
            <w:vAlign w:val="center"/>
          </w:tcPr>
          <w:p>
            <w:pPr>
              <w:pStyle w:val="MdTableCell"/>
            </w:pPr>
            <w:r>
              <w:t xml:space="preserve">48px</w:t>
            </w:r>
          </w:p>
        </w:tc>
        <w:tc>
          <w:tcPr>
            <w:tcBorders>
              <w:right w:val="none"/>
            </w:tcBorders>
            <w:tcMar>
              <w:top w:type="dxa" w:w="80"/>
              <w:left w:type="dxa" w:w="120"/>
              <w:bottom w:type="dxa" w:w="80"/>
              <w:right w:type="dxa" w:w="120"/>
            </w:tcMar>
            <w:vAlign w:val="center"/>
          </w:tcPr>
          <w:p>
            <w:pPr>
              <w:pStyle w:val="MdTableCell"/>
            </w:pPr>
            <w:r>
              <w:t xml:space="preserve">1.2</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H2</w:t>
            </w:r>
          </w:p>
        </w:tc>
        <w:tc>
          <w:tcPr>
            <w:tcMar>
              <w:top w:type="dxa" w:w="80"/>
              <w:left w:type="dxa" w:w="120"/>
              <w:bottom w:type="dxa" w:w="80"/>
              <w:right w:type="dxa" w:w="120"/>
            </w:tcMar>
            <w:vAlign w:val="center"/>
          </w:tcPr>
          <w:p>
            <w:pPr>
              <w:pStyle w:val="MdTableCell"/>
            </w:pPr>
            <w:r>
              <w:t xml:space="preserve">2.25rem</w:t>
            </w:r>
          </w:p>
        </w:tc>
        <w:tc>
          <w:tcPr>
            <w:tcMar>
              <w:top w:type="dxa" w:w="80"/>
              <w:left w:type="dxa" w:w="120"/>
              <w:bottom w:type="dxa" w:w="80"/>
              <w:right w:type="dxa" w:w="120"/>
            </w:tcMar>
            <w:vAlign w:val="center"/>
          </w:tcPr>
          <w:p>
            <w:pPr>
              <w:pStyle w:val="MdTableCell"/>
            </w:pPr>
            <w:r>
              <w:t xml:space="preserve">36px</w:t>
            </w:r>
          </w:p>
        </w:tc>
        <w:tc>
          <w:tcPr>
            <w:tcBorders>
              <w:right w:val="none"/>
            </w:tcBorders>
            <w:tcMar>
              <w:top w:type="dxa" w:w="80"/>
              <w:left w:type="dxa" w:w="120"/>
              <w:bottom w:type="dxa" w:w="80"/>
              <w:right w:type="dxa" w:w="120"/>
            </w:tcMar>
            <w:vAlign w:val="center"/>
          </w:tcPr>
          <w:p>
            <w:pPr>
              <w:pStyle w:val="MdTableCell"/>
            </w:pPr>
            <w:r>
              <w:t xml:space="preserve">1.25</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H3</w:t>
            </w:r>
          </w:p>
        </w:tc>
        <w:tc>
          <w:tcPr>
            <w:tcMar>
              <w:top w:type="dxa" w:w="80"/>
              <w:left w:type="dxa" w:w="120"/>
              <w:bottom w:type="dxa" w:w="80"/>
              <w:right w:type="dxa" w:w="120"/>
            </w:tcMar>
            <w:vAlign w:val="center"/>
          </w:tcPr>
          <w:p>
            <w:pPr>
              <w:pStyle w:val="MdTableCell"/>
            </w:pPr>
            <w:r>
              <w:t xml:space="preserve">1.875rem</w:t>
            </w:r>
          </w:p>
        </w:tc>
        <w:tc>
          <w:tcPr>
            <w:tcMar>
              <w:top w:type="dxa" w:w="80"/>
              <w:left w:type="dxa" w:w="120"/>
              <w:bottom w:type="dxa" w:w="80"/>
              <w:right w:type="dxa" w:w="120"/>
            </w:tcMar>
            <w:vAlign w:val="center"/>
          </w:tcPr>
          <w:p>
            <w:pPr>
              <w:pStyle w:val="MdTableCell"/>
            </w:pPr>
            <w:r>
              <w:t xml:space="preserve">30px</w:t>
            </w:r>
          </w:p>
        </w:tc>
        <w:tc>
          <w:tcPr>
            <w:tcBorders>
              <w:right w:val="none"/>
            </w:tcBorders>
            <w:tcMar>
              <w:top w:type="dxa" w:w="80"/>
              <w:left w:type="dxa" w:w="120"/>
              <w:bottom w:type="dxa" w:w="80"/>
              <w:right w:type="dxa" w:w="120"/>
            </w:tcMar>
            <w:vAlign w:val="center"/>
          </w:tcPr>
          <w:p>
            <w:pPr>
              <w:pStyle w:val="MdTableCell"/>
            </w:pPr>
            <w:r>
              <w:t xml:space="preserve">1.3</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H4</w:t>
            </w:r>
          </w:p>
        </w:tc>
        <w:tc>
          <w:tcPr>
            <w:tcMar>
              <w:top w:type="dxa" w:w="80"/>
              <w:left w:type="dxa" w:w="120"/>
              <w:bottom w:type="dxa" w:w="80"/>
              <w:right w:type="dxa" w:w="120"/>
            </w:tcMar>
            <w:vAlign w:val="center"/>
          </w:tcPr>
          <w:p>
            <w:pPr>
              <w:pStyle w:val="MdTableCell"/>
            </w:pPr>
            <w:r>
              <w:t xml:space="preserve">1.5rem</w:t>
            </w:r>
          </w:p>
        </w:tc>
        <w:tc>
          <w:tcPr>
            <w:tcMar>
              <w:top w:type="dxa" w:w="80"/>
              <w:left w:type="dxa" w:w="120"/>
              <w:bottom w:type="dxa" w:w="80"/>
              <w:right w:type="dxa" w:w="120"/>
            </w:tcMar>
            <w:vAlign w:val="center"/>
          </w:tcPr>
          <w:p>
            <w:pPr>
              <w:pStyle w:val="MdTableCell"/>
            </w:pPr>
            <w:r>
              <w:t xml:space="preserve">24px</w:t>
            </w:r>
          </w:p>
        </w:tc>
        <w:tc>
          <w:tcPr>
            <w:tcBorders>
              <w:right w:val="none"/>
            </w:tcBorders>
            <w:tcMar>
              <w:top w:type="dxa" w:w="80"/>
              <w:left w:type="dxa" w:w="120"/>
              <w:bottom w:type="dxa" w:w="80"/>
              <w:right w:type="dxa" w:w="120"/>
            </w:tcMar>
            <w:vAlign w:val="center"/>
          </w:tcPr>
          <w:p>
            <w:pPr>
              <w:pStyle w:val="MdTableCell"/>
            </w:pPr>
            <w:r>
              <w:t xml:space="preserve">1.4</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H5</w:t>
            </w:r>
          </w:p>
        </w:tc>
        <w:tc>
          <w:tcPr>
            <w:tcMar>
              <w:top w:type="dxa" w:w="80"/>
              <w:left w:type="dxa" w:w="120"/>
              <w:bottom w:type="dxa" w:w="80"/>
              <w:right w:type="dxa" w:w="120"/>
            </w:tcMar>
            <w:vAlign w:val="center"/>
          </w:tcPr>
          <w:p>
            <w:pPr>
              <w:pStyle w:val="MdTableCell"/>
            </w:pPr>
            <w:r>
              <w:t xml:space="preserve">1.25rem</w:t>
            </w:r>
          </w:p>
        </w:tc>
        <w:tc>
          <w:tcPr>
            <w:tcMar>
              <w:top w:type="dxa" w:w="80"/>
              <w:left w:type="dxa" w:w="120"/>
              <w:bottom w:type="dxa" w:w="80"/>
              <w:right w:type="dxa" w:w="120"/>
            </w:tcMar>
            <w:vAlign w:val="center"/>
          </w:tcPr>
          <w:p>
            <w:pPr>
              <w:pStyle w:val="MdTableCell"/>
            </w:pPr>
            <w:r>
              <w:t xml:space="preserve">20px</w:t>
            </w:r>
          </w:p>
        </w:tc>
        <w:tc>
          <w:tcPr>
            <w:tcBorders>
              <w:right w:val="none"/>
            </w:tcBorders>
            <w:tcMar>
              <w:top w:type="dxa" w:w="80"/>
              <w:left w:type="dxa" w:w="120"/>
              <w:bottom w:type="dxa" w:w="80"/>
              <w:right w:type="dxa" w:w="120"/>
            </w:tcMar>
            <w:vAlign w:val="center"/>
          </w:tcPr>
          <w:p>
            <w:pPr>
              <w:pStyle w:val="MdTableCell"/>
            </w:pPr>
            <w:r>
              <w:t xml:space="preserve">1.5</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H6</w:t>
            </w:r>
          </w:p>
        </w:tc>
        <w:tc>
          <w:tcPr>
            <w:tcMar>
              <w:top w:type="dxa" w:w="80"/>
              <w:left w:type="dxa" w:w="120"/>
              <w:bottom w:type="dxa" w:w="80"/>
              <w:right w:type="dxa" w:w="120"/>
            </w:tcMar>
            <w:vAlign w:val="center"/>
          </w:tcPr>
          <w:p>
            <w:pPr>
              <w:pStyle w:val="MdTableCell"/>
            </w:pPr>
            <w:r>
              <w:t xml:space="preserve">1rem</w:t>
            </w:r>
          </w:p>
        </w:tc>
        <w:tc>
          <w:tcPr>
            <w:tcMar>
              <w:top w:type="dxa" w:w="80"/>
              <w:left w:type="dxa" w:w="120"/>
              <w:bottom w:type="dxa" w:w="80"/>
              <w:right w:type="dxa" w:w="120"/>
            </w:tcMar>
            <w:vAlign w:val="center"/>
          </w:tcPr>
          <w:p>
            <w:pPr>
              <w:pStyle w:val="MdTableCell"/>
            </w:pPr>
            <w:r>
              <w:t xml:space="preserve">16px</w:t>
            </w:r>
          </w:p>
        </w:tc>
        <w:tc>
          <w:tcPr>
            <w:tcBorders>
              <w:right w:val="none"/>
            </w:tcBorders>
            <w:tcMar>
              <w:top w:type="dxa" w:w="80"/>
              <w:left w:type="dxa" w:w="120"/>
              <w:bottom w:type="dxa" w:w="80"/>
              <w:right w:type="dxa" w:w="120"/>
            </w:tcMar>
            <w:vAlign w:val="center"/>
          </w:tcPr>
          <w:p>
            <w:pPr>
              <w:pStyle w:val="MdTableCell"/>
            </w:pPr>
            <w:r>
              <w:t xml:space="preserve">1.5</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Body (Regular)</w:t>
            </w:r>
          </w:p>
        </w:tc>
        <w:tc>
          <w:tcPr>
            <w:tcMar>
              <w:top w:type="dxa" w:w="80"/>
              <w:left w:type="dxa" w:w="120"/>
              <w:bottom w:type="dxa" w:w="80"/>
              <w:right w:type="dxa" w:w="120"/>
            </w:tcMar>
            <w:vAlign w:val="center"/>
          </w:tcPr>
          <w:p>
            <w:pPr>
              <w:pStyle w:val="MdTableCell"/>
            </w:pPr>
            <w:r>
              <w:t xml:space="preserve">1rem</w:t>
            </w:r>
          </w:p>
        </w:tc>
        <w:tc>
          <w:tcPr>
            <w:tcMar>
              <w:top w:type="dxa" w:w="80"/>
              <w:left w:type="dxa" w:w="120"/>
              <w:bottom w:type="dxa" w:w="80"/>
              <w:right w:type="dxa" w:w="120"/>
            </w:tcMar>
            <w:vAlign w:val="center"/>
          </w:tcPr>
          <w:p>
            <w:pPr>
              <w:pStyle w:val="MdTableCell"/>
            </w:pPr>
            <w:r>
              <w:t xml:space="preserve">16px</w:t>
            </w:r>
          </w:p>
        </w:tc>
        <w:tc>
          <w:tcPr>
            <w:tcBorders>
              <w:right w:val="none"/>
            </w:tcBorders>
            <w:tcMar>
              <w:top w:type="dxa" w:w="80"/>
              <w:left w:type="dxa" w:w="120"/>
              <w:bottom w:type="dxa" w:w="80"/>
              <w:right w:type="dxa" w:w="120"/>
            </w:tcMar>
            <w:vAlign w:val="center"/>
          </w:tcPr>
          <w:p>
            <w:pPr>
              <w:pStyle w:val="MdTableCell"/>
            </w:pPr>
            <w:r>
              <w:t xml:space="preserve">1.6</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Body (Small)</w:t>
            </w:r>
          </w:p>
        </w:tc>
        <w:tc>
          <w:tcPr>
            <w:tcMar>
              <w:top w:type="dxa" w:w="80"/>
              <w:left w:type="dxa" w:w="120"/>
              <w:bottom w:type="dxa" w:w="80"/>
              <w:right w:type="dxa" w:w="120"/>
            </w:tcMar>
            <w:vAlign w:val="center"/>
          </w:tcPr>
          <w:p>
            <w:pPr>
              <w:pStyle w:val="MdTableCell"/>
            </w:pPr>
            <w:r>
              <w:t xml:space="preserve">0.875rem</w:t>
            </w:r>
          </w:p>
        </w:tc>
        <w:tc>
          <w:tcPr>
            <w:tcMar>
              <w:top w:type="dxa" w:w="80"/>
              <w:left w:type="dxa" w:w="120"/>
              <w:bottom w:type="dxa" w:w="80"/>
              <w:right w:type="dxa" w:w="120"/>
            </w:tcMar>
            <w:vAlign w:val="center"/>
          </w:tcPr>
          <w:p>
            <w:pPr>
              <w:pStyle w:val="MdTableCell"/>
            </w:pPr>
            <w:r>
              <w:t xml:space="preserve">14px</w:t>
            </w:r>
          </w:p>
        </w:tc>
        <w:tc>
          <w:tcPr>
            <w:tcBorders>
              <w:right w:val="none"/>
            </w:tcBorders>
            <w:tcMar>
              <w:top w:type="dxa" w:w="80"/>
              <w:left w:type="dxa" w:w="120"/>
              <w:bottom w:type="dxa" w:w="80"/>
              <w:right w:type="dxa" w:w="120"/>
            </w:tcMar>
            <w:vAlign w:val="center"/>
          </w:tcPr>
          <w:p>
            <w:pPr>
              <w:pStyle w:val="MdTableCell"/>
            </w:pPr>
            <w:r>
              <w:t xml:space="preserve">1.5</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Body (XSmall)</w:t>
            </w:r>
          </w:p>
        </w:tc>
        <w:tc>
          <w:tcPr>
            <w:tcMar>
              <w:top w:type="dxa" w:w="80"/>
              <w:left w:type="dxa" w:w="120"/>
              <w:bottom w:type="dxa" w:w="80"/>
              <w:right w:type="dxa" w:w="120"/>
            </w:tcMar>
            <w:vAlign w:val="center"/>
          </w:tcPr>
          <w:p>
            <w:pPr>
              <w:pStyle w:val="MdTableCell"/>
            </w:pPr>
            <w:r>
              <w:t xml:space="preserve">0.75rem</w:t>
            </w:r>
          </w:p>
        </w:tc>
        <w:tc>
          <w:tcPr>
            <w:tcMar>
              <w:top w:type="dxa" w:w="80"/>
              <w:left w:type="dxa" w:w="120"/>
              <w:bottom w:type="dxa" w:w="80"/>
              <w:right w:type="dxa" w:w="120"/>
            </w:tcMar>
            <w:vAlign w:val="center"/>
          </w:tcPr>
          <w:p>
            <w:pPr>
              <w:pStyle w:val="MdTableCell"/>
            </w:pPr>
            <w:r>
              <w:t xml:space="preserve">12px</w:t>
            </w:r>
          </w:p>
        </w:tc>
        <w:tc>
          <w:tcPr>
            <w:tcBorders>
              <w:right w:val="none"/>
            </w:tcBorders>
            <w:tcMar>
              <w:top w:type="dxa" w:w="80"/>
              <w:left w:type="dxa" w:w="120"/>
              <w:bottom w:type="dxa" w:w="80"/>
              <w:right w:type="dxa" w:w="120"/>
            </w:tcMar>
            <w:vAlign w:val="center"/>
          </w:tcPr>
          <w:p>
            <w:pPr>
              <w:pStyle w:val="MdTableCell"/>
            </w:pPr>
            <w:r>
              <w:t xml:space="preserve">1.5</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Caption</w:t>
            </w:r>
          </w:p>
        </w:tc>
        <w:tc>
          <w:tcPr>
            <w:tcBorders>
              <w:bottom w:val="single" w:color="E1E4E8" w:sz="4"/>
            </w:tcBorders>
            <w:tcMar>
              <w:top w:type="dxa" w:w="80"/>
              <w:left w:type="dxa" w:w="120"/>
              <w:bottom w:type="dxa" w:w="80"/>
              <w:right w:type="dxa" w:w="120"/>
            </w:tcMar>
            <w:vAlign w:val="center"/>
          </w:tcPr>
          <w:p>
            <w:pPr>
              <w:pStyle w:val="MdTableCell"/>
            </w:pPr>
            <w:r>
              <w:t xml:space="preserve">0.75rem</w:t>
            </w:r>
          </w:p>
        </w:tc>
        <w:tc>
          <w:tcPr>
            <w:tcBorders>
              <w:bottom w:val="single" w:color="E1E4E8" w:sz="4"/>
            </w:tcBorders>
            <w:tcMar>
              <w:top w:type="dxa" w:w="80"/>
              <w:left w:type="dxa" w:w="120"/>
              <w:bottom w:type="dxa" w:w="80"/>
              <w:right w:type="dxa" w:w="120"/>
            </w:tcMar>
            <w:vAlign w:val="center"/>
          </w:tcPr>
          <w:p>
            <w:pPr>
              <w:pStyle w:val="MdTableCell"/>
            </w:pPr>
            <w:r>
              <w:t xml:space="preserve">12px</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1.4</w:t>
            </w:r>
          </w:p>
        </w:tc>
      </w:tr>
    </w:tbl>
    <w:p>
      <w:pPr>
        <w:pStyle w:val="Heading4"/>
        <w:pStyle w:val="MdHeading4"/>
      </w:pPr>
      <w:r>
        <w:t xml:space="preserve">Font Weights</w:t>
      </w:r>
    </w:p>
    <w:p>
      <w:pPr>
        <w:pStyle w:val="MdListItem"/>
        <w:numPr>
          <w:ilvl w:val="0"/>
          <w:numId w:val="2"/>
        </w:numPr>
      </w:pPr>
      <w:r>
        <w:t xml:space="preserve">Light (300)</w:t>
      </w:r>
    </w:p>
    <w:p>
      <w:pPr>
        <w:pStyle w:val="MdListItem"/>
        <w:numPr>
          <w:ilvl w:val="0"/>
          <w:numId w:val="2"/>
        </w:numPr>
      </w:pPr>
      <w:r>
        <w:t xml:space="preserve">Regular (400)</w:t>
      </w:r>
    </w:p>
    <w:p>
      <w:pPr>
        <w:pStyle w:val="MdListItem"/>
        <w:numPr>
          <w:ilvl w:val="0"/>
          <w:numId w:val="2"/>
        </w:numPr>
      </w:pPr>
      <w:r>
        <w:t xml:space="preserve">Medium (500)</w:t>
      </w:r>
    </w:p>
    <w:p>
      <w:pPr>
        <w:pStyle w:val="MdListItem"/>
        <w:numPr>
          <w:ilvl w:val="0"/>
          <w:numId w:val="2"/>
        </w:numPr>
      </w:pPr>
      <w:r>
        <w:t xml:space="preserve">Semibold (600)</w:t>
      </w:r>
    </w:p>
    <w:p>
      <w:pPr>
        <w:pStyle w:val="MdListItem"/>
        <w:numPr>
          <w:ilvl w:val="0"/>
          <w:numId w:val="2"/>
        </w:numPr>
      </w:pPr>
      <w:r>
        <w:t xml:space="preserve">Bold (700)</w:t>
      </w:r>
    </w:p>
    <w:p>
      <w:pPr>
        <w:pStyle w:val="MdSpace"/>
        <w:spacing w:before="0" w:after="60"/>
      </w:pPr>
    </w:p>
    <w:p>
      <w:pPr>
        <w:pStyle w:val="Heading3"/>
        <w:pStyle w:val="MdHeading3"/>
      </w:pPr>
      <w:r>
        <w:t xml:space="preserve">UI Components</w:t>
      </w:r>
    </w:p>
    <w:p>
      <w:pPr>
        <w:pStyle w:val="Heading4"/>
        <w:pStyle w:val="MdHeading4"/>
      </w:pPr>
      <w:r>
        <w:t xml:space="preserve">21st.dev Components</w:t>
      </w:r>
    </w:p>
    <w:p>
      <w:pPr>
        <w:pStyle w:val="MdParagraph"/>
      </w:pPr>
      <w:r>
        <w:t xml:space="preserve">To build a robust and intuitive interface, we will leverage the comprehensive, modern components from 21st.dev, focusing on:</w:t>
      </w:r>
    </w:p>
    <w:p>
      <w:pPr>
        <w:pStyle w:val="MdListItem"/>
        <w:numPr>
          <w:ilvl w:val="0"/>
          <w:numId w:val="2"/>
        </w:numPr>
      </w:pPr>
      <w:r>
        <w:rPr>
          <w:rStyle w:val="MdStrong"/>
          <w:b/>
          <w:bCs/>
        </w:rPr>
        <w:t xml:space="preserve">Forms:</w:t>
      </w:r>
      <w:r>
        <w:t xml:space="preserve"> Input fields, select menus, checkboxes, radio groups, and file uploads are critical for data entry.</w:t>
      </w:r>
    </w:p>
    <w:p>
      <w:pPr>
        <w:pStyle w:val="MdListItem"/>
        <w:numPr>
          <w:ilvl w:val="0"/>
          <w:numId w:val="2"/>
        </w:numPr>
      </w:pPr>
      <w:r>
        <w:rPr>
          <w:rStyle w:val="MdStrong"/>
          <w:b/>
          <w:bCs/>
        </w:rPr>
        <w:t xml:space="preserve">Data Display:</w:t>
      </w:r>
      <w:r>
        <w:t xml:space="preserve"> Tables, lists, and description lists for presenting financial reports and owner information clearly.</w:t>
      </w:r>
    </w:p>
    <w:p>
      <w:pPr>
        <w:pStyle w:val="MdListItem"/>
        <w:numPr>
          <w:ilvl w:val="0"/>
          <w:numId w:val="2"/>
        </w:numPr>
      </w:pPr>
      <w:r>
        <w:rPr>
          <w:rStyle w:val="MdStrong"/>
          <w:b/>
          <w:bCs/>
        </w:rPr>
        <w:t xml:space="preserve">Feedback:</w:t>
      </w:r>
      <w:r>
        <w:t xml:space="preserve"> Alerts, toasts, and progress indicators to provide clear feedback on actions and system status.</w:t>
      </w:r>
    </w:p>
    <w:p>
      <w:pPr>
        <w:pStyle w:val="MdListItem"/>
        <w:numPr>
          <w:ilvl w:val="0"/>
          <w:numId w:val="2"/>
        </w:numPr>
      </w:pPr>
      <w:r>
        <w:rPr>
          <w:rStyle w:val="MdStrong"/>
          <w:b/>
          <w:bCs/>
        </w:rPr>
        <w:t xml:space="preserve">Navigation:</w:t>
      </w:r>
      <w:r>
        <w:t xml:space="preserve"> Menus, tabs, and breadcrumbs for intuitive navigation through the application.</w:t>
      </w:r>
    </w:p>
    <w:p>
      <w:pPr>
        <w:pStyle w:val="MdListItem"/>
        <w:numPr>
          <w:ilvl w:val="0"/>
          <w:numId w:val="2"/>
        </w:numPr>
      </w:pPr>
      <w:r>
        <w:rPr>
          <w:rStyle w:val="MdStrong"/>
          <w:b/>
          <w:bCs/>
        </w:rPr>
        <w:t xml:space="preserve">Layout:</w:t>
      </w:r>
      <w:r>
        <w:t xml:space="preserve"> Grids and stacks for creating organized and responsive page structures.</w:t>
      </w:r>
    </w:p>
    <w:p>
      <w:pPr>
        <w:pStyle w:val="MdSpace"/>
        <w:spacing w:before="0" w:after="60"/>
      </w:pPr>
    </w:p>
    <w:p>
      <w:pPr>
        <w:pStyle w:val="Heading4"/>
        <w:pStyle w:val="MdHeading4"/>
      </w:pPr>
      <w:r>
        <w:t xml:space="preserve">MagicUI Components</w:t>
      </w:r>
    </w:p>
    <w:p>
      <w:pPr>
        <w:pStyle w:val="MdParagraph"/>
      </w:pPr>
      <w:r>
        <w:t xml:space="preserve">To enhance the user experience with subtle, professional animations without overwhelming the user, we will incorporate select components from MagicUI:</w:t>
      </w:r>
    </w:p>
    <w:p>
      <w:pPr>
        <w:pStyle w:val="MdListItem"/>
        <w:numPr>
          <w:ilvl w:val="0"/>
          <w:numId w:val="2"/>
        </w:numPr>
      </w:pPr>
      <w:r>
        <w:rPr>
          <w:rStyle w:val="MdStrong"/>
          <w:b/>
          <w:bCs/>
        </w:rPr>
        <w:t xml:space="preserve">Animated Gradient Background:</w:t>
      </w:r>
      <w:r>
        <w:t xml:space="preserve"> To subtly bring the primary brand gradient to life on key pages.</w:t>
      </w:r>
    </w:p>
    <w:p>
      <w:pPr>
        <w:pStyle w:val="MdListItem"/>
        <w:numPr>
          <w:ilvl w:val="0"/>
          <w:numId w:val="2"/>
        </w:numPr>
      </w:pPr>
      <w:r>
        <w:rPr>
          <w:rStyle w:val="MdStrong"/>
          <w:b/>
          <w:bCs/>
        </w:rPr>
        <w:t xml:space="preserve">Dock:</w:t>
      </w:r>
      <w:r>
        <w:t xml:space="preserve"> A modern, space-saving navigation element for primary application sections.</w:t>
      </w:r>
    </w:p>
    <w:p>
      <w:pPr>
        <w:pStyle w:val="MdListItem"/>
        <w:numPr>
          <w:ilvl w:val="0"/>
          <w:numId w:val="2"/>
        </w:numPr>
      </w:pPr>
      <w:r>
        <w:rPr>
          <w:rStyle w:val="MdStrong"/>
          <w:b/>
          <w:bCs/>
        </w:rPr>
        <w:t xml:space="preserve">Shine Border:</w:t>
      </w:r>
      <w:r>
        <w:t xml:space="preserve"> A gentle hover effect for primary call-to-action buttons to draw attention.</w:t>
      </w:r>
    </w:p>
    <w:p>
      <w:pPr>
        <w:pStyle w:val="MdListItem"/>
        <w:numPr>
          <w:ilvl w:val="0"/>
          <w:numId w:val="2"/>
        </w:numPr>
      </w:pPr>
      <w:r>
        <w:rPr>
          <w:rStyle w:val="MdStrong"/>
          <w:b/>
          <w:bCs/>
        </w:rPr>
        <w:t xml:space="preserve">Blur In:</w:t>
      </w:r>
      <w:r>
        <w:t xml:space="preserve"> A smooth, elegant effect for loading new sections or data, reinforcing a sense of calm control.</w:t>
      </w:r>
    </w:p>
    <w:p>
      <w:pPr>
        <w:pStyle w:val="MdListItem"/>
        <w:numPr>
          <w:ilvl w:val="0"/>
          <w:numId w:val="2"/>
        </w:numPr>
      </w:pPr>
      <w:r>
        <w:rPr>
          <w:rStyle w:val="MdStrong"/>
          <w:b/>
          <w:bCs/>
        </w:rPr>
        <w:t xml:space="preserve">Number Ticker:</w:t>
      </w:r>
      <w:r>
        <w:t xml:space="preserve"> For animating key financial figures on the dashboard, providing a sense of live data without being distracting.</w:t>
      </w:r>
    </w:p>
    <w:p>
      <w:pPr>
        <w:pStyle w:val="MdSpace"/>
        <w:spacing w:before="0" w:after="60"/>
      </w:pPr>
    </w:p>
    <w:p>
      <w:pPr>
        <w:pStyle w:val="Heading4"/>
        <w:pStyle w:val="MdHeading4"/>
      </w:pPr>
      <w:r>
        <w:t xml:space="preserve">reactbits.dev Components</w:t>
      </w:r>
    </w:p>
    <w:p>
      <w:pPr>
        <w:pStyle w:val="MdParagraph"/>
      </w:pPr>
      <w:r>
        <w:t xml:space="preserve">We will utilize components from reactbits.dev to supplement our UI toolkit, focusing on:</w:t>
      </w:r>
    </w:p>
    <w:p>
      <w:pPr>
        <w:pStyle w:val="MdListItem"/>
        <w:numPr>
          <w:ilvl w:val="0"/>
          <w:numId w:val="2"/>
        </w:numPr>
      </w:pPr>
      <w:r>
        <w:rPr>
          <w:rStyle w:val="MdStrong"/>
          <w:b/>
          <w:bCs/>
        </w:rPr>
        <w:t xml:space="preserve">Disclosure:</w:t>
      </w:r>
      <w:r>
        <w:t xml:space="preserve"> Accordions and tabs for progressively disclosing information in complex sections like compliance guidelines or detailed reports.</w:t>
      </w:r>
    </w:p>
    <w:p>
      <w:pPr>
        <w:pStyle w:val="MdListItem"/>
        <w:numPr>
          <w:ilvl w:val="0"/>
          <w:numId w:val="2"/>
        </w:numPr>
      </w:pPr>
      <w:r>
        <w:rPr>
          <w:rStyle w:val="MdStrong"/>
          <w:b/>
          <w:bCs/>
        </w:rPr>
        <w:t xml:space="preserve">Feedback:</w:t>
      </w:r>
      <w:r>
        <w:t xml:space="preserve"> Skeletons for loading states, providing a better user experience than traditional spinners.</w:t>
      </w:r>
    </w:p>
    <w:p>
      <w:pPr>
        <w:pStyle w:val="MdListItem"/>
        <w:numPr>
          <w:ilvl w:val="0"/>
          <w:numId w:val="2"/>
        </w:numPr>
      </w:pPr>
      <w:r>
        <w:rPr>
          <w:rStyle w:val="MdStrong"/>
          <w:b/>
          <w:bCs/>
        </w:rPr>
        <w:t xml:space="preserve">Forms:</w:t>
      </w:r>
      <w:r>
        <w:t xml:space="preserve"> Sliders and switches for user preferences and settings.</w:t>
      </w:r>
    </w:p>
    <w:p>
      <w:pPr>
        <w:pStyle w:val="MdSpace"/>
        <w:spacing w:before="0" w:after="60"/>
      </w:pPr>
    </w:p>
    <w:p>
      <w:pPr>
        <w:pStyle w:val="Heading4"/>
        <w:pStyle w:val="MdHeading4"/>
      </w:pPr>
      <w:r>
        <w:t xml:space="preserve">Custom Components</w:t>
      </w:r>
    </w:p>
    <w:p>
      <w:pPr>
        <w:pStyle w:val="MdParagraph"/>
      </w:pPr>
      <w:r>
        <w:t xml:space="preserve">Given the unique requirements of HOA financial management, we will develop several essential custom components:</w:t>
      </w:r>
    </w:p>
    <w:p>
      <w:pPr>
        <w:pStyle w:val="MdListItem"/>
        <w:numPr>
          <w:ilvl w:val="0"/>
          <w:numId w:val="2"/>
        </w:numPr>
      </w:pPr>
      <w:r>
        <w:rPr>
          <w:rStyle w:val="MdStrong"/>
          <w:b/>
          <w:bCs/>
        </w:rPr>
        <w:t xml:space="preserve">Dashboard Widgets:</w:t>
      </w:r>
      <w:r>
        <w:t xml:space="preserve"> A suite of configurable widgets for the main dashboard, displaying key metrics like Delinquency Rate, Cash on Hand, and Pending AP.</w:t>
      </w:r>
    </w:p>
    <w:p>
      <w:pPr>
        <w:pStyle w:val="MdListItem"/>
        <w:numPr>
          <w:ilvl w:val="0"/>
          <w:numId w:val="2"/>
        </w:numPr>
      </w:pPr>
      <w:r>
        <w:rPr>
          <w:rStyle w:val="MdStrong"/>
          <w:b/>
          <w:bCs/>
        </w:rPr>
        <w:t xml:space="preserve">Financial Report Generator:</w:t>
      </w:r>
      <w:r>
        <w:t xml:space="preserve"> A tool that allows users to generate and customize monthly, quarterly, and annual financial report packages in one click.</w:t>
      </w:r>
    </w:p>
    <w:p>
      <w:pPr>
        <w:pStyle w:val="MdListItem"/>
        <w:numPr>
          <w:ilvl w:val="0"/>
          <w:numId w:val="2"/>
        </w:numPr>
      </w:pPr>
      <w:r>
        <w:rPr>
          <w:rStyle w:val="MdStrong"/>
          <w:b/>
          <w:bCs/>
        </w:rPr>
        <w:t xml:space="preserve">Compliance Calendar:</w:t>
      </w:r>
      <w:r>
        <w:t xml:space="preserve"> An interactive calendar that tracks and displays critical deadlines for legal notices, tax filings, and elections.</w:t>
      </w:r>
    </w:p>
    <w:p>
      <w:pPr>
        <w:pStyle w:val="MdListItem"/>
        <w:numPr>
          <w:ilvl w:val="0"/>
          <w:numId w:val="2"/>
        </w:numPr>
      </w:pPr>
      <w:r>
        <w:rPr>
          <w:rStyle w:val="MdStrong"/>
          <w:b/>
          <w:bCs/>
        </w:rPr>
        <w:t xml:space="preserve">Delinquency Workflow Visualizer:</w:t>
      </w:r>
      <w:r>
        <w:t xml:space="preserve"> A component that graphically displays the status of each delinquent unit within the automated collections process.</w:t>
      </w:r>
    </w:p>
    <w:p>
      <w:pPr>
        <w:pStyle w:val="MdSpace"/>
        <w:spacing w:before="0" w:after="60"/>
      </w:pPr>
    </w:p>
    <w:p>
      <w:pPr>
        <w:pStyle w:val="Heading3"/>
        <w:pStyle w:val="MdHeading3"/>
      </w:pPr>
      <w:r>
        <w:t xml:space="preserve">Micro-Interactions</w:t>
      </w:r>
    </w:p>
    <w:p>
      <w:pPr>
        <w:pStyle w:val="MdListItem"/>
        <w:numPr>
          <w:ilvl w:val="0"/>
          <w:numId w:val="2"/>
        </w:numPr>
      </w:pPr>
      <w:r>
        <w:rPr>
          <w:rStyle w:val="MdStrong"/>
          <w:b/>
          <w:bCs/>
        </w:rPr>
        <w:t xml:space="preserve">Button Hover:</w:t>
      </w:r>
      <w:r>
        <w:t xml:space="preserve"> Subtle lift or shadow effect to indicate interactivity.</w:t>
      </w:r>
    </w:p>
    <w:p>
      <w:pPr>
        <w:pStyle w:val="MdListItem"/>
        <w:numPr>
          <w:ilvl w:val="0"/>
          <w:numId w:val="2"/>
        </w:numPr>
      </w:pPr>
      <w:r>
        <w:rPr>
          <w:rStyle w:val="MdStrong"/>
          <w:b/>
          <w:bCs/>
        </w:rPr>
        <w:t xml:space="preserve">Form Focus:</w:t>
      </w:r>
      <w:r>
        <w:t xml:space="preserve"> A gentle glow or border color change on active input fields.</w:t>
      </w:r>
    </w:p>
    <w:p>
      <w:pPr>
        <w:pStyle w:val="MdListItem"/>
        <w:numPr>
          <w:ilvl w:val="0"/>
          <w:numId w:val="2"/>
        </w:numPr>
      </w:pPr>
      <w:r>
        <w:rPr>
          <w:rStyle w:val="MdStrong"/>
          <w:b/>
          <w:bCs/>
        </w:rPr>
        <w:t xml:space="preserve">Loading States:</w:t>
      </w:r>
      <w:r>
        <w:t xml:space="preserve"> Use of skeleton screens and subtle pulsing animations instead of jarring spinners.</w:t>
      </w:r>
    </w:p>
    <w:p>
      <w:pPr>
        <w:pStyle w:val="MdListItem"/>
        <w:numPr>
          <w:ilvl w:val="0"/>
          <w:numId w:val="2"/>
        </w:numPr>
      </w:pPr>
      <w:r>
        <w:rPr>
          <w:rStyle w:val="MdStrong"/>
          <w:b/>
          <w:bCs/>
        </w:rPr>
        <w:t xml:space="preserve">Success Actions:</w:t>
      </w:r>
      <w:r>
        <w:t xml:space="preserve"> A brief, positive animation (e.g., a checkmark drawing itself) upon successful form submission or action.</w:t>
      </w:r>
    </w:p>
    <w:p>
      <w:pPr>
        <w:pStyle w:val="MdListItem"/>
        <w:numPr>
          <w:ilvl w:val="0"/>
          <w:numId w:val="2"/>
        </w:numPr>
      </w:pPr>
      <w:r>
        <w:rPr>
          <w:rStyle w:val="MdStrong"/>
          <w:b/>
          <w:bCs/>
        </w:rPr>
        <w:t xml:space="preserve">Navigation:</w:t>
      </w:r>
      <w:r>
        <w:t xml:space="preserve"> Smooth underline or background transition for active navigation links.</w:t>
      </w:r>
    </w:p>
    <w:p>
      <w:pPr>
        <w:pStyle w:val="MdListItem"/>
        <w:numPr>
          <w:ilvl w:val="0"/>
          <w:numId w:val="2"/>
        </w:numPr>
      </w:pPr>
      <w:r>
        <w:rPr>
          <w:rStyle w:val="MdStrong"/>
          <w:b/>
          <w:bCs/>
        </w:rPr>
        <w:t xml:space="preserve">Scrolling:</w:t>
      </w:r>
      <w:r>
        <w:t xml:space="preserve"> A subtle progress bar that appears at the top of the page during long scrolls.</w:t>
      </w:r>
    </w:p>
    <w:p>
      <w:pPr>
        <w:pStyle w:val="MdSpace"/>
        <w:spacing w:before="0" w:after="60"/>
      </w:pPr>
    </w:p>
    <w:p>
      <w:pPr>
        <w:pStyle w:val="Heading3"/>
        <w:pStyle w:val="MdHeading3"/>
      </w:pPr>
      <w:r>
        <w:t xml:space="preserve">Responsive Design (Contribution led by the Lead Front-End Developer)</w:t>
      </w:r>
    </w:p>
    <w:p>
      <w:pPr>
        <w:pStyle w:val="MdListItem"/>
        <w:numPr>
          <w:ilvl w:val="0"/>
          <w:numId w:val="2"/>
        </w:numPr>
      </w:pPr>
      <w:r>
        <w:rPr>
          <w:rStyle w:val="MdStrong"/>
          <w:b/>
          <w:bCs/>
        </w:rPr>
        <w:t xml:space="preserve">Mobile-First Approach:</w:t>
      </w:r>
      <w:r>
        <w:t xml:space="preserve"> Our design and development process will start with the mobile experience to ensure the core functionality is seamless on all devices.</w:t>
      </w:r>
    </w:p>
    <w:p>
      <w:pPr>
        <w:pStyle w:val="MdListItem"/>
        <w:numPr>
          <w:ilvl w:val="0"/>
          <w:numId w:val="2"/>
        </w:numPr>
      </w:pPr>
      <w:r>
        <w:rPr>
          <w:rStyle w:val="MdStrong"/>
          <w:b/>
          <w:bCs/>
        </w:rPr>
        <w:t xml:space="preserve">Breakpoints:</w:t>
      </w:r>
      <w:r>
        <w:t xml:space="preserve"> We will use the standard Tailwind CSS breakpoints:</w:t>
      </w:r>
    </w:p>
    <w:p>
      <w:pPr>
        <w:pStyle w:val="MdListItem"/>
        <w:numPr>
          <w:ilvl w:val="1"/>
          <w:numId w:val="2"/>
        </w:numPr>
      </w:pPr>
      <w:r>
        <w:rPr>
          <w:rStyle w:val="MdCode"/>
          <w:u w:val="single"/>
        </w:rPr>
        <w:t xml:space="preserve">sm</w:t>
      </w:r>
      <w:r>
        <w:t xml:space="preserve">: 640px</w:t>
      </w:r>
    </w:p>
    <w:p>
      <w:pPr>
        <w:pStyle w:val="MdListItem"/>
        <w:numPr>
          <w:ilvl w:val="1"/>
          <w:numId w:val="2"/>
        </w:numPr>
      </w:pPr>
      <w:r>
        <w:rPr>
          <w:rStyle w:val="MdCode"/>
          <w:u w:val="single"/>
        </w:rPr>
        <w:t xml:space="preserve">md</w:t>
      </w:r>
      <w:r>
        <w:t xml:space="preserve">: 768px</w:t>
      </w:r>
    </w:p>
    <w:p>
      <w:pPr>
        <w:pStyle w:val="MdListItem"/>
        <w:numPr>
          <w:ilvl w:val="1"/>
          <w:numId w:val="2"/>
        </w:numPr>
      </w:pPr>
      <w:r>
        <w:rPr>
          <w:rStyle w:val="MdCode"/>
          <w:u w:val="single"/>
        </w:rPr>
        <w:t xml:space="preserve">lg</w:t>
      </w:r>
      <w:r>
        <w:t xml:space="preserve">: 1024px</w:t>
      </w:r>
    </w:p>
    <w:p>
      <w:pPr>
        <w:pStyle w:val="MdListItem"/>
        <w:numPr>
          <w:ilvl w:val="1"/>
          <w:numId w:val="2"/>
        </w:numPr>
      </w:pPr>
      <w:r>
        <w:rPr>
          <w:rStyle w:val="MdCode"/>
          <w:u w:val="single"/>
        </w:rPr>
        <w:t xml:space="preserve">xl</w:t>
      </w:r>
      <w:r>
        <w:t xml:space="preserve">: 1280px</w:t>
      </w:r>
    </w:p>
    <w:p>
      <w:pPr>
        <w:pStyle w:val="MdListItem"/>
        <w:numPr>
          <w:ilvl w:val="1"/>
          <w:numId w:val="2"/>
        </w:numPr>
      </w:pPr>
      <w:r>
        <w:rPr>
          <w:rStyle w:val="MdCode"/>
          <w:u w:val="single"/>
        </w:rPr>
        <w:t xml:space="preserve">2xl</w:t>
      </w:r>
      <w:r>
        <w:t xml:space="preserve">: 1536px</w:t>
      </w:r>
    </w:p>
    <w:p>
      <w:pPr>
        <w:pStyle w:val="MdListItem"/>
        <w:numPr>
          <w:ilvl w:val="0"/>
          <w:numId w:val="2"/>
        </w:numPr>
      </w:pPr>
      <w:r>
        <w:rPr>
          <w:rStyle w:val="MdStrong"/>
          <w:b/>
          <w:bCs/>
        </w:rPr>
        <w:t xml:space="preserve">Mobile Adaptations:</w:t>
      </w:r>
      <w:r>
        <w:t xml:space="preserve"> Key adaptations for smaller screens will include a collapsible hamburger menu for primary navigation, vertical stacking of multi-column layouts, and increased size for all touch targets to ensure usability.</w:t>
      </w:r>
    </w:p>
    <w:p>
      <w:pPr>
        <w:pStyle w:val="MdSpace"/>
        <w:spacing w:before="0" w:after="60"/>
      </w:pPr>
    </w:p>
    <w:p>
      <w:pPr>
        <w:pStyle w:val="Heading3"/>
        <w:pStyle w:val="MdHeading3"/>
      </w:pPr>
      <w:r>
        <w:t xml:space="preserve">Accessibility</w:t>
      </w:r>
    </w:p>
    <w:p>
      <w:pPr>
        <w:pStyle w:val="MdParagraph"/>
      </w:pPr>
      <w:r>
        <w:t xml:space="preserve">We are committed to building an application that is usable by everyone, including people with disabilities. Our commitments include:</w:t>
      </w:r>
    </w:p>
    <w:p>
      <w:pPr>
        <w:pStyle w:val="MdListItem"/>
        <w:numPr>
          <w:ilvl w:val="0"/>
          <w:numId w:val="2"/>
        </w:numPr>
      </w:pPr>
      <w:r>
        <w:rPr>
          <w:rStyle w:val="MdStrong"/>
          <w:b/>
          <w:bCs/>
        </w:rPr>
        <w:t xml:space="preserve">Color Contrast:</w:t>
      </w:r>
      <w:r>
        <w:t xml:space="preserve"> All text will meet WCAG AA contrast ratios against its background.</w:t>
      </w:r>
    </w:p>
    <w:p>
      <w:pPr>
        <w:pStyle w:val="MdListItem"/>
        <w:numPr>
          <w:ilvl w:val="0"/>
          <w:numId w:val="2"/>
        </w:numPr>
      </w:pPr>
      <w:r>
        <w:rPr>
          <w:rStyle w:val="MdStrong"/>
          <w:b/>
          <w:bCs/>
        </w:rPr>
        <w:t xml:space="preserve">Keyboard Navigation:</w:t>
      </w:r>
      <w:r>
        <w:t xml:space="preserve"> The entire application will be fully navigable and operable using only a keyboard.</w:t>
      </w:r>
    </w:p>
    <w:p>
      <w:pPr>
        <w:pStyle w:val="MdListItem"/>
        <w:numPr>
          <w:ilvl w:val="0"/>
          <w:numId w:val="2"/>
        </w:numPr>
      </w:pPr>
      <w:r>
        <w:rPr>
          <w:rStyle w:val="MdStrong"/>
          <w:b/>
          <w:bCs/>
        </w:rPr>
        <w:t xml:space="preserve">Screen Reader Support:</w:t>
      </w:r>
      <w:r>
        <w:t xml:space="preserve"> We will use proper semantic HTML and ARIA (Accessible Rich Internet Applications) attributes to ensure compatibility with screen readers.</w:t>
      </w:r>
    </w:p>
    <w:p>
      <w:pPr>
        <w:pStyle w:val="MdListItem"/>
        <w:numPr>
          <w:ilvl w:val="0"/>
          <w:numId w:val="2"/>
        </w:numPr>
      </w:pPr>
      <w:r>
        <w:rPr>
          <w:rStyle w:val="MdStrong"/>
          <w:b/>
          <w:bCs/>
        </w:rPr>
        <w:t xml:space="preserve">Visible Focus Indicators:</w:t>
      </w:r>
      <w:r>
        <w:t xml:space="preserve"> A clear and visible focus state will be provided for all interactive elements.</w:t>
      </w:r>
    </w:p>
    <w:p>
      <w:pPr>
        <w:pStyle w:val="MdListItem"/>
        <w:numPr>
          <w:ilvl w:val="0"/>
          <w:numId w:val="2"/>
        </w:numPr>
      </w:pPr>
      <w:r>
        <w:rPr>
          <w:rStyle w:val="MdStrong"/>
          <w:b/>
          <w:bCs/>
        </w:rPr>
        <w:t xml:space="preserve">Respect for Reduced Motion:</w:t>
      </w:r>
      <w:r>
        <w:t xml:space="preserve"> All non-essential animations will be disabled for users who have enabled the </w:t>
      </w:r>
      <w:r>
        <w:rPr>
          <w:rStyle w:val="MdCode"/>
          <w:u w:val="single"/>
        </w:rPr>
        <w:t xml:space="preserve">prefers-reduced-motion</w:t>
      </w:r>
      <w:r>
        <w:t xml:space="preserve"> system preference.</w:t>
      </w:r>
    </w:p>
    <w:p>
      <w:pPr>
        <w:pStyle w:val="MdSpace"/>
        <w:spacing w:before="0" w:after="60"/>
      </w:pPr>
    </w:p>
    <w:p>
      <w:pPr>
        <w:pStyle w:val="Heading3"/>
        <w:pStyle w:val="MdHeading3"/>
      </w:pPr>
      <w:r>
        <w:t xml:space="preserve">Dark/Light Mode</w:t>
      </w:r>
    </w:p>
    <w:p>
      <w:pPr>
        <w:pStyle w:val="MdParagraph"/>
      </w:pPr>
      <w:r>
        <w:t xml:space="preserve">Both dark and light modes will be fully supported. We will use DaisyUI themes to manage the color schemes efficiently. The application will automatically detect the user's system preference on their first visit and provide a user-selectable toggle to switch between modes at any time.</w:t>
      </w:r>
    </w:p>
    <w:p>
      <w:pPr>
        <w:pStyle w:val="MdSpace"/>
        <w:spacing w:before="0" w:after="60"/>
      </w:pPr>
    </w:p>
    <w:p>
      <w:pPr>
        <w:pStyle w:val="Heading2"/>
        <w:pStyle w:val="MdHeading2"/>
      </w:pPr>
      <w:r>
        <w:t xml:space="preserve">Implementation Guidelines (Contribution led by the Lead Front-End Developer)</w:t>
      </w:r>
    </w:p>
    <w:p>
      <w:pPr>
        <w:pStyle w:val="Heading3"/>
        <w:pStyle w:val="MdHeading3"/>
      </w:pPr>
      <w:r>
        <w:t xml:space="preserve">CSS Framework</w:t>
      </w:r>
    </w:p>
    <w:p>
      <w:pPr>
        <w:pStyle w:val="MdListItem"/>
        <w:numPr>
          <w:ilvl w:val="0"/>
          <w:numId w:val="2"/>
        </w:numPr>
      </w:pPr>
      <w:r>
        <w:rPr>
          <w:rStyle w:val="MdStrong"/>
          <w:b/>
          <w:bCs/>
        </w:rPr>
        <w:t xml:space="preserve">Tailwind CSS:</w:t>
      </w:r>
      <w:r>
        <w:t xml:space="preserve"> Will be used as the primary, utility-first CSS framework to enable rapid and consistent styling.</w:t>
      </w:r>
    </w:p>
    <w:p>
      <w:pPr>
        <w:pStyle w:val="MdListItem"/>
        <w:numPr>
          <w:ilvl w:val="0"/>
          <w:numId w:val="2"/>
        </w:numPr>
      </w:pPr>
      <w:r>
        <w:rPr>
          <w:rStyle w:val="MdStrong"/>
          <w:b/>
          <w:bCs/>
        </w:rPr>
        <w:t xml:space="preserve">DaisyUI:</w:t>
      </w:r>
      <w:r>
        <w:t xml:space="preserve"> Will be used as a Tailwind CSS plugin to provide a base set of accessible, themeable components, accelerating development.</w:t>
      </w:r>
    </w:p>
    <w:p>
      <w:pPr>
        <w:pStyle w:val="MdListItem"/>
        <w:numPr>
          <w:ilvl w:val="0"/>
          <w:numId w:val="2"/>
        </w:numPr>
      </w:pPr>
      <w:r>
        <w:rPr>
          <w:rStyle w:val="MdStrong"/>
          <w:b/>
          <w:bCs/>
        </w:rPr>
        <w:t xml:space="preserve">Custom Utilities:</w:t>
      </w:r>
      <w:r>
        <w:t xml:space="preserve"> A dedicated file (</w:t>
      </w:r>
      <w:r>
        <w:rPr>
          <w:rStyle w:val="MdCode"/>
          <w:u w:val="single"/>
        </w:rPr>
        <w:t xml:space="preserve">src/styles/utilities.css</w:t>
      </w:r>
      <w:r>
        <w:t xml:space="preserve">) will be maintained for any highly specific, reusable utility classes that are not covered by the core frameworks.</w:t>
      </w:r>
    </w:p>
    <w:p>
      <w:pPr>
        <w:pStyle w:val="MdSpace"/>
        <w:spacing w:before="0" w:after="60"/>
      </w:pPr>
    </w:p>
    <w:p>
      <w:pPr>
        <w:pStyle w:val="Heading3"/>
        <w:pStyle w:val="MdHeading3"/>
      </w:pPr>
      <w:r>
        <w:t xml:space="preserve">Animation Library</w:t>
      </w:r>
    </w:p>
    <w:p>
      <w:pPr>
        <w:pStyle w:val="MdListItem"/>
        <w:numPr>
          <w:ilvl w:val="0"/>
          <w:numId w:val="2"/>
        </w:numPr>
      </w:pPr>
      <w:r>
        <w:rPr>
          <w:rStyle w:val="MdStrong"/>
          <w:b/>
          <w:bCs/>
        </w:rPr>
        <w:t xml:space="preserve">Framer Motion:</w:t>
      </w:r>
      <w:r>
        <w:t xml:space="preserve"> Will be the primary library for complex, state-based animations and page transitions, providing a powerful and declarative API.</w:t>
      </w:r>
    </w:p>
    <w:p>
      <w:pPr>
        <w:pStyle w:val="MdListItem"/>
        <w:numPr>
          <w:ilvl w:val="0"/>
          <w:numId w:val="2"/>
        </w:numPr>
      </w:pPr>
      <w:r>
        <w:rPr>
          <w:rStyle w:val="MdStrong"/>
          <w:b/>
          <w:bCs/>
        </w:rPr>
        <w:t xml:space="preserve">Tailwind Animations:</w:t>
      </w:r>
      <w:r>
        <w:t xml:space="preserve"> Will be used for simpler, class-based animations like button hovers, spins, and fades.</w:t>
      </w:r>
    </w:p>
    <w:p>
      <w:pPr>
        <w:pStyle w:val="MdSpace"/>
        <w:spacing w:before="0" w:after="60"/>
      </w:pPr>
    </w:p>
    <w:p>
      <w:pPr>
        <w:pStyle w:val="Heading3"/>
        <w:pStyle w:val="MdHeading3"/>
      </w:pPr>
      <w:r>
        <w:t xml:space="preserve">Icon System</w:t>
      </w:r>
    </w:p>
    <w:p>
      <w:pPr>
        <w:pStyle w:val="MdListItem"/>
        <w:numPr>
          <w:ilvl w:val="0"/>
          <w:numId w:val="2"/>
        </w:numPr>
      </w:pPr>
      <w:r>
        <w:rPr>
          <w:rStyle w:val="MdStrong"/>
          <w:b/>
          <w:bCs/>
        </w:rPr>
        <w:t xml:space="preserve">Heroicons:</w:t>
      </w:r>
      <w:r>
        <w:t xml:space="preserve"> The comprehensive Heroicons library will be our standard icon set, offering a clean, professional aesthetic in both solid and outline styles.</w:t>
      </w:r>
    </w:p>
    <w:p>
      <w:pPr>
        <w:pStyle w:val="MdListItem"/>
        <w:numPr>
          <w:ilvl w:val="0"/>
          <w:numId w:val="2"/>
        </w:numPr>
      </w:pPr>
      <w:r>
        <w:rPr>
          <w:rStyle w:val="MdStrong"/>
          <w:b/>
          <w:bCs/>
        </w:rPr>
        <w:t xml:space="preserve">Custom SVGs:</w:t>
      </w:r>
      <w:r>
        <w:t xml:space="preserve"> For any unique icons not found in Heroicons (e.g., the company logo), optimized SVGs will be created and managed as React components.</w:t>
      </w:r>
    </w:p>
    <w:p>
      <w:pPr>
        <w:pStyle w:val="MdSpace"/>
        <w:spacing w:before="0" w:after="60"/>
      </w:pPr>
    </w:p>
    <w:p>
      <w:pPr>
        <w:pStyle w:val="Heading3"/>
        <w:pStyle w:val="MdHeading3"/>
      </w:pPr>
      <w:r>
        <w:t xml:space="preserve">Asset Management</w:t>
      </w:r>
    </w:p>
    <w:p>
      <w:pPr>
        <w:pStyle w:val="MdListItem"/>
        <w:numPr>
          <w:ilvl w:val="0"/>
          <w:numId w:val="2"/>
        </w:numPr>
      </w:pPr>
      <w:r>
        <w:rPr>
          <w:rStyle w:val="MdStrong"/>
          <w:b/>
          <w:bCs/>
        </w:rPr>
        <w:t xml:space="preserve">Icons:</w:t>
      </w:r>
      <w:r>
        <w:t xml:space="preserve"> SVG</w:t>
      </w:r>
    </w:p>
    <w:p>
      <w:pPr>
        <w:pStyle w:val="MdListItem"/>
        <w:numPr>
          <w:ilvl w:val="0"/>
          <w:numId w:val="2"/>
        </w:numPr>
      </w:pPr>
      <w:r>
        <w:rPr>
          <w:rStyle w:val="MdStrong"/>
          <w:b/>
          <w:bCs/>
        </w:rPr>
        <w:t xml:space="preserve">Images:</w:t>
      </w:r>
      <w:r>
        <w:t xml:space="preserve"> WebP (with fallback to PNG/JPEG for older browsers)</w:t>
      </w:r>
    </w:p>
    <w:p>
      <w:pPr>
        <w:pStyle w:val="MdListItem"/>
        <w:numPr>
          <w:ilvl w:val="0"/>
          <w:numId w:val="2"/>
        </w:numPr>
      </w:pPr>
      <w:r>
        <w:rPr>
          <w:rStyle w:val="MdStrong"/>
          <w:b/>
          <w:bCs/>
        </w:rPr>
        <w:t xml:space="preserve">Video:</w:t>
      </w:r>
      <w:r>
        <w:t xml:space="preserve"> MP4 / WebM</w:t>
      </w:r>
    </w:p>
    <w:p>
      <w:pPr>
        <w:pStyle w:val="MdSpace"/>
        <w:spacing w:before="0" w:after="60"/>
      </w:pPr>
    </w:p>
    <w:p>
      <w:pPr>
        <w:pStyle w:val="Heading3"/>
        <w:pStyle w:val="MdHeading3"/>
      </w:pPr>
      <w:r>
        <w:t xml:space="preserve">Code Structure</w:t>
      </w:r>
    </w:p>
    <w:p>
      <w:pPr>
        <w:pStyle w:val="MdListItem"/>
        <w:numPr>
          <w:ilvl w:val="0"/>
          <w:numId w:val="2"/>
        </w:numPr>
      </w:pPr>
      <w:r>
        <w:rPr>
          <w:rStyle w:val="MdStrong"/>
          <w:b/>
          <w:bCs/>
        </w:rPr>
        <w:t xml:space="preserve">Component-Based Architecture:</w:t>
      </w:r>
      <w:r>
        <w:t xml:space="preserve"> The application will be built using a strict component-based structure, with clear separation of concerns.</w:t>
      </w:r>
    </w:p>
    <w:p>
      <w:pPr>
        <w:pStyle w:val="MdListItem"/>
        <w:numPr>
          <w:ilvl w:val="0"/>
          <w:numId w:val="2"/>
        </w:numPr>
      </w:pPr>
      <w:r>
        <w:rPr>
          <w:rStyle w:val="MdStrong"/>
          <w:b/>
          <w:bCs/>
        </w:rPr>
        <w:t xml:space="preserve">Utility-First CSS:</w:t>
      </w:r>
      <w:r>
        <w:t xml:space="preserve"> Styles will be applied primarily through utility classes in the HTML, avoiding custom CSS files for individual components.</w:t>
      </w:r>
    </w:p>
    <w:p>
      <w:pPr>
        <w:pStyle w:val="MdListItem"/>
        <w:numPr>
          <w:ilvl w:val="0"/>
          <w:numId w:val="2"/>
        </w:numPr>
      </w:pPr>
      <w:r>
        <w:rPr>
          <w:rStyle w:val="MdStrong"/>
          <w:b/>
          <w:bCs/>
        </w:rPr>
        <w:t xml:space="preserve">Responsive Variants:</w:t>
      </w:r>
      <w:r>
        <w:t xml:space="preserve"> Responsive design will be handled using Tailwind’s built-in responsive prefixes (</w:t>
      </w:r>
      <w:r>
        <w:rPr>
          <w:rStyle w:val="MdCode"/>
          <w:u w:val="single"/>
        </w:rPr>
        <w:t xml:space="preserve">sm:</w:t>
      </w:r>
      <w:r>
        <w:t xml:space="preserve">, </w:t>
      </w:r>
      <w:r>
        <w:rPr>
          <w:rStyle w:val="MdCode"/>
          <w:u w:val="single"/>
        </w:rPr>
        <w:t xml:space="preserve">md:</w:t>
      </w:r>
      <w:r>
        <w:t xml:space="preserve">, </w:t>
      </w:r>
      <w:r>
        <w:rPr>
          <w:rStyle w:val="MdCode"/>
          <w:u w:val="single"/>
        </w:rPr>
        <w:t xml:space="preserve">lg:</w:t>
      </w:r>
      <w:r>
        <w:t xml:space="preserve">).</w:t>
      </w:r>
    </w:p>
    <w:p>
      <w:pPr>
        <w:pStyle w:val="MdSpace"/>
        <w:spacing w:before="0" w:after="60"/>
      </w:pPr>
    </w:p>
    <w:p>
      <w:pPr>
        <w:pStyle w:val="Heading2"/>
        <w:pStyle w:val="MdHeading2"/>
      </w:pPr>
      <w:r>
        <w:t xml:space="preserve">Design Tokens</w:t>
      </w:r>
    </w:p>
    <w:p>
      <w:pPr>
        <w:pStyle w:val="MdCode"/>
        <w:pBdr>
          <w:top w:val="single" w:color="E1E4E8" w:sz="1" w:space="8"/>
          <w:left w:val="single" w:color="E1E4E8" w:sz="1" w:space="8"/>
          <w:right w:val="single" w:color="E1E4E8" w:sz="1" w:space="8"/>
        </w:pBdr>
        <w:shd w:fill="F6F8FA"/>
        <w:spacing w:before="12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05CC5"/>
          <w:sz w:val="20"/>
          <w:szCs w:val="20"/>
        </w:rPr>
        <w:t xml:space="preserve">"colors"</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05CC5"/>
          <w:sz w:val="20"/>
          <w:szCs w:val="20"/>
        </w:rPr>
        <w:t xml:space="preserve">"primary"</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05CC5"/>
          <w:sz w:val="20"/>
          <w:szCs w:val="20"/>
        </w:rPr>
        <w:t xml:space="preserve">"forest"</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"#004d40"</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05CC5"/>
          <w:sz w:val="20"/>
          <w:szCs w:val="20"/>
        </w:rPr>
        <w:t xml:space="preserve">"teal"</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"#00695c"</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05CC5"/>
          <w:sz w:val="20"/>
          <w:szCs w:val="20"/>
        </w:rPr>
        <w:t xml:space="preserve">"ocean"</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"#00897b"</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05CC5"/>
          <w:sz w:val="20"/>
          <w:szCs w:val="20"/>
        </w:rPr>
        <w:t xml:space="preserve">"seafoam"</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"#009688"</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05CC5"/>
          <w:sz w:val="20"/>
          <w:szCs w:val="20"/>
        </w:rPr>
        <w:t xml:space="preserve">"aqua"</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"#26a69a"</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05CC5"/>
          <w:sz w:val="20"/>
          <w:szCs w:val="20"/>
        </w:rPr>
        <w:t xml:space="preserve">"coastal"</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"#4db6ac"</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05CC5"/>
          <w:sz w:val="20"/>
          <w:szCs w:val="20"/>
        </w:rPr>
        <w:t xml:space="preserve">"sky"</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"#80cbc4"</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05CC5"/>
          <w:sz w:val="20"/>
          <w:szCs w:val="20"/>
        </w:rPr>
        <w:t xml:space="preserve">"neutral"</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05CC5"/>
          <w:sz w:val="20"/>
          <w:szCs w:val="20"/>
        </w:rPr>
        <w:t xml:space="preserve">"dark-blue"</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"#1A202C"</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05CC5"/>
          <w:sz w:val="20"/>
          <w:szCs w:val="20"/>
        </w:rPr>
        <w:t xml:space="preserve">"medium-gray"</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"#718096"</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05CC5"/>
          <w:sz w:val="20"/>
          <w:szCs w:val="20"/>
        </w:rPr>
        <w:t xml:space="preserve">"light-gray"</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"#F7FAFC"</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05CC5"/>
          <w:sz w:val="20"/>
          <w:szCs w:val="20"/>
        </w:rPr>
        <w:t xml:space="preserve">"white"</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"#FFFFFF"</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05CC5"/>
          <w:sz w:val="20"/>
          <w:szCs w:val="20"/>
        </w:rPr>
        <w:t xml:space="preserve">"black"</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"#000000"</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05CC5"/>
          <w:sz w:val="20"/>
          <w:szCs w:val="20"/>
        </w:rPr>
        <w:t xml:space="preserve">"functional"</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05CC5"/>
          <w:sz w:val="20"/>
          <w:szCs w:val="20"/>
        </w:rPr>
        <w:t xml:space="preserve">"success"</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"#48BB78"</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05CC5"/>
          <w:sz w:val="20"/>
          <w:szCs w:val="20"/>
        </w:rPr>
        <w:t xml:space="preserve">"warning"</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"#F59E0B"</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05CC5"/>
          <w:sz w:val="20"/>
          <w:szCs w:val="20"/>
        </w:rPr>
        <w:t xml:space="preserve">"error"</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"#F56565"</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05CC5"/>
          <w:sz w:val="20"/>
          <w:szCs w:val="20"/>
        </w:rPr>
        <w:t xml:space="preserve">"info"</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"#4299E1"</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05CC5"/>
          <w:sz w:val="20"/>
          <w:szCs w:val="20"/>
        </w:rPr>
        <w:t xml:space="preserve">"typography"</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05CC5"/>
          <w:sz w:val="20"/>
          <w:szCs w:val="20"/>
        </w:rPr>
        <w:t xml:space="preserve">"fontFamily"</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05CC5"/>
          <w:sz w:val="20"/>
          <w:szCs w:val="20"/>
        </w:rPr>
        <w:t xml:space="preserve">"primary"</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"Inter, sans-serif"</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05CC5"/>
          <w:sz w:val="20"/>
          <w:szCs w:val="20"/>
        </w:rPr>
        <w:t xml:space="preserve">"secondary"</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"DM Serif Display, serif"</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05CC5"/>
          <w:sz w:val="20"/>
          <w:szCs w:val="20"/>
        </w:rPr>
        <w:t xml:space="preserve">"spacing"</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05CC5"/>
          <w:sz w:val="20"/>
          <w:szCs w:val="20"/>
        </w:rPr>
        <w:t xml:space="preserve">"xs"</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"0.25rem"</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05CC5"/>
          <w:sz w:val="20"/>
          <w:szCs w:val="20"/>
        </w:rPr>
        <w:t xml:space="preserve">"sm"</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"0.5rem"</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05CC5"/>
          <w:sz w:val="20"/>
          <w:szCs w:val="20"/>
        </w:rPr>
        <w:t xml:space="preserve">"md"</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"1rem"</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05CC5"/>
          <w:sz w:val="20"/>
          <w:szCs w:val="20"/>
        </w:rPr>
        <w:t xml:space="preserve">"lg"</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"1.5rem"</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05CC5"/>
          <w:sz w:val="20"/>
          <w:szCs w:val="20"/>
        </w:rPr>
        <w:t xml:space="preserve">"xl"</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"2rem"</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05CC5"/>
          <w:sz w:val="20"/>
          <w:szCs w:val="20"/>
        </w:rPr>
        <w:t xml:space="preserve">"2xl"</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"3rem"</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05CC5"/>
          <w:sz w:val="20"/>
          <w:szCs w:val="20"/>
        </w:rPr>
        <w:t xml:space="preserve">"3xl"</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"4rem"</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05CC5"/>
          <w:sz w:val="20"/>
          <w:szCs w:val="20"/>
        </w:rPr>
        <w:t xml:space="preserve">"borderRadius"</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05CC5"/>
          <w:sz w:val="20"/>
          <w:szCs w:val="20"/>
        </w:rPr>
        <w:t xml:space="preserve">"sm"</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"0.125rem"</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05CC5"/>
          <w:sz w:val="20"/>
          <w:szCs w:val="20"/>
        </w:rPr>
        <w:t xml:space="preserve">"md"</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"0.25rem"</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05CC5"/>
          <w:sz w:val="20"/>
          <w:szCs w:val="20"/>
        </w:rPr>
        <w:t xml:space="preserve">"lg"</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"0.5rem"</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05CC5"/>
          <w:sz w:val="20"/>
          <w:szCs w:val="20"/>
        </w:rPr>
        <w:t xml:space="preserve">"xl"</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"1rem"</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05CC5"/>
          <w:sz w:val="20"/>
          <w:szCs w:val="20"/>
        </w:rPr>
        <w:t xml:space="preserve">"full"</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"9999px"</w:t>
      </w:r>
    </w:p>
    <w:p>
      <w:pPr>
        <w:pStyle w:val="MdCode"/>
        <w:pBdr>
          <w:left w:val="single" w:color="E1E4E8" w:sz="1" w:space="8"/>
          <w:right w:val="single" w:color="E1E4E8" w:sz="1" w:space="8"/>
        </w:pBdr>
        <w:shd w:fill="F6F8FA"/>
        <w:spacing w:before="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p>
    <w:p>
      <w:pPr>
        <w:pStyle w:val="MdCode"/>
        <w:pBdr>
          <w:bottom w:val="single" w:color="E1E4E8" w:sz="1" w:space="8"/>
          <w:left w:val="single" w:color="E1E4E8" w:sz="1" w:space="8"/>
          <w:right w:val="single" w:color="E1E4E8" w:sz="1" w:space="8"/>
        </w:pBdr>
        <w:shd w:fill="F6F8FA"/>
        <w:spacing w:before="0" w:after="120" w:line="276"/>
        <w:ind w:left="360"/>
      </w:pP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w:t>
      </w:r>
    </w:p>
    <w:p>
      <w:pPr>
        <w:pStyle w:val="MdSpace"/>
        <w:spacing w:before="0" w:after="60"/>
      </w:pP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left"/>
      <w:pPr>
        <w:ind w:left="720" w:hanging="360"/>
      </w:pPr>
    </w:lvl>
    <w:lvl w:ilvl="1" w15:tentative="1">
      <w:start w:val="1"/>
      <w:numFmt w:val="decimal"/>
      <w:lvlText w:val="%1.%2"/>
      <w:lvlJc w:val="left"/>
      <w:pPr>
        <w:ind w:left="1440" w:hanging="360"/>
      </w:pPr>
    </w:lvl>
    <w:lvl w:ilvl="2" w15:tentative="1">
      <w:start w:val="1"/>
      <w:numFmt w:val="decimal"/>
      <w:lvlText w:val="%1.%2.%3"/>
      <w:lvlJc w:val="left"/>
      <w:pPr>
        <w:ind w:left="2160" w:hanging="360"/>
      </w:pPr>
    </w:lvl>
    <w:lvl w:ilvl="3" w15:tentative="1">
      <w:start w:val="1"/>
      <w:numFmt w:val="decimal"/>
      <w:lvlText w:val="%4)"/>
      <w:lvlJc w:val="left"/>
      <w:pPr>
        <w:ind w:left="2880" w:hanging="360"/>
      </w:pPr>
    </w:lvl>
    <w:lvl w:ilvl="4" w15:tentative="1">
      <w:start w:val="1"/>
      <w:numFmt w:val="decimal"/>
      <w:lvlText w:val="%5)"/>
      <w:lvlJc w:val="left"/>
      <w:pPr>
        <w:ind w:left="3600" w:hanging="360"/>
      </w:pPr>
    </w:lvl>
    <w:lvl w:ilvl="5" w15:tentative="1">
      <w:start w:val="1"/>
      <w:numFmt w:val="decimal"/>
      <w:lvlText w:val="%6)"/>
      <w:lvlJc w:val="left"/>
      <w:pPr>
        <w:ind w:left="4320" w:hanging="360"/>
      </w:pPr>
    </w:lvl>
    <w:lvl w:ilvl="6" w15:tentative="1">
      <w:start w:val="1"/>
      <w:numFmt w:val="decimal"/>
      <w:lvlText w:val="%7)"/>
      <w:lvlJc w:val="left"/>
      <w:pPr>
        <w:ind w:left="5040" w:hanging="360"/>
      </w:pPr>
    </w:lvl>
    <w:lvl w:ilvl="7" w15:tentative="1">
      <w:start w:val="1"/>
      <w:numFmt w:val="decimal"/>
      <w:lvlText w:val="%8)"/>
      <w:lvlJc w:val="left"/>
      <w:pPr>
        <w:ind w:left="5760" w:hanging="360"/>
      </w:pPr>
    </w:lvl>
    <w:lvl w:ilvl="8" w15:tentative="1">
      <w:start w:val="1"/>
      <w:numFmt w:val="decimal"/>
      <w:lvlText w:val="%9)"/>
      <w:lvlJc w:val="left"/>
      <w:pPr>
        <w:ind w:left="6480" w:hanging="360"/>
      </w:pPr>
    </w:lvl>
  </w:abstractNum>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abstractNum>
  <w:num w:numId="1">
    <w:abstractNumId w:val="1"/>
    <w:lvlOverride w:ilvl="0">
      <w:startOverride w:val="1"/>
    </w:lvlOverride>
  </w:num>
  <w:num w:numId="2">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4"/>
        <w:szCs w:val="24"/>
      </w:rPr>
    </w:rPrDefault>
    <w:pPrDefault>
      <w:pPr>
        <w:spacing w:lineRule="auto"/>
      </w:pPr>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color="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MdSpace">
    <w:name w:val="MdSpace"/>
    <w:basedOn w:val="Normal"/>
    <w:next w:val="Normal"/>
    <w:qFormat/>
    <w:pPr>
      <w:spacing w:before="0" w:after="0"/>
    </w:pPr>
    <w:rPr>
      <w:sz w:val="12"/>
      <w:szCs w:val="12"/>
    </w:rPr>
  </w:style>
  <w:style w:type="paragraph" w:styleId="MdCode">
    <w:name w:val="MdCode"/>
    <w:basedOn w:val="Normal"/>
    <w:next w:val="Normal"/>
    <w:qFormat/>
    <w:pPr>
      <w:pBdr>
        <w:top w:val="single" w:color="A5A5A5" w:sz="1" w:space="8"/>
        <w:bottom w:val="single" w:color="A5A5A5" w:sz="1" w:space="8"/>
        <w:left w:val="single" w:color="A5A5A5" w:sz="1" w:space="8"/>
        <w:right w:val="single" w:color="A5A5A5" w:sz="1" w:space="8"/>
      </w:pBdr>
      <w:spacing w:before="200" w:after="200"/>
    </w:pPr>
    <w:rPr>
      <w:rFonts w:ascii="Courier New" w:cs="Courier New" w:eastAsia="Courier New" w:hAnsi="Courier New"/>
      <w:color w:val="70AD47"/>
      <w:sz w:val="22"/>
      <w:szCs w:val="22"/>
    </w:rPr>
  </w:style>
  <w:style w:type="paragraph" w:styleId="MdHr">
    <w:name w:val="MdHr"/>
    <w:basedOn w:val="Normal"/>
    <w:next w:val="Normal"/>
    <w:qFormat/>
    <w:pPr>
      <w:pBdr>
        <w:bottom w:val="single" w:color="A5A5A5" w:sz="1" w:space="1"/>
      </w:pBdr>
      <w:spacing w:before="240" w:after="240"/>
    </w:pPr>
  </w:style>
  <w:style w:type="paragraph" w:styleId="MdBlockquote">
    <w:name w:val="MdBlockquote"/>
    <w:basedOn w:val="Normal"/>
    <w:next w:val="Normal"/>
    <w:qFormat/>
    <w:pPr>
      <w:pBdr>
        <w:left w:val="single" w:color="A5A5A5" w:sz="20" w:space="12"/>
      </w:pBdr>
      <w:spacing w:before="200" w:after="200"/>
      <w:ind w:left="360"/>
    </w:pPr>
    <w:rPr>
      <w:i/>
      <w:iCs/>
      <w:color w:val="666666"/>
    </w:rPr>
  </w:style>
  <w:style w:type="paragraph" w:styleId="MdHtml">
    <w:name w:val="MdHtml"/>
    <w:basedOn w:val="Normal"/>
    <w:next w:val="Normal"/>
    <w:qFormat/>
    <w:rPr>
      <w:rFonts w:ascii="Courier New" w:cs="Courier New" w:eastAsia="Courier New" w:hAnsi="Courier New"/>
      <w:color w:val="ED7D31"/>
    </w:rPr>
  </w:style>
  <w:style w:type="paragraph" w:styleId="MdDef">
    <w:name w:val="MdDef"/>
    <w:basedOn w:val="Normal"/>
    <w:next w:val="Normal"/>
    <w:qFormat/>
    <w:pPr>
      <w:ind w:left="720" w:hanging="360"/>
    </w:pPr>
  </w:style>
  <w:style w:type="paragraph" w:styleId="MdParagraph">
    <w:name w:val="MdParagraph"/>
    <w:basedOn w:val="Normal"/>
    <w:next w:val="Normal"/>
    <w:qFormat/>
    <w:pPr>
      <w:spacing w:before="120" w:after="120"/>
    </w:pPr>
  </w:style>
  <w:style w:type="paragraph" w:styleId="MdText">
    <w:name w:val="MdText"/>
    <w:basedOn w:val="Normal"/>
    <w:next w:val="Normal"/>
    <w:qFormat/>
  </w:style>
  <w:style w:type="paragraph" w:styleId="MdFootnote">
    <w:name w:val="MdFootnote"/>
    <w:basedOn w:val="Normal"/>
    <w:next w:val="Normal"/>
    <w:qFormat/>
    <w:rPr>
      <w:vertAlign w:val="superscript"/>
    </w:rPr>
  </w:style>
  <w:style w:type="paragraph" w:styleId="MdListItem">
    <w:name w:val="MdListItem"/>
    <w:basedOn w:val="Normal"/>
    <w:next w:val="Normal"/>
    <w:qFormat/>
    <w:pPr>
      <w:spacing w:before="60" w:after="60"/>
      <w:ind w:left="720" w:hanging="360"/>
    </w:pPr>
  </w:style>
  <w:style w:type="paragraph" w:styleId="MdTable">
    <w:name w:val="MdTable"/>
    <w:basedOn w:val="Normal"/>
    <w:next w:val="Normal"/>
    <w:qFormat/>
    <w:pPr>
      <w:spacing w:before="60" w:after="60"/>
    </w:pPr>
  </w:style>
  <w:style w:type="paragraph" w:styleId="MdTableHeader">
    <w:name w:val="MdTableHeader"/>
    <w:basedOn w:val="Normal"/>
    <w:next w:val="Normal"/>
    <w:qFormat/>
    <w:pPr>
      <w:spacing w:before="60" w:after="60"/>
    </w:pPr>
    <w:rPr>
      <w:b/>
      <w:bCs/>
      <w:sz w:val="22"/>
      <w:szCs w:val="22"/>
    </w:rPr>
  </w:style>
  <w:style w:type="paragraph" w:styleId="MdTableCell">
    <w:name w:val="MdTableCell"/>
    <w:basedOn w:val="Normal"/>
    <w:next w:val="Normal"/>
    <w:qFormat/>
    <w:pPr>
      <w:spacing w:before="40" w:after="40"/>
    </w:pPr>
    <w:rPr>
      <w:sz w:val="20"/>
      <w:szCs w:val="20"/>
    </w:rPr>
  </w:style>
  <w:style w:type="paragraph" w:styleId="MdHeading1">
    <w:name w:val="MdHeading1"/>
    <w:basedOn w:val="Normal"/>
    <w:next w:val="Normal"/>
    <w:qFormat/>
    <w:pPr>
      <w:keepNext/>
      <w:spacing w:before="480" w:after="240"/>
      <w:outlineLvl w:val="0"/>
    </w:pPr>
    <w:rPr>
      <w:b/>
      <w:bCs/>
      <w:sz w:val="36"/>
      <w:szCs w:val="36"/>
    </w:rPr>
  </w:style>
  <w:style w:type="paragraph" w:styleId="MdHeading2">
    <w:name w:val="MdHeading2"/>
    <w:basedOn w:val="Normal"/>
    <w:next w:val="Normal"/>
    <w:qFormat/>
    <w:pPr>
      <w:keepNext/>
      <w:spacing w:before="400" w:after="200"/>
      <w:outlineLvl w:val="1"/>
    </w:pPr>
    <w:rPr>
      <w:b/>
      <w:bCs/>
      <w:sz w:val="32"/>
      <w:szCs w:val="32"/>
    </w:rPr>
  </w:style>
  <w:style w:type="paragraph" w:styleId="MdHeading3">
    <w:name w:val="MdHeading3"/>
    <w:basedOn w:val="Normal"/>
    <w:next w:val="Normal"/>
    <w:qFormat/>
    <w:pPr>
      <w:keepNext/>
      <w:spacing w:before="320" w:after="160"/>
      <w:outlineLvl w:val="2"/>
    </w:pPr>
    <w:rPr>
      <w:b/>
      <w:bCs/>
      <w:sz w:val="28"/>
      <w:szCs w:val="28"/>
    </w:rPr>
  </w:style>
  <w:style w:type="paragraph" w:styleId="MdHeading4">
    <w:name w:val="MdHeading4"/>
    <w:basedOn w:val="Normal"/>
    <w:next w:val="Normal"/>
    <w:qFormat/>
    <w:pPr>
      <w:keepNext/>
      <w:spacing w:before="280" w:after="140"/>
      <w:outlineLvl w:val="3"/>
    </w:pPr>
    <w:rPr>
      <w:b/>
      <w:bCs/>
      <w:sz w:val="26"/>
      <w:szCs w:val="26"/>
    </w:rPr>
  </w:style>
  <w:style w:type="paragraph" w:styleId="MdHeading5">
    <w:name w:val="MdHeading5"/>
    <w:basedOn w:val="Normal"/>
    <w:next w:val="Normal"/>
    <w:qFormat/>
    <w:pPr>
      <w:keepNext/>
      <w:spacing w:before="240" w:after="120"/>
      <w:outlineLvl w:val="4"/>
    </w:pPr>
    <w:rPr>
      <w:b/>
      <w:bCs/>
      <w:i/>
      <w:iCs/>
      <w:sz w:val="24"/>
      <w:szCs w:val="24"/>
    </w:rPr>
  </w:style>
  <w:style w:type="paragraph" w:styleId="MdHeading6">
    <w:name w:val="MdHeading6"/>
    <w:basedOn w:val="Normal"/>
    <w:next w:val="Normal"/>
    <w:qFormat/>
    <w:pPr>
      <w:keepNext/>
      <w:spacing w:before="240" w:after="120"/>
      <w:outlineLvl w:val="5"/>
    </w:pPr>
    <w:rPr>
      <w:b w:val="false"/>
      <w:bCs w:val="false"/>
      <w:i/>
      <w:iCs/>
      <w:sz w:val="24"/>
      <w:szCs w:val="24"/>
    </w:rPr>
  </w:style>
  <w:style w:type="character" w:styleId="MdTag">
    <w:name w:val="MdTag"/>
    <w:basedOn w:val="Normal"/>
    <w:next w:val="Normal"/>
    <w:uiPriority w:val="99"/>
    <w:unhideWhenUsed/>
    <w:qFormat/>
    <w:rPr>
      <w:rFonts w:ascii="Courier New" w:cs="Courier New" w:eastAsia="Courier New" w:hAnsi="Courier New"/>
      <w:color w:val="ED7D31"/>
    </w:rPr>
  </w:style>
  <w:style w:type="character" w:styleId="MdLink">
    <w:name w:val="MdLink"/>
    <w:basedOn w:val="Normal"/>
    <w:next w:val="Normal"/>
    <w:uiPriority w:val="99"/>
    <w:unhideWhenUsed/>
    <w:qFormat/>
    <w:rPr>
      <w:color w:val="0563C1"/>
      <w:u w:val="single"/>
    </w:rPr>
  </w:style>
  <w:style w:type="character" w:styleId="MdStrong">
    <w:name w:val="MdStrong"/>
    <w:basedOn w:val="Normal"/>
    <w:next w:val="Normal"/>
    <w:uiPriority w:val="99"/>
    <w:unhideWhenUsed/>
    <w:qFormat/>
    <w:rPr>
      <w:b/>
      <w:bCs/>
    </w:rPr>
  </w:style>
  <w:style w:type="character" w:styleId="MdEm">
    <w:name w:val="MdEm"/>
    <w:basedOn w:val="Normal"/>
    <w:next w:val="Normal"/>
    <w:uiPriority w:val="99"/>
    <w:unhideWhenUsed/>
    <w:qFormat/>
    <w:rPr>
      <w:i/>
      <w:iCs/>
    </w:rPr>
  </w:style>
  <w:style w:type="character" w:styleId="MdCodespan">
    <w:name w:val="MdCodespan"/>
    <w:basedOn w:val="Normal"/>
    <w:next w:val="Normal"/>
    <w:uiPriority w:val="99"/>
    <w:unhideWhenUsed/>
    <w:qFormat/>
    <w:rPr>
      <w:rFonts w:ascii="Courier New" w:cs="Courier New" w:eastAsia="Courier New" w:hAnsi="Courier New"/>
      <w:color w:val="70AD47"/>
    </w:rPr>
  </w:style>
  <w:style w:type="character" w:styleId="MdDel">
    <w:name w:val="MdDel"/>
    <w:basedOn w:val="Normal"/>
    <w:next w:val="Normal"/>
    <w:uiPriority w:val="99"/>
    <w:unhideWhenUsed/>
    <w:qFormat/>
    <w:rPr>
      <w:strike/>
    </w:rPr>
  </w:style>
  <w:style w:type="character" w:styleId="MdBr">
    <w:name w:val="MdBr"/>
    <w:basedOn w:val="Normal"/>
    <w:next w:val="Normal"/>
    <w:uiPriority w:val="99"/>
    <w:unhideWhenUsed/>
    <w:qFormat/>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Converted Document</dc:title>
  <dc:creator>md2docx converter</dc:creator>
  <dc:description>Converted from Markdown</dc:description>
  <cp:lastModifiedBy>Un-named</cp:lastModifiedBy>
  <cp:revision>1</cp:revision>
  <dcterms:created xsi:type="dcterms:W3CDTF">2025-10-27T19:07:00.412Z</dcterms:created>
  <dcterms:modified xsi:type="dcterms:W3CDTF">2025-10-27T19:07:00.412Z</dcterms:modified>
</cp:coreProperties>
</file>

<file path=docProps/custom.xml><?xml version="1.0" encoding="utf-8"?>
<Properties xmlns="http://schemas.openxmlformats.org/officeDocument/2006/custom-properties" xmlns:vt="http://schemas.openxmlformats.org/officeDocument/2006/docPropsVTypes"/>
</file>