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Integridade e Desempenho no Controle de Ordens de Serviço de uma Oficina Mecânica: Restrições, Gatilhos e Índices Verificados por Testes em PostgreSQL</w:t>
      </w:r>
    </w:p>
    <w:p>
      <w:pPr>
        <w:spacing w:after="240"/>
        <w:jc w:val="center"/>
      </w:pPr>
      <w:r>
        <w:rPr>
          <w:rFonts w:ascii="Times New Roman" w:cs="Times New Roman" w:eastAsia="Times New Roman" w:hAnsi="Times New Roman"/>
          <w:b/>
          <w:bCs/>
          <w:sz w:val="28"/>
          <w:szCs w:val="28"/>
        </w:rPr>
        <w:t xml:space="preserve">Integrity and Performance in Work Order Management for an Auto Repair Shop: Constraints, Triggers and Indexes Verified by Tests in PostgreSQL</w:t>
      </w:r>
    </w:p>
    <w:p>
      <w:pPr>
        <w:spacing w:after="80"/>
        <w:jc w:val="center"/>
      </w:pPr>
      <w:r>
        <w:rPr>
          <w:rFonts w:ascii="Times New Roman" w:cs="Times New Roman" w:eastAsia="Times New Roman" w:hAnsi="Times New Roman"/>
          <w:b/>
          <w:bCs/>
          <w:sz w:val="24"/>
          <w:szCs w:val="24"/>
        </w:rPr>
        <w:t xml:space="preserve">Jarlisson Brito Santos¹, [Integrante 2]¹, [Integrante 3]¹, [Integrante 4]¹</w:t>
      </w:r>
    </w:p>
    <w:p>
      <w:pPr>
        <w:spacing w:after="0"/>
        <w:jc w:val="center"/>
      </w:pPr>
      <w:r>
        <w:rPr>
          <w:rFonts w:ascii="Times New Roman" w:cs="Times New Roman" w:eastAsia="Times New Roman" w:hAnsi="Times New Roman"/>
          <w:i/>
          <w:iCs/>
          <w:sz w:val="20"/>
          <w:szCs w:val="20"/>
        </w:rPr>
        <w:t xml:space="preserve">Professor(a): [Nome do(a) Professor(a)] – Disciplina: Banco de Dados</w:t>
      </w:r>
    </w:p>
    <w:p>
      <w:pPr>
        <w:spacing w:after="0"/>
        <w:jc w:val="center"/>
      </w:pPr>
      <w:r>
        <w:rPr>
          <w:rFonts w:ascii="Times New Roman" w:cs="Times New Roman" w:eastAsia="Times New Roman" w:hAnsi="Times New Roman"/>
          <w:sz w:val="24"/>
          <w:szCs w:val="24"/>
        </w:rPr>
        <w:t xml:space="preserve">¹</w:t>
      </w:r>
      <w:r>
        <w:rPr>
          <w:rFonts w:ascii="Times New Roman" w:cs="Times New Roman" w:eastAsia="Times New Roman" w:hAnsi="Times New Roman"/>
          <w:sz w:val="24"/>
          <w:szCs w:val="24"/>
        </w:rPr>
        <w:t xml:space="preserve">[Curso] — Universidade Tiradentes (UNIT)</w:t>
      </w:r>
    </w:p>
    <w:p>
      <w:pPr>
        <w:spacing w:after="0"/>
        <w:jc w:val="center"/>
      </w:pPr>
      <w:r>
        <w:rPr>
          <w:rFonts w:ascii="Times New Roman" w:cs="Times New Roman" w:eastAsia="Times New Roman" w:hAnsi="Times New Roman"/>
          <w:sz w:val="24"/>
          <w:szCs w:val="24"/>
        </w:rPr>
        <w:t xml:space="preserve">Aracaju, Sergipe – SE</w:t>
      </w:r>
    </w:p>
    <w:p>
      <w:pPr>
        <w:spacing w:after="240"/>
        <w:jc w:val="center"/>
      </w:pPr>
      <w:r>
        <w:rPr>
          <w:rFonts w:ascii="Courier New" w:cs="Courier New" w:eastAsia="Courier New" w:hAnsi="Courier New"/>
          <w:sz w:val="15"/>
          <w:szCs w:val="15"/>
        </w:rPr>
        <w:t xml:space="preserve">{[email1],[email2],[email3],[email4]}@souunit.com.br</w:t>
      </w:r>
    </w:p>
    <w:p>
      <w:pPr>
        <w:spacing w:after="120" w:before="120"/>
        <w:ind w:left="454" w:right="454"/>
        <w:jc w:val="both"/>
      </w:pPr>
      <w:r>
        <w:rPr>
          <w:rFonts w:ascii="Times New Roman" w:cs="Times New Roman" w:eastAsia="Times New Roman" w:hAnsi="Times New Roman"/>
          <w:b/>
          <w:bCs/>
          <w:i/>
          <w:iCs/>
          <w:sz w:val="24"/>
          <w:szCs w:val="24"/>
        </w:rPr>
        <w:t xml:space="preserve">Resumo. </w:t>
      </w:r>
      <w:r>
        <w:rPr>
          <w:rFonts w:ascii="Times New Roman" w:cs="Times New Roman" w:eastAsia="Times New Roman" w:hAnsi="Times New Roman"/>
          <w:i/>
          <w:iCs/>
          <w:sz w:val="24"/>
          <w:szCs w:val="24"/>
        </w:rPr>
        <w:t xml:space="preserve">Oficinas mecânicas de pequeno e médio porte costumam controlar ordens de serviço em papel ou planilhas, o que permite placas duplicadas, peças aplicadas sem baixa no estoque, ordens sem mecânico responsável e ordens já fechadas sendo alteradas. Este trabalho modela e implementa em PostgreSQL 16 um banco de dados para esse cenário, com seis tabelas, domínios de formato, restrições declarativas, cinco regras de negócio em gatilhos e oito índices, cada um ligado a uma consulta real. Toda decisão foi verificada por teste executado: 34 casos de tipos, restrições e regras foram automatizados e todos tiveram o resultado esperado, comparado pelo código SQLSTATE devolvido pelo banco. Sobre uma base sintética de 300 mil ordens de serviço, os índices reduziram a consulta do histórico por placa de 30,60 ms para 0,25 ms e as páginas lidas de 8.323 para 31, com custo de 26% a mais na inserção em lote. Os testes também mostraram limites: um índice sobre coluna de baixa seletividade foi ignorado pelo otimizador, e uma visão reescrita com </w:t>
      </w:r>
      <w:r>
        <w:rPr>
          <w:rFonts w:ascii="Times New Roman" w:cs="Times New Roman" w:eastAsia="Times New Roman" w:hAnsi="Times New Roman"/>
          <w:sz w:val="24"/>
          <w:szCs w:val="24"/>
        </w:rPr>
        <w:t xml:space="preserve">LATERAL</w:t>
      </w:r>
      <w:r>
        <w:rPr>
          <w:rFonts w:ascii="Times New Roman" w:cs="Times New Roman" w:eastAsia="Times New Roman" w:hAnsi="Times New Roman"/>
          <w:i/>
          <w:iCs/>
          <w:sz w:val="24"/>
          <w:szCs w:val="24"/>
        </w:rPr>
        <w:t xml:space="preserve"> foi 633 vezes mais rápida em consultas seletivas, mas duas vezes mais lenta em relatórios que varrem a tabela inteira. Conclui-se que levar as regras para o banco elimina as falhas descritas e que cada índice precisa ser justificado por medição, e não por suposição.</w:t>
      </w:r>
    </w:p>
    <w:p>
      <w:pPr>
        <w:spacing w:after="240"/>
        <w:jc w:val="both"/>
      </w:pPr>
      <w:r>
        <w:rPr>
          <w:rFonts w:ascii="Times New Roman" w:cs="Times New Roman" w:eastAsia="Times New Roman" w:hAnsi="Times New Roman"/>
          <w:b/>
          <w:bCs/>
          <w:sz w:val="24"/>
          <w:szCs w:val="24"/>
        </w:rPr>
        <w:t xml:space="preserve">Palavras-chave: </w:t>
      </w:r>
      <w:r>
        <w:rPr>
          <w:rFonts w:ascii="Times New Roman" w:cs="Times New Roman" w:eastAsia="Times New Roman" w:hAnsi="Times New Roman"/>
          <w:sz w:val="24"/>
          <w:szCs w:val="24"/>
        </w:rPr>
        <w:t xml:space="preserve">banco de dados relacional, integridade de dados, gatilhos, índices, PostgreSQL.</w:t>
      </w:r>
    </w:p>
    <w:p>
      <w:pPr>
        <w:spacing w:after="120" w:before="120"/>
        <w:ind w:left="454" w:right="454"/>
        <w:jc w:val="both"/>
      </w:pPr>
      <w:r>
        <w:rPr>
          <w:rFonts w:ascii="Times New Roman" w:cs="Times New Roman" w:eastAsia="Times New Roman" w:hAnsi="Times New Roman"/>
          <w:b/>
          <w:bCs/>
          <w:i/>
          <w:iCs/>
          <w:sz w:val="24"/>
          <w:szCs w:val="24"/>
        </w:rPr>
        <w:t xml:space="preserve">Abstract. </w:t>
      </w:r>
      <w:r>
        <w:rPr>
          <w:rFonts w:ascii="Times New Roman" w:cs="Times New Roman" w:eastAsia="Times New Roman" w:hAnsi="Times New Roman"/>
          <w:i/>
          <w:iCs/>
          <w:sz w:val="24"/>
          <w:szCs w:val="24"/>
        </w:rPr>
        <w:t xml:space="preserve">Small and medium-sized auto repair shops often track work orders on paper or spreadsheets, which allows duplicate license plates, parts used without stock deduction, orders with no responsible mechanic and closed orders being changed. This work models and implements a PostgreSQL 16 database for this scenario, with six tables, format domains, declarative constraints, five business rules in triggers and eight indexes, each tied to a real query. Every design decision was verified by an executed test: 34 type, constraint and rule cases were automated and all of them produced the expected outcome, checked against the SQLSTATE code returned by the database. On a synthetic dataset of 300,000 work orders, the indexes reduced the plate history query from 30.60 ms to 0.25 ms and the pages read from 8,323 to 31, at a cost of 26% slower bulk inserts. The tests also exposed limits: an index on a low-selectivity column was ignored by the planner, and a view rewritten with </w:t>
      </w:r>
      <w:r>
        <w:rPr>
          <w:rFonts w:ascii="Times New Roman" w:cs="Times New Roman" w:eastAsia="Times New Roman" w:hAnsi="Times New Roman"/>
          <w:sz w:val="24"/>
          <w:szCs w:val="24"/>
        </w:rPr>
        <w:t xml:space="preserve">LATERAL</w:t>
      </w:r>
      <w:r>
        <w:rPr>
          <w:rFonts w:ascii="Times New Roman" w:cs="Times New Roman" w:eastAsia="Times New Roman" w:hAnsi="Times New Roman"/>
          <w:i/>
          <w:iCs/>
          <w:sz w:val="24"/>
          <w:szCs w:val="24"/>
        </w:rPr>
        <w:t xml:space="preserve"> was 633 times faster for selective queries but twice as slow for reports that scan the whole table. We conclude that moving the rules into the database removes the failures described and that each index must be justified by measurement rather than assumption.</w:t>
      </w:r>
    </w:p>
    <w:p>
      <w:pPr>
        <w:spacing w:after="24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relational database, data integrity, triggers, indexes, PostgreSQL.</w:t>
      </w:r>
    </w:p>
    <w:p>
      <w:pPr>
        <w:keepNext/>
        <w:spacing w:after="120" w:before="24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bCs/>
          <w:sz w:val="26"/>
          <w:szCs w:val="26"/>
        </w:rPr>
        <w:t xml:space="preserve">Introdução</w:t>
      </w:r>
    </w:p>
    <w:p>
      <w:pPr>
        <w:spacing w:after="120"/>
        <w:ind w:firstLine="720"/>
        <w:jc w:val="both"/>
      </w:pPr>
      <w:r>
        <w:rPr>
          <w:rFonts w:ascii="Times New Roman" w:cs="Times New Roman" w:eastAsia="Times New Roman" w:hAnsi="Times New Roman"/>
          <w:sz w:val="24"/>
          <w:szCs w:val="24"/>
        </w:rPr>
        <w:t xml:space="preserve">Em uma oficina mecânica, a ordem de serviço (OS) é o documento que liga o cliente, o veículo, o mecânico que executa o serviço e as peças aplicadas. Quando esse controle é feito em papel ou em planilhas, os erros aparecem no balcão: o mesmo veículo é cadastrado duas vezes com a placa digitada de formas diferentes, peças saem da prateleira sem baixa no estoque, a OS não registra quem foi o mecânico responsável e uma OS já paga é alterada depois, gerando divergência no faturamento. Também é comum o hodômetro “voltar” por erro de digitação, o que invalida o histórico de revisões, e a busca pelo histórico de um carro demora enquanto o cliente espera.</w:t>
      </w:r>
    </w:p>
    <w:p>
      <w:pPr>
        <w:spacing w:after="120"/>
        <w:ind w:firstLine="720"/>
        <w:jc w:val="both"/>
      </w:pPr>
      <w:r>
        <w:rPr>
          <w:rFonts w:ascii="Times New Roman" w:cs="Times New Roman" w:eastAsia="Times New Roman" w:hAnsi="Times New Roman"/>
          <w:sz w:val="24"/>
          <w:szCs w:val="24"/>
        </w:rPr>
        <w:t xml:space="preserve">Esses problemas têm um ponto em comum: as regras existem na cabeça das pessoas, mas não em nenhum lugar que as obrigue a serem cumpridas. Um sistema gerenciador de banco de dados relacional permite declarar essas regras junto com os dados, de modo que nenhuma aplicação, planilha importada ou digitação apressada consiga violá-las </w:t>
      </w:r>
      <w:r>
        <w:rPr>
          <w:rFonts w:ascii="Times New Roman" w:cs="Times New Roman" w:eastAsia="Times New Roman" w:hAnsi="Times New Roman"/>
          <w:sz w:val="24"/>
          <w:szCs w:val="24"/>
        </w:rPr>
        <w:t xml:space="preserve">[1,2]</w:t>
      </w:r>
      <w:r>
        <w:rPr>
          <w:rFonts w:ascii="Times New Roman" w:cs="Times New Roman" w:eastAsia="Times New Roman" w:hAnsi="Times New Roman"/>
          <w:sz w:val="24"/>
          <w:szCs w:val="24"/>
        </w:rPr>
        <w:t xml:space="preserve">.</w:t>
      </w:r>
    </w:p>
    <w:p>
      <w:pPr>
        <w:spacing w:after="120"/>
        <w:ind w:firstLine="720"/>
        <w:jc w:val="both"/>
      </w:pPr>
      <w:r>
        <w:rPr>
          <w:rFonts w:ascii="Times New Roman" w:cs="Times New Roman" w:eastAsia="Times New Roman" w:hAnsi="Times New Roman"/>
          <w:sz w:val="24"/>
          <w:szCs w:val="24"/>
        </w:rPr>
        <w:t xml:space="preserve">O objetivo geral deste trabalho é projetar, implementar e verificar por testes um banco de dados para o controle de ordens de serviço de uma oficina mecânica. Os objetivos específicos são: (i) modelar as entidades do problema e escolher tipos de dados adequados; (ii) implementar as regras de negócio como restrições e gatilhos; (iii) criar índices orientados às consultas da oficina e medir o efeito de cada um; e (iv) documentar cada afirmação com um teste executado e sua evidência, em um repositório no GitHub acompanhado por uma metodologia ágil.</w:t>
      </w:r>
    </w:p>
    <w:p>
      <w:pPr>
        <w:spacing w:after="120"/>
        <w:ind w:firstLine="720"/>
        <w:jc w:val="both"/>
      </w:pPr>
      <w:r>
        <w:rPr>
          <w:rFonts w:ascii="Times New Roman" w:cs="Times New Roman" w:eastAsia="Times New Roman" w:hAnsi="Times New Roman"/>
          <w:sz w:val="24"/>
          <w:szCs w:val="24"/>
        </w:rPr>
        <w:t xml:space="preserve">O restante do texto está organizado assim: a Seção 2 apresenta a fundamentação; a Seção 3 descreve a metodologia; a Seção 4 mostra a arquitetura, as decisões e os resultados dos testes; e a Seção 5 traz as conclusões.</w:t>
      </w:r>
    </w:p>
    <w:p>
      <w:pPr>
        <w:keepNext/>
        <w:spacing w:after="120" w:before="24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bCs/>
          <w:sz w:val="26"/>
          <w:szCs w:val="26"/>
        </w:rPr>
        <w:t xml:space="preserve">Fundamentação e Trabalhos Relacionados</w:t>
      </w:r>
    </w:p>
    <w:p>
      <w:pPr>
        <w:spacing w:after="120"/>
        <w:ind w:firstLine="720"/>
        <w:jc w:val="both"/>
      </w:pPr>
      <w:r>
        <w:rPr>
          <w:rFonts w:ascii="Times New Roman" w:cs="Times New Roman" w:eastAsia="Times New Roman" w:hAnsi="Times New Roman"/>
          <w:sz w:val="24"/>
          <w:szCs w:val="24"/>
        </w:rPr>
        <w:t xml:space="preserve">O modelo relacional representa os dados em relações e garante a consistência por meio de chaves e restrições de integridade </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Na prática, os SGBDs oferecem integridade de entidade (</w:t>
      </w:r>
      <w:r>
        <w:rPr>
          <w:rFonts w:ascii="Times New Roman" w:cs="Times New Roman" w:eastAsia="Times New Roman" w:hAnsi="Times New Roman"/>
          <w:i/>
          <w:iCs/>
          <w:sz w:val="24"/>
          <w:szCs w:val="24"/>
        </w:rPr>
        <w:t xml:space="preserve">PRIMARY KEY</w:t>
      </w:r>
      <w:r>
        <w:rPr>
          <w:rFonts w:ascii="Times New Roman" w:cs="Times New Roman" w:eastAsia="Times New Roman" w:hAnsi="Times New Roman"/>
          <w:sz w:val="24"/>
          <w:szCs w:val="24"/>
        </w:rPr>
        <w:t xml:space="preserve">), integridade referencial (</w:t>
      </w:r>
      <w:r>
        <w:rPr>
          <w:rFonts w:ascii="Times New Roman" w:cs="Times New Roman" w:eastAsia="Times New Roman" w:hAnsi="Times New Roman"/>
          <w:i/>
          <w:iCs/>
          <w:sz w:val="24"/>
          <w:szCs w:val="24"/>
        </w:rPr>
        <w:t xml:space="preserve">FOREIGN KEY</w:t>
      </w:r>
      <w:r>
        <w:rPr>
          <w:rFonts w:ascii="Times New Roman" w:cs="Times New Roman" w:eastAsia="Times New Roman" w:hAnsi="Times New Roman"/>
          <w:sz w:val="24"/>
          <w:szCs w:val="24"/>
        </w:rPr>
        <w:t xml:space="preserve">, com ações como </w:t>
      </w:r>
      <w:r>
        <w:rPr>
          <w:rFonts w:ascii="Times New Roman" w:cs="Times New Roman" w:eastAsia="Times New Roman" w:hAnsi="Times New Roman"/>
          <w:i/>
          <w:iCs/>
          <w:sz w:val="24"/>
          <w:szCs w:val="24"/>
        </w:rPr>
        <w:t xml:space="preserve">RESTRICT</w:t>
      </w:r>
      <w:r>
        <w:rPr>
          <w:rFonts w:ascii="Times New Roman" w:cs="Times New Roman" w:eastAsia="Times New Roman" w:hAnsi="Times New Roman"/>
          <w:sz w:val="24"/>
          <w:szCs w:val="24"/>
        </w:rPr>
        <w:t xml:space="preserve"> e </w:t>
      </w:r>
      <w:r>
        <w:rPr>
          <w:rFonts w:ascii="Times New Roman" w:cs="Times New Roman" w:eastAsia="Times New Roman" w:hAnsi="Times New Roman"/>
          <w:i/>
          <w:iCs/>
          <w:sz w:val="24"/>
          <w:szCs w:val="24"/>
        </w:rPr>
        <w:t xml:space="preserve">CASCADE</w:t>
      </w:r>
      <w:r>
        <w:rPr>
          <w:rFonts w:ascii="Times New Roman" w:cs="Times New Roman" w:eastAsia="Times New Roman" w:hAnsi="Times New Roman"/>
          <w:sz w:val="24"/>
          <w:szCs w:val="24"/>
        </w:rPr>
        <w:t xml:space="preserve">), unicidade (</w:t>
      </w:r>
      <w:r>
        <w:rPr>
          <w:rFonts w:ascii="Times New Roman" w:cs="Times New Roman" w:eastAsia="Times New Roman" w:hAnsi="Times New Roman"/>
          <w:i/>
          <w:iCs/>
          <w:sz w:val="24"/>
          <w:szCs w:val="24"/>
        </w:rPr>
        <w:t xml:space="preserve">UNIQUE</w:t>
      </w:r>
      <w:r>
        <w:rPr>
          <w:rFonts w:ascii="Times New Roman" w:cs="Times New Roman" w:eastAsia="Times New Roman" w:hAnsi="Times New Roman"/>
          <w:sz w:val="24"/>
          <w:szCs w:val="24"/>
        </w:rPr>
        <w:t xml:space="preserve">), obrigatoriedade (</w:t>
      </w:r>
      <w:r>
        <w:rPr>
          <w:rFonts w:ascii="Times New Roman" w:cs="Times New Roman" w:eastAsia="Times New Roman" w:hAnsi="Times New Roman"/>
          <w:i/>
          <w:iCs/>
          <w:sz w:val="24"/>
          <w:szCs w:val="24"/>
        </w:rPr>
        <w:t xml:space="preserve">NOT NULL</w:t>
      </w:r>
      <w:r>
        <w:rPr>
          <w:rFonts w:ascii="Times New Roman" w:cs="Times New Roman" w:eastAsia="Times New Roman" w:hAnsi="Times New Roman"/>
          <w:sz w:val="24"/>
          <w:szCs w:val="24"/>
        </w:rPr>
        <w:t xml:space="preserve">) e regras de domínio (</w:t>
      </w:r>
      <w:r>
        <w:rPr>
          <w:rFonts w:ascii="Times New Roman" w:cs="Times New Roman" w:eastAsia="Times New Roman" w:hAnsi="Times New Roman"/>
          <w:i/>
          <w:iCs/>
          <w:sz w:val="24"/>
          <w:szCs w:val="24"/>
        </w:rPr>
        <w:t xml:space="preserve">CHECK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[2,3]</w:t>
      </w:r>
      <w:r>
        <w:rPr>
          <w:rFonts w:ascii="Times New Roman" w:cs="Times New Roman" w:eastAsia="Times New Roman" w:hAnsi="Times New Roman"/>
          <w:sz w:val="24"/>
          <w:szCs w:val="24"/>
        </w:rPr>
        <w:t xml:space="preserve">. Regras que dependem de outras tabelas ou da transição de estado de uma linha não cabem em um </w:t>
      </w:r>
      <w:r>
        <w:rPr>
          <w:rFonts w:ascii="Times New Roman" w:cs="Times New Roman" w:eastAsia="Times New Roman" w:hAnsi="Times New Roman"/>
          <w:i/>
          <w:iCs/>
          <w:sz w:val="24"/>
          <w:szCs w:val="24"/>
        </w:rPr>
        <w:t xml:space="preserve">CHECK</w:t>
      </w:r>
      <w:r>
        <w:rPr>
          <w:rFonts w:ascii="Times New Roman" w:cs="Times New Roman" w:eastAsia="Times New Roman" w:hAnsi="Times New Roman"/>
          <w:sz w:val="24"/>
          <w:szCs w:val="24"/>
        </w:rPr>
        <w:t xml:space="preserve"> e são implementadas com gatilhos (</w:t>
      </w:r>
      <w:r>
        <w:rPr>
          <w:rFonts w:ascii="Times New Roman" w:cs="Times New Roman" w:eastAsia="Times New Roman" w:hAnsi="Times New Roman"/>
          <w:i/>
          <w:iCs/>
          <w:sz w:val="24"/>
          <w:szCs w:val="24"/>
        </w:rPr>
        <w:t xml:space="preserve">triggers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[3,4]</w:t>
      </w:r>
      <w:r>
        <w:rPr>
          <w:rFonts w:ascii="Times New Roman" w:cs="Times New Roman" w:eastAsia="Times New Roman" w:hAnsi="Times New Roman"/>
          <w:sz w:val="24"/>
          <w:szCs w:val="24"/>
        </w:rPr>
        <w:t xml:space="preserve">.</w:t>
      </w:r>
    </w:p>
    <w:p>
      <w:pPr>
        <w:spacing w:after="120"/>
        <w:ind w:firstLine="720"/>
        <w:jc w:val="both"/>
      </w:pPr>
      <w:r>
        <w:rPr>
          <w:rFonts w:ascii="Times New Roman" w:cs="Times New Roman" w:eastAsia="Times New Roman" w:hAnsi="Times New Roman"/>
          <w:sz w:val="24"/>
          <w:szCs w:val="24"/>
        </w:rPr>
        <w:t xml:space="preserve">No PostgreSQL, além dos tipos nativos, é possível criar domínios (</w:t>
      </w:r>
      <w:r>
        <w:rPr>
          <w:rFonts w:ascii="Times New Roman" w:cs="Times New Roman" w:eastAsia="Times New Roman" w:hAnsi="Times New Roman"/>
          <w:i/>
          <w:iCs/>
          <w:sz w:val="24"/>
          <w:szCs w:val="24"/>
        </w:rPr>
        <w:t xml:space="preserve">CREATE DOMAIN</w:t>
      </w:r>
      <w:r>
        <w:rPr>
          <w:rFonts w:ascii="Times New Roman" w:cs="Times New Roman" w:eastAsia="Times New Roman" w:hAnsi="Times New Roman"/>
          <w:sz w:val="24"/>
          <w:szCs w:val="24"/>
        </w:rPr>
        <w:t xml:space="preserve">), que reúnem um tipo base e uma regra de validação reaproveitável, e tipos enumerados (</w:t>
      </w:r>
      <w:r>
        <w:rPr>
          <w:rFonts w:ascii="Times New Roman" w:cs="Times New Roman" w:eastAsia="Times New Roman" w:hAnsi="Times New Roman"/>
          <w:i/>
          <w:iCs/>
          <w:sz w:val="24"/>
          <w:szCs w:val="24"/>
        </w:rPr>
        <w:t xml:space="preserve">ENUM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Para o desempenho, o índice B-tree é o padrão; índices parciais indexam apenas as linhas que atendem a um predicado; e índices GIN com a extensão </w:t>
      </w:r>
      <w:r>
        <w:rPr>
          <w:rFonts w:ascii="Times New Roman" w:cs="Times New Roman" w:eastAsia="Times New Roman" w:hAnsi="Times New Roman"/>
          <w:i/>
          <w:iCs/>
          <w:sz w:val="24"/>
          <w:szCs w:val="24"/>
        </w:rPr>
        <w:t xml:space="preserve">pg_trgm</w:t>
      </w:r>
      <w:r>
        <w:rPr>
          <w:rFonts w:ascii="Times New Roman" w:cs="Times New Roman" w:eastAsia="Times New Roman" w:hAnsi="Times New Roman"/>
          <w:sz w:val="24"/>
          <w:szCs w:val="24"/>
        </w:rPr>
        <w:t xml:space="preserve"> aceleram buscas por trechos de texto (</w:t>
      </w:r>
      <w:r>
        <w:rPr>
          <w:rFonts w:ascii="Times New Roman" w:cs="Times New Roman" w:eastAsia="Times New Roman" w:hAnsi="Times New Roman"/>
          <w:i/>
          <w:iCs/>
          <w:sz w:val="24"/>
          <w:szCs w:val="24"/>
        </w:rPr>
        <w:t xml:space="preserve">LIKE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ILIKE</w:t>
      </w:r>
      <w:r>
        <w:rPr>
          <w:rFonts w:ascii="Times New Roman" w:cs="Times New Roman" w:eastAsia="Times New Roman" w:hAnsi="Times New Roman"/>
          <w:sz w:val="24"/>
          <w:szCs w:val="24"/>
        </w:rPr>
        <w:t xml:space="preserve"> com curinga no início)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Winand </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mostra que o ganho de um índice depende da seletividade do filtro e da ordem das colunas em índices compostos, e que todo índice tem custo na escrita, pontos que este trabalho verificou experimentalmente. O comando </w:t>
      </w:r>
      <w:r>
        <w:rPr>
          <w:rFonts w:ascii="Times New Roman" w:cs="Times New Roman" w:eastAsia="Times New Roman" w:hAnsi="Times New Roman"/>
          <w:i/>
          <w:iCs/>
          <w:sz w:val="24"/>
          <w:szCs w:val="24"/>
        </w:rPr>
        <w:t xml:space="preserve">EXPLAIN ANALYZE</w:t>
      </w:r>
      <w:r>
        <w:rPr>
          <w:rFonts w:ascii="Times New Roman" w:cs="Times New Roman" w:eastAsia="Times New Roman" w:hAnsi="Times New Roman"/>
          <w:sz w:val="24"/>
          <w:szCs w:val="24"/>
        </w:rPr>
        <w:t xml:space="preserve"> executa a consulta e informa o plano escolhido, o tempo real e as páginas lidas, e foi a ferramenta usada para todas as medições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w:t>
      </w:r>
    </w:p>
    <w:p>
      <w:pPr>
        <w:spacing w:after="120"/>
        <w:ind w:firstLine="720"/>
        <w:jc w:val="both"/>
      </w:pPr>
      <w:r>
        <w:rPr>
          <w:rFonts w:ascii="Times New Roman" w:cs="Times New Roman" w:eastAsia="Times New Roman" w:hAnsi="Times New Roman"/>
          <w:sz w:val="24"/>
          <w:szCs w:val="24"/>
        </w:rPr>
        <w:t xml:space="preserve">Em relação aos livros-texto, que apresentam esses recursos de forma isolada, a contribuição deste trabalho é aplicá-los a um problema concreto e, principalmente, tratar cada decisão como uma hipótese a ser testada, incluindo os casos em que o recurso </w:t>
      </w:r>
      <w:r>
        <w:rPr>
          <w:rFonts w:ascii="Times New Roman" w:cs="Times New Roman" w:eastAsia="Times New Roman" w:hAnsi="Times New Roman"/>
          <w:i/>
          <w:iCs/>
          <w:sz w:val="24"/>
          <w:szCs w:val="24"/>
        </w:rPr>
        <w:t xml:space="preserve">não</w:t>
      </w:r>
      <w:r>
        <w:rPr>
          <w:rFonts w:ascii="Times New Roman" w:cs="Times New Roman" w:eastAsia="Times New Roman" w:hAnsi="Times New Roman"/>
          <w:sz w:val="24"/>
          <w:szCs w:val="24"/>
        </w:rPr>
        <w:t xml:space="preserve"> trouxe o efeito esperado.</w:t>
      </w:r>
    </w:p>
    <w:p>
      <w:pPr>
        <w:keepNext/>
        <w:spacing w:after="120" w:before="24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bCs/>
          <w:sz w:val="26"/>
          <w:szCs w:val="26"/>
        </w:rPr>
        <w:t xml:space="preserve">Metodologia</w:t>
      </w:r>
    </w:p>
    <w:p>
      <w:pPr>
        <w:spacing w:after="120"/>
        <w:ind w:firstLine="720"/>
        <w:jc w:val="both"/>
      </w:pPr>
      <w:r>
        <w:rPr>
          <w:rFonts w:ascii="Times New Roman" w:cs="Times New Roman" w:eastAsia="Times New Roman" w:hAnsi="Times New Roman"/>
          <w:b/>
          <w:bCs/>
          <w:sz w:val="24"/>
          <w:szCs w:val="24"/>
        </w:rPr>
        <w:t xml:space="preserve">Ambiente.</w:t>
      </w:r>
      <w:r>
        <w:rPr>
          <w:rFonts w:ascii="Times New Roman" w:cs="Times New Roman" w:eastAsia="Times New Roman" w:hAnsi="Times New Roman"/>
          <w:sz w:val="24"/>
          <w:szCs w:val="24"/>
        </w:rPr>
        <w:t xml:space="preserve"> Os testes foram executados no PostgreSQL 16.15, em Linux (Ubuntu 24.04), com o cliente </w:t>
      </w:r>
      <w:r>
        <w:rPr>
          <w:rFonts w:ascii="Times New Roman" w:cs="Times New Roman" w:eastAsia="Times New Roman" w:hAnsi="Times New Roman"/>
          <w:i/>
          <w:iCs/>
          <w:sz w:val="24"/>
          <w:szCs w:val="24"/>
        </w:rPr>
        <w:t xml:space="preserve">psql</w:t>
      </w:r>
      <w:r>
        <w:rPr>
          <w:rFonts w:ascii="Times New Roman" w:cs="Times New Roman" w:eastAsia="Times New Roman" w:hAnsi="Times New Roman"/>
          <w:sz w:val="24"/>
          <w:szCs w:val="24"/>
        </w:rPr>
        <w:t xml:space="preserve">. Os scripts de automação foram escritos em Python 3 e chamam o </w:t>
      </w:r>
      <w:r>
        <w:rPr>
          <w:rFonts w:ascii="Times New Roman" w:cs="Times New Roman" w:eastAsia="Times New Roman" w:hAnsi="Times New Roman"/>
          <w:i/>
          <w:iCs/>
          <w:sz w:val="24"/>
          <w:szCs w:val="24"/>
        </w:rPr>
        <w:t xml:space="preserve">psql</w:t>
      </w:r>
      <w:r>
        <w:rPr>
          <w:rFonts w:ascii="Times New Roman" w:cs="Times New Roman" w:eastAsia="Times New Roman" w:hAnsi="Times New Roman"/>
          <w:sz w:val="24"/>
          <w:szCs w:val="24"/>
        </w:rPr>
        <w:t xml:space="preserve">, de modo que qualquer pessoa reproduz o experimento com o comando </w:t>
      </w:r>
      <w:r>
        <w:rPr>
          <w:rFonts w:ascii="Courier New" w:cs="Courier New" w:eastAsia="Courier New" w:hAnsi="Courier New"/>
          <w:sz w:val="20"/>
          <w:szCs w:val="20"/>
        </w:rPr>
        <w:t xml:space="preserve">./scripts/rodar_tudo.sh</w:t>
      </w:r>
      <w:r>
        <w:rPr>
          <w:rFonts w:ascii="Times New Roman" w:cs="Times New Roman" w:eastAsia="Times New Roman" w:hAnsi="Times New Roman"/>
          <w:sz w:val="24"/>
          <w:szCs w:val="24"/>
        </w:rPr>
        <w:t xml:space="preserve">. O mesmo script é executado pelo GitHub Actions a cada envio ao repositório, com um contêiner PostgreSQL 16.</w:t>
      </w:r>
    </w:p>
    <w:p>
      <w:pPr>
        <w:spacing w:after="120"/>
        <w:ind w:firstLine="720"/>
        <w:jc w:val="both"/>
      </w:pPr>
      <w:r>
        <w:rPr>
          <w:rFonts w:ascii="Times New Roman" w:cs="Times New Roman" w:eastAsia="Times New Roman" w:hAnsi="Times New Roman"/>
          <w:b/>
          <w:bCs/>
          <w:sz w:val="24"/>
          <w:szCs w:val="24"/>
        </w:rPr>
        <w:t xml:space="preserve">Dados.</w:t>
      </w:r>
      <w:r>
        <w:rPr>
          <w:rFonts w:ascii="Times New Roman" w:cs="Times New Roman" w:eastAsia="Times New Roman" w:hAnsi="Times New Roman"/>
          <w:sz w:val="24"/>
          <w:szCs w:val="24"/>
        </w:rPr>
        <w:t xml:space="preserve"> Para que o efeito dos índices fosse mensurável, foi gerada uma base sintética e determinística (</w:t>
      </w:r>
      <w:r>
        <w:rPr>
          <w:rFonts w:ascii="Courier New" w:cs="Courier New" w:eastAsia="Courier New" w:hAnsi="Courier New"/>
          <w:sz w:val="20"/>
          <w:szCs w:val="20"/>
        </w:rPr>
        <w:t xml:space="preserve">setseed</w:t>
      </w:r>
      <w:r>
        <w:rPr>
          <w:rFonts w:ascii="Times New Roman" w:cs="Times New Roman" w:eastAsia="Times New Roman" w:hAnsi="Times New Roman"/>
          <w:sz w:val="24"/>
          <w:szCs w:val="24"/>
        </w:rPr>
        <w:t xml:space="preserve">) com 20.000 clientes, 30.000 veículos, 25 mecânicos (3 inativos), 500 peças, 300.000 ordens de serviço entre 2021 e outubro de 2026 e 450.435 itens de peça. O volume equivale a cerca de seis anos de uma rede de oficinas e foi aumentado de propósito: com poucas centenas de linhas, qualquer consulta é rápida e os índices não fazem diferença. Por ser uma carga histórica, os gatilhos de regra foram desligados apenas durante a carga, mas as chaves estrangeiras permaneceram ativas.</w:t>
      </w:r>
    </w:p>
    <w:p>
      <w:pPr>
        <w:spacing w:after="120"/>
        <w:ind w:firstLine="720"/>
        <w:jc w:val="both"/>
      </w:pPr>
      <w:r>
        <w:rPr>
          <w:rFonts w:ascii="Times New Roman" w:cs="Times New Roman" w:eastAsia="Times New Roman" w:hAnsi="Times New Roman"/>
          <w:b/>
          <w:bCs/>
          <w:sz w:val="24"/>
          <w:szCs w:val="24"/>
        </w:rPr>
        <w:t xml:space="preserve">Testes de tipos, restrições e regras.</w:t>
      </w:r>
      <w:r>
        <w:rPr>
          <w:rFonts w:ascii="Times New Roman" w:cs="Times New Roman" w:eastAsia="Times New Roman" w:hAnsi="Times New Roman"/>
          <w:sz w:val="24"/>
          <w:szCs w:val="24"/>
        </w:rPr>
        <w:t xml:space="preserve"> Cada caso de teste é um arquivo SQL com o resultado esperado declarado: “ERRO” acompanhado do código SQLSTATE que o banco deve devolver (por exemplo, 23505 para violação de unicidade) ou “OK”, quando o comando deve ser aceito e uma consulta final de verificação deve retornar </w:t>
      </w:r>
      <w:r>
        <w:rPr>
          <w:rFonts w:ascii="Courier New" w:cs="Courier New" w:eastAsia="Courier New" w:hAnsi="Courier New"/>
          <w:sz w:val="20"/>
          <w:szCs w:val="20"/>
        </w:rPr>
        <w:t xml:space="preserve">PASSOU</w:t>
      </w:r>
      <w:r>
        <w:rPr>
          <w:rFonts w:ascii="Times New Roman" w:cs="Times New Roman" w:eastAsia="Times New Roman" w:hAnsi="Times New Roman"/>
          <w:sz w:val="24"/>
          <w:szCs w:val="24"/>
        </w:rPr>
        <w:t xml:space="preserve">. Cada teste roda dentro de </w:t>
      </w:r>
      <w:r>
        <w:rPr>
          <w:rFonts w:ascii="Courier New" w:cs="Courier New" w:eastAsia="Courier New" w:hAnsi="Courier New"/>
          <w:sz w:val="20"/>
          <w:szCs w:val="20"/>
        </w:rPr>
        <w:t xml:space="preserve">BEGIN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ROLLBACK</w:t>
      </w:r>
      <w:r>
        <w:rPr>
          <w:rFonts w:ascii="Times New Roman" w:cs="Times New Roman" w:eastAsia="Times New Roman" w:hAnsi="Times New Roman"/>
          <w:sz w:val="24"/>
          <w:szCs w:val="24"/>
        </w:rPr>
        <w:t xml:space="preserve">, para que um teste não interfira no seguinte. Comparar o SQLSTATE, e não apenas a ocorrência de um erro, evita aceitar como correto um teste que falhou pelo motivo errado.</w:t>
      </w:r>
    </w:p>
    <w:p>
      <w:pPr>
        <w:spacing w:after="120"/>
        <w:ind w:firstLine="720"/>
        <w:jc w:val="both"/>
      </w:pPr>
      <w:r>
        <w:rPr>
          <w:rFonts w:ascii="Times New Roman" w:cs="Times New Roman" w:eastAsia="Times New Roman" w:hAnsi="Times New Roman"/>
          <w:b/>
          <w:bCs/>
          <w:sz w:val="24"/>
          <w:szCs w:val="24"/>
        </w:rPr>
        <w:t xml:space="preserve">Testes de índices.</w:t>
      </w:r>
      <w:r>
        <w:rPr>
          <w:rFonts w:ascii="Times New Roman" w:cs="Times New Roman" w:eastAsia="Times New Roman" w:hAnsi="Times New Roman"/>
          <w:sz w:val="24"/>
          <w:szCs w:val="24"/>
        </w:rPr>
        <w:t xml:space="preserve"> Cada consulta foi executada com </w:t>
      </w:r>
      <w:r>
        <w:rPr>
          <w:rFonts w:ascii="Courier New" w:cs="Courier New" w:eastAsia="Courier New" w:hAnsi="Courier New"/>
          <w:sz w:val="20"/>
          <w:szCs w:val="20"/>
        </w:rPr>
        <w:t xml:space="preserve">EXPLAIN (ANALYZE, BUFFERS)</w:t>
      </w:r>
      <w:r>
        <w:rPr>
          <w:rFonts w:ascii="Times New Roman" w:cs="Times New Roman" w:eastAsia="Times New Roman" w:hAnsi="Times New Roman"/>
          <w:sz w:val="24"/>
          <w:szCs w:val="24"/>
        </w:rPr>
        <w:t xml:space="preserve"> sete vezes; registrou-se a mediana do tempo de execução, o tipo de acesso escolhido pelo otimizador e o total de páginas lidas. A medição foi feita primeiro só com os índices criados automaticamente por </w:t>
      </w:r>
      <w:r>
        <w:rPr>
          <w:rFonts w:ascii="Times New Roman" w:cs="Times New Roman" w:eastAsia="Times New Roman" w:hAnsi="Times New Roman"/>
          <w:i/>
          <w:iCs/>
          <w:sz w:val="24"/>
          <w:szCs w:val="24"/>
        </w:rPr>
        <w:t xml:space="preserve">PRIMARY KEY</w:t>
      </w:r>
      <w:r>
        <w:rPr>
          <w:rFonts w:ascii="Times New Roman" w:cs="Times New Roman" w:eastAsia="Times New Roman" w:hAnsi="Times New Roman"/>
          <w:sz w:val="24"/>
          <w:szCs w:val="24"/>
        </w:rPr>
        <w:t xml:space="preserve"> e </w:t>
      </w:r>
      <w:r>
        <w:rPr>
          <w:rFonts w:ascii="Times New Roman" w:cs="Times New Roman" w:eastAsia="Times New Roman" w:hAnsi="Times New Roman"/>
          <w:i/>
          <w:iCs/>
          <w:sz w:val="24"/>
          <w:szCs w:val="24"/>
        </w:rPr>
        <w:t xml:space="preserve">UNIQUE</w:t>
      </w:r>
      <w:r>
        <w:rPr>
          <w:rFonts w:ascii="Times New Roman" w:cs="Times New Roman" w:eastAsia="Times New Roman" w:hAnsi="Times New Roman"/>
          <w:sz w:val="24"/>
          <w:szCs w:val="24"/>
        </w:rPr>
        <w:t xml:space="preserve"> e depois com os índices do arquivo </w:t>
      </w:r>
      <w:r>
        <w:rPr>
          <w:rFonts w:ascii="Courier New" w:cs="Courier New" w:eastAsia="Courier New" w:hAnsi="Courier New"/>
          <w:sz w:val="20"/>
          <w:szCs w:val="20"/>
        </w:rPr>
        <w:t xml:space="preserve">sql/04_indices.sql</w:t>
      </w:r>
      <w:r>
        <w:rPr>
          <w:rFonts w:ascii="Times New Roman" w:cs="Times New Roman" w:eastAsia="Times New Roman" w:hAnsi="Times New Roman"/>
          <w:sz w:val="24"/>
          <w:szCs w:val="24"/>
        </w:rPr>
        <w:t xml:space="preserve">, sempre após </w:t>
      </w:r>
      <w:r>
        <w:rPr>
          <w:rFonts w:ascii="Courier New" w:cs="Courier New" w:eastAsia="Courier New" w:hAnsi="Courier New"/>
          <w:sz w:val="20"/>
          <w:szCs w:val="20"/>
        </w:rPr>
        <w:t xml:space="preserve">VACUUM ANALYZE</w:t>
      </w:r>
      <w:r>
        <w:rPr>
          <w:rFonts w:ascii="Times New Roman" w:cs="Times New Roman" w:eastAsia="Times New Roman" w:hAnsi="Times New Roman"/>
          <w:sz w:val="24"/>
          <w:szCs w:val="24"/>
        </w:rPr>
        <w:t xml:space="preserve">. O custo na escrita foi medido com a inserção de 20.000 OS (mediana de três execuções, desfeitas com </w:t>
      </w:r>
      <w:r>
        <w:rPr>
          <w:rFonts w:ascii="Courier New" w:cs="Courier New" w:eastAsia="Courier New" w:hAnsi="Courier New"/>
          <w:sz w:val="20"/>
          <w:szCs w:val="20"/>
        </w:rPr>
        <w:t xml:space="preserve">ROLLBACK</w:t>
      </w:r>
      <w:r>
        <w:rPr>
          <w:rFonts w:ascii="Times New Roman" w:cs="Times New Roman" w:eastAsia="Times New Roman" w:hAnsi="Times New Roman"/>
          <w:sz w:val="24"/>
          <w:szCs w:val="24"/>
        </w:rPr>
        <w:t xml:space="preserve">).</w:t>
      </w:r>
    </w:p>
    <w:p>
      <w:pPr>
        <w:spacing w:after="120"/>
        <w:ind w:firstLine="720"/>
        <w:jc w:val="both"/>
      </w:pPr>
      <w:r>
        <w:rPr>
          <w:rFonts w:ascii="Times New Roman" w:cs="Times New Roman" w:eastAsia="Times New Roman" w:hAnsi="Times New Roman"/>
          <w:b/>
          <w:bCs/>
          <w:sz w:val="24"/>
          <w:szCs w:val="24"/>
        </w:rPr>
        <w:t xml:space="preserve">Gestão do projeto.</w:t>
      </w:r>
      <w:r>
        <w:rPr>
          <w:rFonts w:ascii="Times New Roman" w:cs="Times New Roman" w:eastAsia="Times New Roman" w:hAnsi="Times New Roman"/>
          <w:sz w:val="24"/>
          <w:szCs w:val="24"/>
        </w:rPr>
        <w:t xml:space="preserve"> O trabalho foi organizado em Scrum simplificado com cinco sprints semanais (26/10 a 30/11/2026), registradas como </w:t>
      </w:r>
      <w:r>
        <w:rPr>
          <w:rFonts w:ascii="Times New Roman" w:cs="Times New Roman" w:eastAsia="Times New Roman" w:hAnsi="Times New Roman"/>
          <w:i/>
          <w:iCs/>
          <w:sz w:val="24"/>
          <w:szCs w:val="24"/>
        </w:rPr>
        <w:t xml:space="preserve">milestones</w:t>
      </w:r>
      <w:r>
        <w:rPr>
          <w:rFonts w:ascii="Times New Roman" w:cs="Times New Roman" w:eastAsia="Times New Roman" w:hAnsi="Times New Roman"/>
          <w:sz w:val="24"/>
          <w:szCs w:val="24"/>
        </w:rPr>
        <w:t xml:space="preserve"> no GitHub, com o backlog em </w:t>
      </w:r>
      <w:r>
        <w:rPr>
          <w:rFonts w:ascii="Times New Roman" w:cs="Times New Roman" w:eastAsia="Times New Roman" w:hAnsi="Times New Roman"/>
          <w:i/>
          <w:iCs/>
          <w:sz w:val="24"/>
          <w:szCs w:val="24"/>
        </w:rPr>
        <w:t xml:space="preserve">issues</w:t>
      </w:r>
      <w:r>
        <w:rPr>
          <w:rFonts w:ascii="Times New Roman" w:cs="Times New Roman" w:eastAsia="Times New Roman" w:hAnsi="Times New Roman"/>
          <w:sz w:val="24"/>
          <w:szCs w:val="24"/>
        </w:rPr>
        <w:t xml:space="preserve"> e um quadro Kanban no GitHub Projects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A definição de pronto exige, para cada item, o SQL no repositório, um teste automatizado e a evidência gerada.</w:t>
      </w:r>
    </w:p>
    <w:p>
      <w:pPr>
        <w:keepNext/>
        <w:spacing w:after="120" w:before="240"/>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bCs/>
          <w:sz w:val="26"/>
          <w:szCs w:val="26"/>
        </w:rPr>
        <w:t xml:space="preserve">Desenvolvimento e Resultados</w:t>
      </w:r>
    </w:p>
    <w:p>
      <w:pPr>
        <w:keepNext/>
        <w:spacing w:after="80" w:before="200"/>
      </w:pPr>
      <w:r>
        <w:rPr>
          <w:rFonts w:ascii="Times New Roman" w:cs="Times New Roman" w:eastAsia="Times New Roman" w:hAnsi="Times New Roman"/>
          <w:b/>
          <w:bCs/>
          <w:sz w:val="24"/>
          <w:szCs w:val="24"/>
        </w:rPr>
        <w:t xml:space="preserve">4.1. </w:t>
      </w:r>
      <w:r>
        <w:rPr>
          <w:rFonts w:ascii="Times New Roman" w:cs="Times New Roman" w:eastAsia="Times New Roman" w:hAnsi="Times New Roman"/>
          <w:b/>
          <w:bCs/>
          <w:sz w:val="24"/>
          <w:szCs w:val="24"/>
        </w:rPr>
        <w:t xml:space="preserve">Arquitetura e modelo de dados</w:t>
      </w:r>
    </w:p>
    <w:p>
      <w:pPr>
        <w:spacing w:after="120"/>
        <w:ind w:firstLine="720"/>
        <w:jc w:val="both"/>
      </w:pPr>
      <w:r>
        <w:rPr>
          <w:rFonts w:ascii="Times New Roman" w:cs="Times New Roman" w:eastAsia="Times New Roman" w:hAnsi="Times New Roman"/>
          <w:sz w:val="24"/>
          <w:szCs w:val="24"/>
        </w:rPr>
        <w:t xml:space="preserve">A Figura </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apresenta o modelo. O cliente possui veículos; o veículo recebe ordens de serviço; cada OS tem exatamente um mecânico responsável; e a relação N:N entre OS e peças é resolvida pela tabela associativa </w:t>
      </w:r>
      <w:r>
        <w:rPr>
          <w:rFonts w:ascii="Courier New" w:cs="Courier New" w:eastAsia="Courier New" w:hAnsi="Courier New"/>
          <w:sz w:val="20"/>
          <w:szCs w:val="20"/>
        </w:rPr>
        <w:t xml:space="preserve">os_peca</w:t>
      </w:r>
      <w:r>
        <w:rPr>
          <w:rFonts w:ascii="Times New Roman" w:cs="Times New Roman" w:eastAsia="Times New Roman" w:hAnsi="Times New Roman"/>
          <w:sz w:val="24"/>
          <w:szCs w:val="24"/>
        </w:rPr>
        <w:t xml:space="preserve">, cuja chave primária é composta por </w:t>
      </w:r>
      <w:r>
        <w:rPr>
          <w:rFonts w:ascii="Courier New" w:cs="Courier New" w:eastAsia="Courier New" w:hAnsi="Courier New"/>
          <w:sz w:val="20"/>
          <w:szCs w:val="20"/>
        </w:rPr>
        <w:t xml:space="preserve">(id_os, id_peca)</w:t>
      </w:r>
      <w:r>
        <w:rPr>
          <w:rFonts w:ascii="Times New Roman" w:cs="Times New Roman" w:eastAsia="Times New Roman" w:hAnsi="Times New Roman"/>
          <w:sz w:val="24"/>
          <w:szCs w:val="24"/>
        </w:rPr>
        <w:t xml:space="preserve">. A tabela guarda o </w:t>
      </w:r>
      <w:r>
        <w:rPr>
          <w:rFonts w:ascii="Courier New" w:cs="Courier New" w:eastAsia="Courier New" w:hAnsi="Courier New"/>
          <w:sz w:val="20"/>
          <w:szCs w:val="20"/>
        </w:rPr>
        <w:t xml:space="preserve">preco_unitario</w:t>
      </w:r>
      <w:r>
        <w:rPr>
          <w:rFonts w:ascii="Times New Roman" w:cs="Times New Roman" w:eastAsia="Times New Roman" w:hAnsi="Times New Roman"/>
          <w:sz w:val="24"/>
          <w:szCs w:val="24"/>
        </w:rPr>
        <w:t xml:space="preserve"> copiado da peça no momento do lançamento: se o preço do catálogo mudar depois, o valor das OS antigas não muda.</w:t>
      </w:r>
    </w:p>
    <w:p>
      <w:pPr>
        <w:keepNext/>
        <w:spacing w:after="60" w:before="120"/>
        <w:jc w:val="center"/>
      </w:pPr>
      <w:r>
        <w:drawing>
          <wp:inline distT="0" distB="0" distL="0" distR="0">
            <wp:extent cx="4210050" cy="52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10050" cy="5257800"/>
                    </a:xfrm>
                    <a:prstGeom prst="rect">
                      <a:avLst/>
                    </a:prstGeom>
                  </pic:spPr>
                </pic:pic>
              </a:graphicData>
            </a:graphic>
          </wp:inline>
        </w:drawing>
      </w:r>
    </w:p>
    <w:p>
      <w:pPr>
        <w:keepNext w:val="false"/>
        <w:spacing w:after="240" w:before="0"/>
        <w:ind w:left="454" w:right="454"/>
        <w:jc w:val="center"/>
      </w:pPr>
      <w:r>
        <w:rPr>
          <w:rFonts w:ascii="Arial" w:cs="Arial" w:eastAsia="Arial" w:hAnsi="Arial"/>
          <w:b/>
          <w:bCs/>
          <w:sz w:val="20"/>
          <w:szCs w:val="20"/>
        </w:rPr>
        <w:t xml:space="preserve">Figura 1. </w:t>
      </w:r>
      <w:r>
        <w:rPr>
          <w:rFonts w:ascii="Arial" w:cs="Arial" w:eastAsia="Arial" w:hAnsi="Arial"/>
          <w:b/>
          <w:bCs/>
          <w:sz w:val="20"/>
          <w:szCs w:val="20"/>
        </w:rPr>
        <w:t xml:space="preserve">Diagrama entidade-relacionamento, com tipos e restrições de cada coluna.</w:t>
      </w:r>
    </w:p>
    <w:p>
      <w:pPr>
        <w:spacing w:after="120"/>
        <w:ind w:firstLine="720"/>
        <w:jc w:val="both"/>
      </w:pPr>
      <w:r>
        <w:rPr>
          <w:rFonts w:ascii="Times New Roman" w:cs="Times New Roman" w:eastAsia="Times New Roman" w:hAnsi="Times New Roman"/>
          <w:sz w:val="24"/>
          <w:szCs w:val="24"/>
        </w:rPr>
        <w:t xml:space="preserve">A Figura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mostra a arquitetura da solução. Os usuários (recepção, mecânicos e gerência) acessam o </w:t>
      </w:r>
      <w:r>
        <w:rPr>
          <w:rFonts w:ascii="Times New Roman" w:cs="Times New Roman" w:eastAsia="Times New Roman" w:hAnsi="Times New Roman"/>
          <w:i/>
          <w:iCs/>
          <w:sz w:val="24"/>
          <w:szCs w:val="24"/>
        </w:rPr>
        <w:t xml:space="preserve">schema</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oficina</w:t>
      </w:r>
      <w:r>
        <w:rPr>
          <w:rFonts w:ascii="Times New Roman" w:cs="Times New Roman" w:eastAsia="Times New Roman" w:hAnsi="Times New Roman"/>
          <w:sz w:val="24"/>
          <w:szCs w:val="24"/>
        </w:rPr>
        <w:t xml:space="preserve">, em que os domínios definem os formatos, as tabelas garantem as restrições declarativas, os gatilhos aplicam as regras que envolvem mais de uma tabela e a visão </w:t>
      </w:r>
      <w:r>
        <w:rPr>
          <w:rFonts w:ascii="Courier New" w:cs="Courier New" w:eastAsia="Courier New" w:hAnsi="Courier New"/>
          <w:sz w:val="20"/>
          <w:szCs w:val="20"/>
        </w:rPr>
        <w:t xml:space="preserve">vw_os_total</w:t>
      </w:r>
      <w:r>
        <w:rPr>
          <w:rFonts w:ascii="Times New Roman" w:cs="Times New Roman" w:eastAsia="Times New Roman" w:hAnsi="Times New Roman"/>
          <w:sz w:val="24"/>
          <w:szCs w:val="24"/>
        </w:rPr>
        <w:t xml:space="preserve"> calcula o valor de cada OS. O repositório contém os scripts que criam o banco, os testes, as medições e as evidências geradas.</w:t>
      </w:r>
    </w:p>
    <w:p>
      <w:pPr>
        <w:keepNext/>
        <w:spacing w:after="60" w:before="120"/>
        <w:jc w:val="center"/>
      </w:pPr>
      <w:r>
        <w:drawing>
          <wp:inline distT="0" distB="0" distL="0" distR="0">
            <wp:extent cx="5400675" cy="3381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675" cy="3381375"/>
                    </a:xfrm>
                    <a:prstGeom prst="rect">
                      <a:avLst/>
                    </a:prstGeom>
                  </pic:spPr>
                </pic:pic>
              </a:graphicData>
            </a:graphic>
          </wp:inline>
        </w:drawing>
      </w:r>
    </w:p>
    <w:p>
      <w:pPr>
        <w:keepNext w:val="false"/>
        <w:spacing w:after="240" w:before="0"/>
        <w:ind w:left="454" w:right="454"/>
        <w:jc w:val="center"/>
      </w:pPr>
      <w:r>
        <w:rPr>
          <w:rFonts w:ascii="Arial" w:cs="Arial" w:eastAsia="Arial" w:hAnsi="Arial"/>
          <w:b/>
          <w:bCs/>
          <w:sz w:val="20"/>
          <w:szCs w:val="20"/>
        </w:rPr>
        <w:t xml:space="preserve">Figura 2. </w:t>
      </w:r>
      <w:r>
        <w:rPr>
          <w:rFonts w:ascii="Arial" w:cs="Arial" w:eastAsia="Arial" w:hAnsi="Arial"/>
          <w:b/>
          <w:bCs/>
          <w:sz w:val="20"/>
          <w:szCs w:val="20"/>
        </w:rPr>
        <w:t xml:space="preserve">Arquitetura: usuários, banco de dados PostgreSQL e repositório GitHub com testes automatizados.</w:t>
      </w:r>
    </w:p>
    <w:p>
      <w:pPr>
        <w:keepNext/>
        <w:spacing w:after="80" w:before="200"/>
      </w:pPr>
      <w:r>
        <w:rPr>
          <w:rFonts w:ascii="Times New Roman" w:cs="Times New Roman" w:eastAsia="Times New Roman" w:hAnsi="Times New Roman"/>
          <w:b/>
          <w:bCs/>
          <w:sz w:val="24"/>
          <w:szCs w:val="24"/>
        </w:rPr>
        <w:t xml:space="preserve">4.2. </w:t>
      </w:r>
      <w:r>
        <w:rPr>
          <w:rFonts w:ascii="Times New Roman" w:cs="Times New Roman" w:eastAsia="Times New Roman" w:hAnsi="Times New Roman"/>
          <w:b/>
          <w:bCs/>
          <w:sz w:val="24"/>
          <w:szCs w:val="24"/>
        </w:rPr>
        <w:t xml:space="preserve">Decisões de tipos de dados</w:t>
      </w:r>
    </w:p>
    <w:p>
      <w:pPr>
        <w:spacing w:after="120"/>
        <w:ind w:firstLine="720"/>
        <w:jc w:val="both"/>
      </w:pPr>
      <w:r>
        <w:rPr>
          <w:rFonts w:ascii="Times New Roman" w:cs="Times New Roman" w:eastAsia="Times New Roman" w:hAnsi="Times New Roman"/>
          <w:sz w:val="24"/>
          <w:szCs w:val="24"/>
        </w:rPr>
        <w:t xml:space="preserve">A Tabela </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resume as principais escolhas de tipo e o teste que comprova cada uma. Dois pontos merecem destaque. Primeiro, valores monetários usam </w:t>
      </w:r>
      <w:r>
        <w:rPr>
          <w:rFonts w:ascii="Courier New" w:cs="Courier New" w:eastAsia="Courier New" w:hAnsi="Courier New"/>
          <w:sz w:val="20"/>
          <w:szCs w:val="20"/>
        </w:rPr>
        <w:t xml:space="preserve">NUMERIC(10,2)</w:t>
      </w:r>
      <w:r>
        <w:rPr>
          <w:rFonts w:ascii="Times New Roman" w:cs="Times New Roman" w:eastAsia="Times New Roman" w:hAnsi="Times New Roman"/>
          <w:sz w:val="24"/>
          <w:szCs w:val="24"/>
        </w:rPr>
        <w:t xml:space="preserve">, e não </w:t>
      </w:r>
      <w:r>
        <w:rPr>
          <w:rFonts w:ascii="Courier New" w:cs="Courier New" w:eastAsia="Courier New" w:hAnsi="Courier New"/>
          <w:sz w:val="20"/>
          <w:szCs w:val="20"/>
        </w:rPr>
        <w:t xml:space="preserve">FLOAT</w:t>
      </w:r>
      <w:r>
        <w:rPr>
          <w:rFonts w:ascii="Times New Roman" w:cs="Times New Roman" w:eastAsia="Times New Roman" w:hAnsi="Times New Roman"/>
          <w:sz w:val="24"/>
          <w:szCs w:val="24"/>
        </w:rPr>
        <w:t xml:space="preserve">: o teste T07 (Figura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mostra que, em ponto flutuante, 0,1 + 0,2 = 0,30000000000000004, enquanto em </w:t>
      </w:r>
      <w:r>
        <w:rPr>
          <w:rFonts w:ascii="Courier New" w:cs="Courier New" w:eastAsia="Courier New" w:hAnsi="Courier New"/>
          <w:sz w:val="20"/>
          <w:szCs w:val="20"/>
        </w:rPr>
        <w:t xml:space="preserve">NUMERIC</w:t>
      </w:r>
      <w:r>
        <w:rPr>
          <w:rFonts w:ascii="Times New Roman" w:cs="Times New Roman" w:eastAsia="Times New Roman" w:hAnsi="Times New Roman"/>
          <w:sz w:val="24"/>
          <w:szCs w:val="24"/>
        </w:rPr>
        <w:t xml:space="preserve"> o resultado é exatamente 0,3, e que 10,555 é arredondado para 10,56. Segundo, regras de formato repetidas (placa, CPF/CNPJ, telefone, dinheiro) foram centralizadas em domínios: a regra da placa é escrita uma única vez e aceita tanto o padrão antigo (ABC1234) quanto o Mercosul (RIO2A18).</w:t>
      </w:r>
    </w:p>
    <w:p>
      <w:pPr>
        <w:keepNext/>
        <w:spacing w:after="80" w:before="120"/>
        <w:ind w:left="454" w:right="454"/>
        <w:jc w:val="center"/>
      </w:pPr>
      <w:r>
        <w:rPr>
          <w:rFonts w:ascii="Arial" w:cs="Arial" w:eastAsia="Arial" w:hAnsi="Arial"/>
          <w:b/>
          <w:bCs/>
          <w:sz w:val="20"/>
          <w:szCs w:val="20"/>
        </w:rPr>
        <w:t xml:space="preserve">Tabela 1. </w:t>
      </w:r>
      <w:r>
        <w:rPr>
          <w:rFonts w:ascii="Arial" w:cs="Arial" w:eastAsia="Arial" w:hAnsi="Arial"/>
          <w:b/>
          <w:bCs/>
          <w:sz w:val="20"/>
          <w:szCs w:val="20"/>
        </w:rPr>
        <w:t xml:space="preserve">Principais decisões de tipos de dados e teste que as comprova.</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4"/>
        <w:gridCol w:w="2041"/>
        <w:gridCol w:w="3175"/>
        <w:gridCol w:w="1983"/>
      </w:tblGrid>
      <w:tr>
        <w:trPr>
          <w:cantSplit/>
          <w:tblHeader/>
        </w:trPr>
        <w:tc>
          <w:tcPr>
            <w:tcW w:type="dxa" w:w="1304"/>
            <w:tcBorders>
              <w:top w:val="single" w:color="000000" w:sz="6"/>
              <w:left w:val="none" w:color="FFFFFF" w:sz="0"/>
              <w:bottom w:val="single" w:color="000000" w:sz="6"/>
              <w:right w:val="none" w:color="FFFFFF" w:sz="0"/>
            </w:tcBorders>
            <w:tcMar>
              <w:top w:type="dxa" w:w="30"/>
              <w:left w:type="dxa" w:w="70"/>
              <w:bottom w:type="dxa" w:w="30"/>
              <w:right w:type="dxa" w:w="70"/>
            </w:tcMar>
          </w:tcPr>
          <w:p>
            <w:pPr>
              <w:keepNext/>
              <w:jc w:val="left"/>
            </w:pPr>
            <w:r>
              <w:rPr>
                <w:rFonts w:ascii="Times New Roman" w:cs="Times New Roman" w:eastAsia="Times New Roman" w:hAnsi="Times New Roman"/>
                <w:b/>
                <w:bCs/>
                <w:sz w:val="18"/>
                <w:szCs w:val="18"/>
              </w:rPr>
              <w:t xml:space="preserve">Dado</w:t>
            </w:r>
          </w:p>
        </w:tc>
        <w:tc>
          <w:tcPr>
            <w:tcW w:type="dxa" w:w="2041"/>
            <w:tcBorders>
              <w:top w:val="single" w:color="000000" w:sz="6"/>
              <w:left w:val="none" w:color="FFFFFF" w:sz="0"/>
              <w:bottom w:val="single" w:color="000000" w:sz="6"/>
              <w:right w:val="none" w:color="FFFFFF" w:sz="0"/>
            </w:tcBorders>
            <w:tcMar>
              <w:top w:type="dxa" w:w="30"/>
              <w:left w:type="dxa" w:w="70"/>
              <w:bottom w:type="dxa" w:w="30"/>
              <w:right w:type="dxa" w:w="70"/>
            </w:tcMar>
          </w:tcPr>
          <w:p>
            <w:pPr>
              <w:keepNext/>
              <w:jc w:val="left"/>
            </w:pPr>
            <w:r>
              <w:rPr>
                <w:rFonts w:ascii="Times New Roman" w:cs="Times New Roman" w:eastAsia="Times New Roman" w:hAnsi="Times New Roman"/>
                <w:b/>
                <w:bCs/>
                <w:sz w:val="18"/>
                <w:szCs w:val="18"/>
              </w:rPr>
              <w:t xml:space="preserve">Tipo escolhido</w:t>
            </w:r>
          </w:p>
        </w:tc>
        <w:tc>
          <w:tcPr>
            <w:tcW w:type="dxa" w:w="3175"/>
            <w:tcBorders>
              <w:top w:val="single" w:color="000000" w:sz="6"/>
              <w:left w:val="none" w:color="FFFFFF" w:sz="0"/>
              <w:bottom w:val="single" w:color="000000" w:sz="6"/>
              <w:right w:val="none" w:color="FFFFFF" w:sz="0"/>
            </w:tcBorders>
            <w:tcMar>
              <w:top w:type="dxa" w:w="30"/>
              <w:left w:type="dxa" w:w="70"/>
              <w:bottom w:type="dxa" w:w="30"/>
              <w:right w:type="dxa" w:w="70"/>
            </w:tcMar>
          </w:tcPr>
          <w:p>
            <w:pPr>
              <w:keepNext/>
              <w:jc w:val="left"/>
            </w:pPr>
            <w:r>
              <w:rPr>
                <w:rFonts w:ascii="Times New Roman" w:cs="Times New Roman" w:eastAsia="Times New Roman" w:hAnsi="Times New Roman"/>
                <w:b/>
                <w:bCs/>
                <w:sz w:val="18"/>
                <w:szCs w:val="18"/>
              </w:rPr>
              <w:t xml:space="preserve">Justificativa</w:t>
            </w:r>
          </w:p>
        </w:tc>
        <w:tc>
          <w:tcPr>
            <w:tcW w:type="dxa" w:w="1983"/>
            <w:tcBorders>
              <w:top w:val="single" w:color="000000" w:sz="6"/>
              <w:left w:val="none" w:color="FFFFFF" w:sz="0"/>
              <w:bottom w:val="single" w:color="000000" w:sz="6"/>
              <w:right w:val="none" w:color="FFFFFF" w:sz="0"/>
            </w:tcBorders>
            <w:tcMar>
              <w:top w:type="dxa" w:w="30"/>
              <w:left w:type="dxa" w:w="70"/>
              <w:bottom w:type="dxa" w:w="30"/>
              <w:right w:type="dxa" w:w="70"/>
            </w:tcMar>
          </w:tcPr>
          <w:p>
            <w:pPr>
              <w:keepNext/>
              <w:jc w:val="center"/>
            </w:pPr>
            <w:r>
              <w:rPr>
                <w:rFonts w:ascii="Times New Roman" w:cs="Times New Roman" w:eastAsia="Times New Roman" w:hAnsi="Times New Roman"/>
                <w:b/>
                <w:bCs/>
                <w:sz w:val="18"/>
                <w:szCs w:val="18"/>
              </w:rPr>
              <w:t xml:space="preserve">Teste</w:t>
            </w:r>
          </w:p>
        </w:tc>
      </w:tr>
      <w:tr>
        <w:trPr>
          <w:cantSplit/>
          <w:tblHeader w:val="off"/>
        </w:trPr>
        <w:tc>
          <w:tcPr>
            <w:tcW w:type="dxa" w:w="1304"/>
            <w:tcBorders>
              <w:top w:val="single" w:color="000000" w:sz="6"/>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Placa</w:t>
            </w:r>
          </w:p>
        </w:tc>
        <w:tc>
          <w:tcPr>
            <w:tcW w:type="dxa" w:w="2041"/>
            <w:tcBorders>
              <w:top w:val="single" w:color="000000" w:sz="6"/>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domínio </w:t>
            </w:r>
            <w:r>
              <w:rPr>
                <w:rFonts w:ascii="Courier New" w:cs="Courier New" w:eastAsia="Courier New" w:hAnsi="Courier New"/>
                <w:sz w:val="15"/>
                <w:szCs w:val="15"/>
              </w:rPr>
              <w:t xml:space="preserve">dm_placa</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CHAR(7)</w:t>
            </w:r>
            <w:r>
              <w:rPr>
                <w:rFonts w:ascii="Times New Roman" w:cs="Times New Roman" w:eastAsia="Times New Roman" w:hAnsi="Times New Roman"/>
                <w:sz w:val="18"/>
                <w:szCs w:val="18"/>
              </w:rPr>
              <w:t xml:space="preserve"> + regex)</w:t>
            </w:r>
          </w:p>
        </w:tc>
        <w:tc>
          <w:tcPr>
            <w:tcW w:type="dxa" w:w="3175"/>
            <w:tcBorders>
              <w:top w:val="single" w:color="000000" w:sz="6"/>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tamanho fixo; aceita padrão antigo e Mercosul</w:t>
            </w:r>
          </w:p>
        </w:tc>
        <w:tc>
          <w:tcPr>
            <w:tcW w:type="dxa" w:w="1983"/>
            <w:tcBorders>
              <w:top w:val="single" w:color="000000" w:sz="6"/>
              <w:left w:val="none" w:color="FFFFFF" w:sz="0"/>
              <w:bottom w:val="none" w:color="FFFFFF" w:sz="0"/>
              <w:right w:val="none" w:color="FFFFFF" w:sz="0"/>
            </w:tcBorders>
            <w:tcMar>
              <w:top w:type="dxa" w:w="30"/>
              <w:left w:type="dxa" w:w="70"/>
              <w:bottom w:type="dxa" w:w="30"/>
              <w:right w:type="dxa" w:w="70"/>
            </w:tcMar>
          </w:tcPr>
          <w:p>
            <w:pPr>
              <w:keepNext w:val="false"/>
              <w:jc w:val="center"/>
            </w:pPr>
            <w:r>
              <w:rPr>
                <w:rFonts w:ascii="Times New Roman" w:cs="Times New Roman" w:eastAsia="Times New Roman" w:hAnsi="Times New Roman"/>
                <w:sz w:val="18"/>
                <w:szCs w:val="18"/>
              </w:rPr>
              <w:t xml:space="preserve">T01–T03</w:t>
            </w:r>
          </w:p>
        </w:tc>
      </w:tr>
      <w:tr>
        <w:trPr>
          <w:cantSplit/>
          <w:tblHeader w:val="off"/>
        </w:trPr>
        <w:tc>
          <w:tcPr>
            <w:tcW w:type="dxa" w:w="1304"/>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Ano do veículo</w:t>
            </w:r>
          </w:p>
        </w:tc>
        <w:tc>
          <w:tcPr>
            <w:tcW w:type="dxa" w:w="2041"/>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Courier New" w:cs="Courier New" w:eastAsia="Courier New" w:hAnsi="Courier New"/>
                <w:sz w:val="15"/>
                <w:szCs w:val="15"/>
              </w:rPr>
              <w:t xml:space="preserve">SMALLINT</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CHECK</w:t>
            </w:r>
          </w:p>
        </w:tc>
        <w:tc>
          <w:tcPr>
            <w:tcW w:type="dxa" w:w="3175"/>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2 bytes bastam; texto e valores absurdos são rejeitados</w:t>
            </w:r>
          </w:p>
        </w:tc>
        <w:tc>
          <w:tcPr>
            <w:tcW w:type="dxa" w:w="1983"/>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center"/>
            </w:pPr>
            <w:r>
              <w:rPr>
                <w:rFonts w:ascii="Times New Roman" w:cs="Times New Roman" w:eastAsia="Times New Roman" w:hAnsi="Times New Roman"/>
                <w:sz w:val="18"/>
                <w:szCs w:val="18"/>
              </w:rPr>
              <w:t xml:space="preserve">T04, T05</w:t>
            </w:r>
          </w:p>
        </w:tc>
      </w:tr>
      <w:tr>
        <w:trPr>
          <w:cantSplit/>
          <w:tblHeader w:val="off"/>
        </w:trPr>
        <w:tc>
          <w:tcPr>
            <w:tcW w:type="dxa" w:w="1304"/>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Preço, mão de obra</w:t>
            </w:r>
          </w:p>
        </w:tc>
        <w:tc>
          <w:tcPr>
            <w:tcW w:type="dxa" w:w="2041"/>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Courier New" w:cs="Courier New" w:eastAsia="Courier New" w:hAnsi="Courier New"/>
                <w:sz w:val="15"/>
                <w:szCs w:val="15"/>
              </w:rPr>
              <w:t xml:space="preserve">NUMERIC(10,2)</w:t>
            </w:r>
          </w:p>
        </w:tc>
        <w:tc>
          <w:tcPr>
            <w:tcW w:type="dxa" w:w="3175"/>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exato, sem erro de arredondamento binário</w:t>
            </w:r>
          </w:p>
        </w:tc>
        <w:tc>
          <w:tcPr>
            <w:tcW w:type="dxa" w:w="1983"/>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center"/>
            </w:pPr>
            <w:r>
              <w:rPr>
                <w:rFonts w:ascii="Times New Roman" w:cs="Times New Roman" w:eastAsia="Times New Roman" w:hAnsi="Times New Roman"/>
                <w:sz w:val="18"/>
                <w:szCs w:val="18"/>
              </w:rPr>
              <w:t xml:space="preserve">T06, T07</w:t>
            </w:r>
          </w:p>
        </w:tc>
      </w:tr>
      <w:tr>
        <w:trPr>
          <w:cantSplit/>
          <w:tblHeader w:val="off"/>
        </w:trPr>
        <w:tc>
          <w:tcPr>
            <w:tcW w:type="dxa" w:w="1304"/>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Status da OS</w:t>
            </w:r>
          </w:p>
        </w:tc>
        <w:tc>
          <w:tcPr>
            <w:tcW w:type="dxa" w:w="2041"/>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Courier New" w:cs="Courier New" w:eastAsia="Courier New" w:hAnsi="Courier New"/>
                <w:sz w:val="15"/>
                <w:szCs w:val="15"/>
              </w:rPr>
              <w:t xml:space="preserve">ENUM status_os</w:t>
            </w:r>
          </w:p>
        </w:tc>
        <w:tc>
          <w:tcPr>
            <w:tcW w:type="dxa" w:w="3175"/>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conjunto fechado de cinco estados; digitação livre bloqueada</w:t>
            </w:r>
          </w:p>
        </w:tc>
        <w:tc>
          <w:tcPr>
            <w:tcW w:type="dxa" w:w="1983"/>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center"/>
            </w:pPr>
            <w:r>
              <w:rPr>
                <w:rFonts w:ascii="Times New Roman" w:cs="Times New Roman" w:eastAsia="Times New Roman" w:hAnsi="Times New Roman"/>
                <w:sz w:val="18"/>
                <w:szCs w:val="18"/>
              </w:rPr>
              <w:t xml:space="preserve">T08</w:t>
            </w:r>
          </w:p>
        </w:tc>
      </w:tr>
      <w:tr>
        <w:trPr>
          <w:cantSplit/>
          <w:tblHeader w:val="off"/>
        </w:trPr>
        <w:tc>
          <w:tcPr>
            <w:tcW w:type="dxa" w:w="1304"/>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Datas da OS</w:t>
            </w:r>
          </w:p>
        </w:tc>
        <w:tc>
          <w:tcPr>
            <w:tcW w:type="dxa" w:w="2041"/>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Courier New" w:cs="Courier New" w:eastAsia="Courier New" w:hAnsi="Courier New"/>
                <w:sz w:val="15"/>
                <w:szCs w:val="15"/>
              </w:rPr>
              <w:t xml:space="preserve">TIMESTAMP</w:t>
            </w:r>
          </w:p>
        </w:tc>
        <w:tc>
          <w:tcPr>
            <w:tcW w:type="dxa" w:w="3175"/>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registra hora de abertura e conclusão; datas inexistentes são rejeitadas</w:t>
            </w:r>
          </w:p>
        </w:tc>
        <w:tc>
          <w:tcPr>
            <w:tcW w:type="dxa" w:w="1983"/>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center"/>
            </w:pPr>
            <w:r>
              <w:rPr>
                <w:rFonts w:ascii="Times New Roman" w:cs="Times New Roman" w:eastAsia="Times New Roman" w:hAnsi="Times New Roman"/>
                <w:sz w:val="18"/>
                <w:szCs w:val="18"/>
              </w:rPr>
              <w:t xml:space="preserve">T09</w:t>
            </w:r>
          </w:p>
        </w:tc>
      </w:tr>
      <w:tr>
        <w:trPr>
          <w:cantSplit/>
          <w:tblHeader w:val="off"/>
        </w:trPr>
        <w:tc>
          <w:tcPr>
            <w:tcW w:type="dxa" w:w="1304"/>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CPF/CNPJ</w:t>
            </w:r>
          </w:p>
        </w:tc>
        <w:tc>
          <w:tcPr>
            <w:tcW w:type="dxa" w:w="2041"/>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domínio </w:t>
            </w:r>
            <w:r>
              <w:rPr>
                <w:rFonts w:ascii="Courier New" w:cs="Courier New" w:eastAsia="Courier New" w:hAnsi="Courier New"/>
                <w:sz w:val="15"/>
                <w:szCs w:val="15"/>
              </w:rPr>
              <w:t xml:space="preserve">dm_doc</w:t>
            </w:r>
          </w:p>
        </w:tc>
        <w:tc>
          <w:tcPr>
            <w:tcW w:type="dxa" w:w="3175"/>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apenas 11 ou 14 dígitos, sem pontuação, para o </w:t>
            </w:r>
            <w:r>
              <w:rPr>
                <w:rFonts w:ascii="Courier New" w:cs="Courier New" w:eastAsia="Courier New" w:hAnsi="Courier New"/>
                <w:sz w:val="15"/>
                <w:szCs w:val="15"/>
              </w:rPr>
              <w:t xml:space="preserve">UNIQUE</w:t>
            </w:r>
            <w:r>
              <w:rPr>
                <w:rFonts w:ascii="Times New Roman" w:cs="Times New Roman" w:eastAsia="Times New Roman" w:hAnsi="Times New Roman"/>
                <w:sz w:val="18"/>
                <w:szCs w:val="18"/>
              </w:rPr>
              <w:t xml:space="preserve"> funcionar</w:t>
            </w:r>
          </w:p>
        </w:tc>
        <w:tc>
          <w:tcPr>
            <w:tcW w:type="dxa" w:w="1983"/>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center"/>
            </w:pPr>
            <w:r>
              <w:rPr>
                <w:rFonts w:ascii="Times New Roman" w:cs="Times New Roman" w:eastAsia="Times New Roman" w:hAnsi="Times New Roman"/>
                <w:sz w:val="18"/>
                <w:szCs w:val="18"/>
              </w:rPr>
              <w:t xml:space="preserve">T10, R02</w:t>
            </w:r>
          </w:p>
        </w:tc>
      </w:tr>
      <w:tr>
        <w:trPr>
          <w:cantSplit/>
          <w:tblHeader w:val="off"/>
        </w:trPr>
        <w:tc>
          <w:tcPr>
            <w:tcW w:type="dxa" w:w="1304"/>
            <w:tcBorders>
              <w:top w:val="none" w:color="FFFFFF" w:sz="0"/>
              <w:left w:val="none" w:color="FFFFFF" w:sz="0"/>
              <w:bottom w:val="single" w:color="000000" w:sz="6"/>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Telefone</w:t>
            </w:r>
          </w:p>
        </w:tc>
        <w:tc>
          <w:tcPr>
            <w:tcW w:type="dxa" w:w="2041"/>
            <w:tcBorders>
              <w:top w:val="none" w:color="FFFFFF" w:sz="0"/>
              <w:left w:val="none" w:color="FFFFFF" w:sz="0"/>
              <w:bottom w:val="single" w:color="000000" w:sz="6"/>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domínio </w:t>
            </w:r>
            <w:r>
              <w:rPr>
                <w:rFonts w:ascii="Courier New" w:cs="Courier New" w:eastAsia="Courier New" w:hAnsi="Courier New"/>
                <w:sz w:val="15"/>
                <w:szCs w:val="15"/>
              </w:rPr>
              <w:t xml:space="preserve">dm_telefone</w:t>
            </w:r>
          </w:p>
        </w:tc>
        <w:tc>
          <w:tcPr>
            <w:tcW w:type="dxa" w:w="3175"/>
            <w:tcBorders>
              <w:top w:val="none" w:color="FFFFFF" w:sz="0"/>
              <w:left w:val="none" w:color="FFFFFF" w:sz="0"/>
              <w:bottom w:val="single" w:color="000000" w:sz="6"/>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DDD + número, só dígitos</w:t>
            </w:r>
          </w:p>
        </w:tc>
        <w:tc>
          <w:tcPr>
            <w:tcW w:type="dxa" w:w="1983"/>
            <w:tcBorders>
              <w:top w:val="none" w:color="FFFFFF" w:sz="0"/>
              <w:left w:val="none" w:color="FFFFFF" w:sz="0"/>
              <w:bottom w:val="single" w:color="000000" w:sz="6"/>
              <w:right w:val="none" w:color="FFFFFF" w:sz="0"/>
            </w:tcBorders>
            <w:tcMar>
              <w:top w:type="dxa" w:w="30"/>
              <w:left w:type="dxa" w:w="70"/>
              <w:bottom w:type="dxa" w:w="30"/>
              <w:right w:type="dxa" w:w="70"/>
            </w:tcMar>
          </w:tcPr>
          <w:p>
            <w:pPr>
              <w:keepNext w:val="false"/>
              <w:jc w:val="center"/>
            </w:pPr>
            <w:r>
              <w:rPr>
                <w:rFonts w:ascii="Times New Roman" w:cs="Times New Roman" w:eastAsia="Times New Roman" w:hAnsi="Times New Roman"/>
                <w:sz w:val="18"/>
                <w:szCs w:val="18"/>
              </w:rPr>
              <w:t xml:space="preserve">T11</w:t>
            </w:r>
          </w:p>
        </w:tc>
      </w:tr>
    </w:tbl>
    <w:p>
      <w:pPr>
        <w:spacing w:after="120"/>
      </w:pPr>
    </w:p>
    <w:p>
      <w:pPr>
        <w:keepNext/>
        <w:spacing w:after="60" w:before="120"/>
        <w:jc w:val="center"/>
      </w:pPr>
      <w:r>
        <w:drawing>
          <wp:inline distT="0" distB="0" distL="0" distR="0">
            <wp:extent cx="4591050" cy="15049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91050" cy="1504950"/>
                    </a:xfrm>
                    <a:prstGeom prst="rect">
                      <a:avLst/>
                    </a:prstGeom>
                  </pic:spPr>
                </pic:pic>
              </a:graphicData>
            </a:graphic>
          </wp:inline>
        </w:drawing>
      </w:r>
    </w:p>
    <w:p>
      <w:pPr>
        <w:keepNext w:val="false"/>
        <w:spacing w:after="240" w:before="0"/>
        <w:ind w:left="454" w:right="454"/>
        <w:jc w:val="center"/>
      </w:pPr>
      <w:r>
        <w:rPr>
          <w:rFonts w:ascii="Arial" w:cs="Arial" w:eastAsia="Arial" w:hAnsi="Arial"/>
          <w:b/>
          <w:bCs/>
          <w:sz w:val="20"/>
          <w:szCs w:val="20"/>
        </w:rPr>
        <w:t xml:space="preserve">Figura 3. </w:t>
      </w:r>
      <w:r>
        <w:rPr>
          <w:rFonts w:ascii="Arial" w:cs="Arial" w:eastAsia="Arial" w:hAnsi="Arial"/>
          <w:b/>
          <w:bCs/>
          <w:sz w:val="20"/>
          <w:szCs w:val="20"/>
        </w:rPr>
        <w:t xml:space="preserve">Teste T07: </w:t>
      </w:r>
      <w:r>
        <w:rPr>
          <w:rFonts w:ascii="Courier New" w:cs="Courier New" w:eastAsia="Courier New" w:hAnsi="Courier New"/>
          <w:b/>
          <w:bCs/>
          <w:sz w:val="17"/>
          <w:szCs w:val="17"/>
        </w:rPr>
        <w:t xml:space="preserve">NUMERIC</w:t>
      </w:r>
      <w:r>
        <w:rPr>
          <w:rFonts w:ascii="Arial" w:cs="Arial" w:eastAsia="Arial" w:hAnsi="Arial"/>
          <w:b/>
          <w:bCs/>
          <w:sz w:val="20"/>
          <w:szCs w:val="20"/>
        </w:rPr>
        <w:t xml:space="preserve"> é exato e arredonda para duas casas; </w:t>
      </w:r>
      <w:r>
        <w:rPr>
          <w:rFonts w:ascii="Courier New" w:cs="Courier New" w:eastAsia="Courier New" w:hAnsi="Courier New"/>
          <w:b/>
          <w:bCs/>
          <w:sz w:val="17"/>
          <w:szCs w:val="17"/>
        </w:rPr>
        <w:t xml:space="preserve">FLOAT</w:t>
      </w:r>
      <w:r>
        <w:rPr>
          <w:rFonts w:ascii="Arial" w:cs="Arial" w:eastAsia="Arial" w:hAnsi="Arial"/>
          <w:b/>
          <w:bCs/>
          <w:sz w:val="20"/>
          <w:szCs w:val="20"/>
        </w:rPr>
        <w:t xml:space="preserve"> acumula erro.</w:t>
      </w:r>
    </w:p>
    <w:p>
      <w:pPr>
        <w:keepNext/>
        <w:spacing w:after="80" w:before="200"/>
      </w:pPr>
      <w:r>
        <w:rPr>
          <w:rFonts w:ascii="Times New Roman" w:cs="Times New Roman" w:eastAsia="Times New Roman" w:hAnsi="Times New Roman"/>
          <w:b/>
          <w:bCs/>
          <w:sz w:val="24"/>
          <w:szCs w:val="24"/>
        </w:rPr>
        <w:t xml:space="preserve">4.3. </w:t>
      </w:r>
      <w:r>
        <w:rPr>
          <w:rFonts w:ascii="Times New Roman" w:cs="Times New Roman" w:eastAsia="Times New Roman" w:hAnsi="Times New Roman"/>
          <w:b/>
          <w:bCs/>
          <w:sz w:val="24"/>
          <w:szCs w:val="24"/>
        </w:rPr>
        <w:t xml:space="preserve">Restrições e regras de negócio</w:t>
      </w:r>
    </w:p>
    <w:p>
      <w:pPr>
        <w:spacing w:after="120"/>
        <w:ind w:firstLine="720"/>
        <w:jc w:val="both"/>
      </w:pPr>
      <w:r>
        <w:rPr>
          <w:rFonts w:ascii="Times New Roman" w:cs="Times New Roman" w:eastAsia="Times New Roman" w:hAnsi="Times New Roman"/>
          <w:sz w:val="24"/>
          <w:szCs w:val="24"/>
        </w:rPr>
        <w:t xml:space="preserve">As restrições declarativas cobrem as regras que dependem só da própria linha: </w:t>
      </w:r>
      <w:r>
        <w:rPr>
          <w:rFonts w:ascii="Times New Roman" w:cs="Times New Roman" w:eastAsia="Times New Roman" w:hAnsi="Times New Roman"/>
          <w:i/>
          <w:iCs/>
          <w:sz w:val="24"/>
          <w:szCs w:val="24"/>
        </w:rPr>
        <w:t xml:space="preserve">UNIQUE</w:t>
      </w:r>
      <w:r>
        <w:rPr>
          <w:rFonts w:ascii="Times New Roman" w:cs="Times New Roman" w:eastAsia="Times New Roman" w:hAnsi="Times New Roman"/>
          <w:sz w:val="24"/>
          <w:szCs w:val="24"/>
        </w:rPr>
        <w:t xml:space="preserve"> para placa, chassi e CPF/CNPJ; </w:t>
      </w:r>
      <w:r>
        <w:rPr>
          <w:rFonts w:ascii="Times New Roman" w:cs="Times New Roman" w:eastAsia="Times New Roman" w:hAnsi="Times New Roman"/>
          <w:i/>
          <w:iCs/>
          <w:sz w:val="24"/>
          <w:szCs w:val="24"/>
        </w:rPr>
        <w:t xml:space="preserve">FOREIGN KEY</w:t>
      </w:r>
      <w:r>
        <w:rPr>
          <w:rFonts w:ascii="Times New Roman" w:cs="Times New Roman" w:eastAsia="Times New Roman" w:hAnsi="Times New Roman"/>
          <w:sz w:val="24"/>
          <w:szCs w:val="24"/>
        </w:rPr>
        <w:t xml:space="preserve"> com </w:t>
      </w:r>
      <w:r>
        <w:rPr>
          <w:rFonts w:ascii="Times New Roman" w:cs="Times New Roman" w:eastAsia="Times New Roman" w:hAnsi="Times New Roman"/>
          <w:i/>
          <w:iCs/>
          <w:sz w:val="24"/>
          <w:szCs w:val="24"/>
        </w:rPr>
        <w:t xml:space="preserve">RESTRICT</w:t>
      </w:r>
      <w:r>
        <w:rPr>
          <w:rFonts w:ascii="Times New Roman" w:cs="Times New Roman" w:eastAsia="Times New Roman" w:hAnsi="Times New Roman"/>
          <w:sz w:val="24"/>
          <w:szCs w:val="24"/>
        </w:rPr>
        <w:t xml:space="preserve"> para impedir a exclusão de um cliente que tem veículos; </w:t>
      </w:r>
      <w:r>
        <w:rPr>
          <w:rFonts w:ascii="Times New Roman" w:cs="Times New Roman" w:eastAsia="Times New Roman" w:hAnsi="Times New Roman"/>
          <w:i/>
          <w:iCs/>
          <w:sz w:val="24"/>
          <w:szCs w:val="24"/>
        </w:rPr>
        <w:t xml:space="preserve">CASCADE</w:t>
      </w:r>
      <w:r>
        <w:rPr>
          <w:rFonts w:ascii="Times New Roman" w:cs="Times New Roman" w:eastAsia="Times New Roman" w:hAnsi="Times New Roman"/>
          <w:sz w:val="24"/>
          <w:szCs w:val="24"/>
        </w:rPr>
        <w:t xml:space="preserve"> de </w:t>
      </w:r>
      <w:r>
        <w:rPr>
          <w:rFonts w:ascii="Courier New" w:cs="Courier New" w:eastAsia="Courier New" w:hAnsi="Courier New"/>
          <w:sz w:val="20"/>
          <w:szCs w:val="20"/>
        </w:rPr>
        <w:t xml:space="preserve">ordem_servico</w:t>
      </w:r>
      <w:r>
        <w:rPr>
          <w:rFonts w:ascii="Times New Roman" w:cs="Times New Roman" w:eastAsia="Times New Roman" w:hAnsi="Times New Roman"/>
          <w:sz w:val="24"/>
          <w:szCs w:val="24"/>
        </w:rPr>
        <w:t xml:space="preserve"> para </w:t>
      </w:r>
      <w:r>
        <w:rPr>
          <w:rFonts w:ascii="Courier New" w:cs="Courier New" w:eastAsia="Courier New" w:hAnsi="Courier New"/>
          <w:sz w:val="20"/>
          <w:szCs w:val="20"/>
        </w:rPr>
        <w:t xml:space="preserve">os_peca</w:t>
      </w:r>
      <w:r>
        <w:rPr>
          <w:rFonts w:ascii="Times New Roman" w:cs="Times New Roman" w:eastAsia="Times New Roman" w:hAnsi="Times New Roman"/>
          <w:sz w:val="24"/>
          <w:szCs w:val="24"/>
        </w:rPr>
        <w:t xml:space="preserve">; e </w:t>
      </w:r>
      <w:r>
        <w:rPr>
          <w:rFonts w:ascii="Times New Roman" w:cs="Times New Roman" w:eastAsia="Times New Roman" w:hAnsi="Times New Roman"/>
          <w:i/>
          <w:iCs/>
          <w:sz w:val="24"/>
          <w:szCs w:val="24"/>
        </w:rPr>
        <w:t xml:space="preserve">CHECK</w:t>
      </w:r>
      <w:r>
        <w:rPr>
          <w:rFonts w:ascii="Times New Roman" w:cs="Times New Roman" w:eastAsia="Times New Roman" w:hAnsi="Times New Roman"/>
          <w:sz w:val="24"/>
          <w:szCs w:val="24"/>
        </w:rPr>
        <w:t xml:space="preserve">s que relacionam colunas: a conclusão não pode ser anterior à abertura, uma OS está </w:t>
      </w:r>
      <w:r>
        <w:rPr>
          <w:rFonts w:ascii="Courier New" w:cs="Courier New" w:eastAsia="Courier New" w:hAnsi="Courier New"/>
          <w:sz w:val="20"/>
          <w:szCs w:val="20"/>
        </w:rPr>
        <w:t xml:space="preserve">CONCLUIDA</w:t>
      </w:r>
      <w:r>
        <w:rPr>
          <w:rFonts w:ascii="Times New Roman" w:cs="Times New Roman" w:eastAsia="Times New Roman" w:hAnsi="Times New Roman"/>
          <w:sz w:val="24"/>
          <w:szCs w:val="24"/>
        </w:rPr>
        <w:t xml:space="preserve"> se e somente se tem data de conclusão, e o desconto não pode superar a mão de obra.</w:t>
      </w:r>
    </w:p>
    <w:p>
      <w:pPr>
        <w:spacing w:after="120"/>
        <w:ind w:firstLine="720"/>
        <w:jc w:val="both"/>
      </w:pPr>
      <w:r>
        <w:rPr>
          <w:rFonts w:ascii="Times New Roman" w:cs="Times New Roman" w:eastAsia="Times New Roman" w:hAnsi="Times New Roman"/>
          <w:sz w:val="24"/>
          <w:szCs w:val="24"/>
        </w:rPr>
        <w:t xml:space="preserve">As regras que envolvem outra tabela ou uma mudança de estado foram implementadas em cinco gatilhos: (R1) o preço da peça é copiado do catálogo quando não é informado; (R2) uma OS concluída ou cancelada não aceita alteração de peças; (R3) lançar uma peça baixa o estoque, e remover devolve; (R4) só um mecânico ativo pode assumir uma OS e o hodômetro não pode ser menor que o último registrado; e (R5) uma OS concluída ou cancelada não volta a ser aberta, o cancelamento devolve as peças ao estoque e a mão de obra é calculada como horas trabalhadas vezes o valor-hora do mecânico.</w:t>
      </w:r>
    </w:p>
    <w:p>
      <w:pPr>
        <w:spacing w:after="120"/>
        <w:ind w:firstLine="720"/>
        <w:jc w:val="both"/>
      </w:pPr>
      <w:r>
        <w:rPr>
          <w:rFonts w:ascii="Times New Roman" w:cs="Times New Roman" w:eastAsia="Times New Roman" w:hAnsi="Times New Roman"/>
          <w:sz w:val="24"/>
          <w:szCs w:val="24"/>
        </w:rPr>
        <w:t xml:space="preserve">Uma decisão importante foi </w:t>
      </w:r>
      <w:r>
        <w:rPr>
          <w:rFonts w:ascii="Times New Roman" w:cs="Times New Roman" w:eastAsia="Times New Roman" w:hAnsi="Times New Roman"/>
          <w:i/>
          <w:iCs/>
          <w:sz w:val="24"/>
          <w:szCs w:val="24"/>
        </w:rPr>
        <w:t xml:space="preserve">onde</w:t>
      </w:r>
      <w:r>
        <w:rPr>
          <w:rFonts w:ascii="Times New Roman" w:cs="Times New Roman" w:eastAsia="Times New Roman" w:hAnsi="Times New Roman"/>
          <w:sz w:val="24"/>
          <w:szCs w:val="24"/>
        </w:rPr>
        <w:t xml:space="preserve"> bloquear o estoque negativo. Em vez de testar o saldo dentro do gatilho, o gatilho apenas subtrai a quantidade, e a restrição </w:t>
      </w:r>
      <w:r>
        <w:rPr>
          <w:rFonts w:ascii="Courier New" w:cs="Courier New" w:eastAsia="Courier New" w:hAnsi="Courier New"/>
          <w:sz w:val="20"/>
          <w:szCs w:val="20"/>
        </w:rPr>
        <w:t xml:space="preserve">ck_peca_estoque_nao_negativo</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CHECK (qtd_estoque &gt;= 0)</w:t>
      </w:r>
      <w:r>
        <w:rPr>
          <w:rFonts w:ascii="Times New Roman" w:cs="Times New Roman" w:eastAsia="Times New Roman" w:hAnsi="Times New Roman"/>
          <w:sz w:val="24"/>
          <w:szCs w:val="24"/>
        </w:rPr>
        <w:t xml:space="preserve">) rejeita o resultado. Assim, a regra vale também para qualquer atualização manual do estoque, e não só para lançamentos em OS. A Figura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mostra o teste G02: com uma unidade em estoque, a tentativa de lançar três é rejeitada com o código 23514, e o banco informa a linha que teria ficado com saldo -2.</w:t>
      </w:r>
    </w:p>
    <w:p>
      <w:pPr>
        <w:keepNext/>
        <w:spacing w:after="60" w:before="120"/>
        <w:jc w:val="center"/>
      </w:pPr>
      <w:r>
        <w:drawing>
          <wp:inline distT="0" distB="0" distL="0" distR="0">
            <wp:extent cx="5400675" cy="18669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1866900"/>
                    </a:xfrm>
                    <a:prstGeom prst="rect">
                      <a:avLst/>
                    </a:prstGeom>
                  </pic:spPr>
                </pic:pic>
              </a:graphicData>
            </a:graphic>
          </wp:inline>
        </w:drawing>
      </w:r>
    </w:p>
    <w:p>
      <w:pPr>
        <w:keepNext w:val="false"/>
        <w:spacing w:after="240" w:before="0"/>
        <w:ind w:left="454" w:right="454"/>
        <w:jc w:val="center"/>
      </w:pPr>
      <w:r>
        <w:rPr>
          <w:rFonts w:ascii="Arial" w:cs="Arial" w:eastAsia="Arial" w:hAnsi="Arial"/>
          <w:b/>
          <w:bCs/>
          <w:sz w:val="20"/>
          <w:szCs w:val="20"/>
        </w:rPr>
        <w:t xml:space="preserve">Figura 4. </w:t>
      </w:r>
      <w:r>
        <w:rPr>
          <w:rFonts w:ascii="Arial" w:cs="Arial" w:eastAsia="Arial" w:hAnsi="Arial"/>
          <w:b/>
          <w:bCs/>
          <w:sz w:val="20"/>
          <w:szCs w:val="20"/>
        </w:rPr>
        <w:t xml:space="preserve">Teste G02: estoque insuficiente. O gatilho subtrai e a restrição </w:t>
      </w:r>
      <w:r>
        <w:rPr>
          <w:rFonts w:ascii="Courier New" w:cs="Courier New" w:eastAsia="Courier New" w:hAnsi="Courier New"/>
          <w:b/>
          <w:bCs/>
          <w:sz w:val="17"/>
          <w:szCs w:val="17"/>
        </w:rPr>
        <w:t xml:space="preserve">CHECK</w:t>
      </w:r>
      <w:r>
        <w:rPr>
          <w:rFonts w:ascii="Arial" w:cs="Arial" w:eastAsia="Arial" w:hAnsi="Arial"/>
          <w:b/>
          <w:bCs/>
          <w:sz w:val="20"/>
          <w:szCs w:val="20"/>
        </w:rPr>
        <w:t xml:space="preserve"> rejeita o saldo negativo.</w:t>
      </w:r>
    </w:p>
    <w:p>
      <w:pPr>
        <w:spacing w:after="120"/>
        <w:ind w:firstLine="720"/>
        <w:jc w:val="both"/>
      </w:pPr>
      <w:r>
        <w:rPr>
          <w:rFonts w:ascii="Times New Roman" w:cs="Times New Roman" w:eastAsia="Times New Roman" w:hAnsi="Times New Roman"/>
          <w:sz w:val="24"/>
          <w:szCs w:val="24"/>
        </w:rPr>
        <w:t xml:space="preserve">A Tabela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lista os 34 testes. Todos tiveram o resultado esperado, e nos 26 casos de erro o código SQLSTATE devolvido foi exatamente o previsto. A Figura </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mostra um teste do tipo “OK”: ao cancelar uma OS, as três unidades lançadas voltam ao estoque (116 → 113 → 116). O teste G10 percorre o fluxo completo (abrir, lançar duas peças, registrar 1,5 hora, aplicar desconto de R$ 10,00 e concluir) e confere que a visão calcula 245,90 + 112,50 - 10,00 = 348,40.</w:t>
      </w:r>
    </w:p>
    <w:p>
      <w:pPr>
        <w:keepNext/>
        <w:spacing w:after="80" w:before="120"/>
        <w:ind w:left="454" w:right="454"/>
        <w:jc w:val="center"/>
      </w:pPr>
      <w:r>
        <w:rPr>
          <w:rFonts w:ascii="Arial" w:cs="Arial" w:eastAsia="Arial" w:hAnsi="Arial"/>
          <w:b/>
          <w:bCs/>
          <w:sz w:val="20"/>
          <w:szCs w:val="20"/>
        </w:rPr>
        <w:t xml:space="preserve">Tabela 2. </w:t>
      </w:r>
      <w:r>
        <w:rPr>
          <w:rFonts w:ascii="Arial" w:cs="Arial" w:eastAsia="Arial" w:hAnsi="Arial"/>
          <w:b/>
          <w:bCs/>
          <w:sz w:val="20"/>
          <w:szCs w:val="20"/>
        </w:rPr>
        <w:t xml:space="preserve">Resultado dos 34 testes de tipos, restrições e regras (todos com o resultado esperado).</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0"/>
        <w:gridCol w:w="1077"/>
        <w:gridCol w:w="3912"/>
        <w:gridCol w:w="1417"/>
        <w:gridCol w:w="1417"/>
      </w:tblGrid>
      <w:tr>
        <w:trPr>
          <w:cantSplit/>
          <w:tblHeader/>
        </w:trPr>
        <w:tc>
          <w:tcPr>
            <w:tcW w:type="dxa" w:w="680"/>
            <w:tcBorders>
              <w:top w:val="single" w:color="000000" w:sz="6"/>
              <w:left w:val="none" w:color="FFFFFF" w:sz="0"/>
              <w:bottom w:val="single" w:color="000000" w:sz="6"/>
              <w:right w:val="none" w:color="FFFFFF" w:sz="0"/>
            </w:tcBorders>
            <w:tcMar>
              <w:top w:type="dxa" w:w="30"/>
              <w:left w:type="dxa" w:w="70"/>
              <w:bottom w:type="dxa" w:w="30"/>
              <w:right w:type="dxa" w:w="70"/>
            </w:tcMar>
          </w:tcPr>
          <w:p>
            <w:pPr>
              <w:keepNext/>
              <w:jc w:val="left"/>
            </w:pPr>
            <w:r>
              <w:rPr>
                <w:rFonts w:ascii="Times New Roman" w:cs="Times New Roman" w:eastAsia="Times New Roman" w:hAnsi="Times New Roman"/>
                <w:b/>
                <w:bCs/>
                <w:sz w:val="18"/>
                <w:szCs w:val="18"/>
              </w:rPr>
              <w:t xml:space="preserve">ID</w:t>
            </w:r>
          </w:p>
        </w:tc>
        <w:tc>
          <w:tcPr>
            <w:tcW w:type="dxa" w:w="1077"/>
            <w:tcBorders>
              <w:top w:val="single" w:color="000000" w:sz="6"/>
              <w:left w:val="none" w:color="FFFFFF" w:sz="0"/>
              <w:bottom w:val="single" w:color="000000" w:sz="6"/>
              <w:right w:val="none" w:color="FFFFFF" w:sz="0"/>
            </w:tcBorders>
            <w:tcMar>
              <w:top w:type="dxa" w:w="30"/>
              <w:left w:type="dxa" w:w="70"/>
              <w:bottom w:type="dxa" w:w="30"/>
              <w:right w:type="dxa" w:w="70"/>
            </w:tcMar>
          </w:tcPr>
          <w:p>
            <w:pPr>
              <w:keepNext/>
              <w:jc w:val="left"/>
            </w:pPr>
            <w:r>
              <w:rPr>
                <w:rFonts w:ascii="Times New Roman" w:cs="Times New Roman" w:eastAsia="Times New Roman" w:hAnsi="Times New Roman"/>
                <w:b/>
                <w:bCs/>
                <w:sz w:val="18"/>
                <w:szCs w:val="18"/>
              </w:rPr>
              <w:t xml:space="preserve">Categoria</w:t>
            </w:r>
          </w:p>
        </w:tc>
        <w:tc>
          <w:tcPr>
            <w:tcW w:type="dxa" w:w="3912"/>
            <w:tcBorders>
              <w:top w:val="single" w:color="000000" w:sz="6"/>
              <w:left w:val="none" w:color="FFFFFF" w:sz="0"/>
              <w:bottom w:val="single" w:color="000000" w:sz="6"/>
              <w:right w:val="none" w:color="FFFFFF" w:sz="0"/>
            </w:tcBorders>
            <w:tcMar>
              <w:top w:type="dxa" w:w="30"/>
              <w:left w:type="dxa" w:w="70"/>
              <w:bottom w:type="dxa" w:w="30"/>
              <w:right w:type="dxa" w:w="70"/>
            </w:tcMar>
          </w:tcPr>
          <w:p>
            <w:pPr>
              <w:keepNext/>
              <w:jc w:val="left"/>
            </w:pPr>
            <w:r>
              <w:rPr>
                <w:rFonts w:ascii="Times New Roman" w:cs="Times New Roman" w:eastAsia="Times New Roman" w:hAnsi="Times New Roman"/>
                <w:b/>
                <w:bCs/>
                <w:sz w:val="18"/>
                <w:szCs w:val="18"/>
              </w:rPr>
              <w:t xml:space="preserve">Teste</w:t>
            </w:r>
          </w:p>
        </w:tc>
        <w:tc>
          <w:tcPr>
            <w:tcW w:type="dxa" w:w="1417"/>
            <w:tcBorders>
              <w:top w:val="single" w:color="000000" w:sz="6"/>
              <w:left w:val="none" w:color="FFFFFF" w:sz="0"/>
              <w:bottom w:val="single" w:color="000000" w:sz="6"/>
              <w:right w:val="none" w:color="FFFFFF" w:sz="0"/>
            </w:tcBorders>
            <w:tcMar>
              <w:top w:type="dxa" w:w="30"/>
              <w:left w:type="dxa" w:w="70"/>
              <w:bottom w:type="dxa" w:w="30"/>
              <w:right w:type="dxa" w:w="70"/>
            </w:tcMar>
          </w:tcPr>
          <w:p>
            <w:pPr>
              <w:keepNext/>
              <w:jc w:val="left"/>
            </w:pPr>
            <w:r>
              <w:rPr>
                <w:rFonts w:ascii="Times New Roman" w:cs="Times New Roman" w:eastAsia="Times New Roman" w:hAnsi="Times New Roman"/>
                <w:b/>
                <w:bCs/>
                <w:sz w:val="18"/>
                <w:szCs w:val="18"/>
              </w:rPr>
              <w:t xml:space="preserve">Esperado</w:t>
            </w:r>
          </w:p>
        </w:tc>
        <w:tc>
          <w:tcPr>
            <w:tcW w:type="dxa" w:w="1417"/>
            <w:tcBorders>
              <w:top w:val="single" w:color="000000" w:sz="6"/>
              <w:left w:val="none" w:color="FFFFFF" w:sz="0"/>
              <w:bottom w:val="single" w:color="000000" w:sz="6"/>
              <w:right w:val="none" w:color="FFFFFF" w:sz="0"/>
            </w:tcBorders>
            <w:tcMar>
              <w:top w:type="dxa" w:w="30"/>
              <w:left w:type="dxa" w:w="70"/>
              <w:bottom w:type="dxa" w:w="30"/>
              <w:right w:type="dxa" w:w="70"/>
            </w:tcMar>
          </w:tcPr>
          <w:p>
            <w:pPr>
              <w:keepNext/>
              <w:jc w:val="left"/>
            </w:pPr>
            <w:r>
              <w:rPr>
                <w:rFonts w:ascii="Times New Roman" w:cs="Times New Roman" w:eastAsia="Times New Roman" w:hAnsi="Times New Roman"/>
                <w:b/>
                <w:bCs/>
                <w:sz w:val="18"/>
                <w:szCs w:val="18"/>
              </w:rPr>
              <w:t xml:space="preserve">Obtido</w:t>
            </w:r>
          </w:p>
        </w:tc>
      </w:tr>
      <w:tr>
        <w:trPr>
          <w:cantSplit/>
          <w:tblHeader w:val="off"/>
        </w:trPr>
        <w:tc>
          <w:tcPr>
            <w:tcW w:type="dxa" w:w="680"/>
            <w:tcBorders>
              <w:top w:val="single" w:color="000000" w:sz="6"/>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T01</w:t>
            </w:r>
          </w:p>
        </w:tc>
        <w:tc>
          <w:tcPr>
            <w:tcW w:type="dxa" w:w="1077"/>
            <w:tcBorders>
              <w:top w:val="single" w:color="000000" w:sz="6"/>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Tipo</w:t>
            </w:r>
          </w:p>
        </w:tc>
        <w:tc>
          <w:tcPr>
            <w:tcW w:type="dxa" w:w="3912"/>
            <w:tcBorders>
              <w:top w:val="single" w:color="000000" w:sz="6"/>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Placa com 8 caracteres não cabe em CHAR(7)</w:t>
            </w:r>
          </w:p>
        </w:tc>
        <w:tc>
          <w:tcPr>
            <w:tcW w:type="dxa" w:w="1417"/>
            <w:tcBorders>
              <w:top w:val="single" w:color="000000" w:sz="6"/>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22001</w:t>
            </w:r>
          </w:p>
        </w:tc>
        <w:tc>
          <w:tcPr>
            <w:tcW w:type="dxa" w:w="1417"/>
            <w:tcBorders>
              <w:top w:val="single" w:color="000000" w:sz="6"/>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22001</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T02</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Tipo</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Placa fora do padrão (domínio dm_placa)</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23514</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23514</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T03</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Tipo</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Placa Mercosul válida é aceita</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OK</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OK</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T04</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Tipo</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Texto em coluna SMALLINT (ano)</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22P02</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22P02</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T05</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Tipo</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Ano 40000 estoura o limite de SMALLINT</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22003</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22003</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T06</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Tipo</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Valor acima de NUMERIC(10,2) é rejeitado</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22003</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22003</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T07</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Tipo</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NUMERIC(10,2) arredonda 10,555 para 10,56 (sem erro de ponto flutuante)</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OK</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OK</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T08</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Tipo</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Status fora do ENUM status_os</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22P02</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22P02</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T09</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Tipo</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Data inexistente (30/02) em TIMESTAMP</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22008</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22008</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T10</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Tipo</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CPF com pontuação viola o domínio dm_doc</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23514</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23514</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T11</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Tipo</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Telefone com letras viola o domínio dm_telefone</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23514</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23514</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R01</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Restrição</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NOT NULL: cliente sem nome</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23502</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23502</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R02</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Restrição</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UNIQUE: CPF/CNPJ repetido</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23505</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23505</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R03</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Restrição</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UNIQUE: placa repetida</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23505</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23505</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R04</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Restrição</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FOREIGN KEY: veículo de cliente inexistente</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23503</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23503</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R05</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Restrição</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ON DELETE RESTRICT: excluir cliente que tem veículos</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23503</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23503</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R06</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Restrição</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CHECK: km do veículo negativo</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23514</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23514</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R07</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Restrição</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CHECK: conclusão antes da abertura</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23514</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23514</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R08</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Restrição</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CHECK: OS CONCLUIDA sem data de conclusão</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23514</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23514</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R09</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Restrição</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CHECK: desconto maior que a mão de obra</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23514</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23514</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R10</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Restrição</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PRIMARY KEY composta: mesma peça duas vezes na OS</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23505</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23505</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R11</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Restrição</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CHECK: quantidade zero de peça</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23514</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23514</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R12</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Restrição</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CHECK: e-mail sem @</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23514</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23514</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R13</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Restrição</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ON DELETE CASCADE: excluir OS aberta remove seus itens</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OK</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OK</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G01</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Regra</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Lançar peça na OS baixa o estoque automaticamente</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OK</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OK</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G02</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Regra</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Estoque insuficiente bloqueia o lançamento</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23514</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23514</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G03</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Regra</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Preço da peça é copiado do catálogo quando omitido</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OK</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OK</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G04</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Regra</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OS CONCLUIDA não aceita novas peças</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P0001</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P0001</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G05</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Regra</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Mecânico inativo não pode assumir OS</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P0001</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P0001</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G06</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Regra</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Hodômetro não pode voltar (km_entrada &lt; km_atual)</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P0001</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P0001</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G07</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Regra</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OS CONCLUIDA não pode ser reaberta</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P0001</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ERRO P0001</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G08</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Regra</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Cancelar a OS devolve as peças ao estoque</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OK</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OK</w:t>
            </w:r>
          </w:p>
        </w:tc>
      </w:tr>
      <w:tr>
        <w:trPr>
          <w:cantSplit/>
          <w:tblHeader w:val="off"/>
        </w:trPr>
        <w:tc>
          <w:tcPr>
            <w:tcW w:type="dxa" w:w="680"/>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G09</w:t>
            </w:r>
          </w:p>
        </w:tc>
        <w:tc>
          <w:tcPr>
            <w:tcW w:type="dxa" w:w="107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Regra</w:t>
            </w:r>
          </w:p>
        </w:tc>
        <w:tc>
          <w:tcPr>
            <w:tcW w:type="dxa" w:w="3912"/>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Mão de obra = horas trabalhadas x valor/hora do mecânico</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OK</w:t>
            </w:r>
          </w:p>
        </w:tc>
        <w:tc>
          <w:tcPr>
            <w:tcW w:type="dxa" w:w="1417"/>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OK</w:t>
            </w:r>
          </w:p>
        </w:tc>
      </w:tr>
      <w:tr>
        <w:trPr>
          <w:cantSplit/>
          <w:tblHeader w:val="off"/>
        </w:trPr>
        <w:tc>
          <w:tcPr>
            <w:tcW w:type="dxa" w:w="680"/>
            <w:tcBorders>
              <w:top w:val="none" w:color="FFFFFF" w:sz="0"/>
              <w:left w:val="none" w:color="FFFFFF" w:sz="0"/>
              <w:bottom w:val="single" w:color="000000" w:sz="6"/>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G10</w:t>
            </w:r>
          </w:p>
        </w:tc>
        <w:tc>
          <w:tcPr>
            <w:tcW w:type="dxa" w:w="1077"/>
            <w:tcBorders>
              <w:top w:val="none" w:color="FFFFFF" w:sz="0"/>
              <w:left w:val="none" w:color="FFFFFF" w:sz="0"/>
              <w:bottom w:val="single" w:color="000000" w:sz="6"/>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Regra</w:t>
            </w:r>
          </w:p>
        </w:tc>
        <w:tc>
          <w:tcPr>
            <w:tcW w:type="dxa" w:w="3912"/>
            <w:tcBorders>
              <w:top w:val="none" w:color="FFFFFF" w:sz="0"/>
              <w:left w:val="none" w:color="FFFFFF" w:sz="0"/>
              <w:bottom w:val="single" w:color="000000" w:sz="6"/>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Fluxo completo: abrir, lançar peças, concluir e faturar</w:t>
            </w:r>
          </w:p>
        </w:tc>
        <w:tc>
          <w:tcPr>
            <w:tcW w:type="dxa" w:w="1417"/>
            <w:tcBorders>
              <w:top w:val="none" w:color="FFFFFF" w:sz="0"/>
              <w:left w:val="none" w:color="FFFFFF" w:sz="0"/>
              <w:bottom w:val="single" w:color="000000" w:sz="6"/>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OK</w:t>
            </w:r>
          </w:p>
        </w:tc>
        <w:tc>
          <w:tcPr>
            <w:tcW w:type="dxa" w:w="1417"/>
            <w:tcBorders>
              <w:top w:val="none" w:color="FFFFFF" w:sz="0"/>
              <w:left w:val="none" w:color="FFFFFF" w:sz="0"/>
              <w:bottom w:val="single" w:color="000000" w:sz="6"/>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OK</w:t>
            </w:r>
          </w:p>
        </w:tc>
      </w:tr>
    </w:tbl>
    <w:p>
      <w:pPr>
        <w:spacing w:after="120"/>
      </w:pPr>
    </w:p>
    <w:p>
      <w:pPr>
        <w:keepNext/>
        <w:spacing w:after="60" w:before="120"/>
        <w:jc w:val="center"/>
      </w:pPr>
      <w:r>
        <w:drawing>
          <wp:inline distT="0" distB="0" distL="0" distR="0">
            <wp:extent cx="4324350" cy="28098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24350" cy="2809875"/>
                    </a:xfrm>
                    <a:prstGeom prst="rect">
                      <a:avLst/>
                    </a:prstGeom>
                  </pic:spPr>
                </pic:pic>
              </a:graphicData>
            </a:graphic>
          </wp:inline>
        </w:drawing>
      </w:r>
    </w:p>
    <w:p>
      <w:pPr>
        <w:keepNext w:val="false"/>
        <w:spacing w:after="240" w:before="0"/>
        <w:ind w:left="454" w:right="454"/>
        <w:jc w:val="center"/>
      </w:pPr>
      <w:r>
        <w:rPr>
          <w:rFonts w:ascii="Arial" w:cs="Arial" w:eastAsia="Arial" w:hAnsi="Arial"/>
          <w:b/>
          <w:bCs/>
          <w:sz w:val="20"/>
          <w:szCs w:val="20"/>
        </w:rPr>
        <w:t xml:space="preserve">Figura 5. </w:t>
      </w:r>
      <w:r>
        <w:rPr>
          <w:rFonts w:ascii="Arial" w:cs="Arial" w:eastAsia="Arial" w:hAnsi="Arial"/>
          <w:b/>
          <w:bCs/>
          <w:sz w:val="20"/>
          <w:szCs w:val="20"/>
        </w:rPr>
        <w:t xml:space="preserve">Teste G08: o cancelamento da OS devolve as peças ao estoque.</w:t>
      </w:r>
    </w:p>
    <w:p>
      <w:pPr>
        <w:keepNext/>
        <w:spacing w:after="80" w:before="200"/>
      </w:pPr>
      <w:r>
        <w:rPr>
          <w:rFonts w:ascii="Times New Roman" w:cs="Times New Roman" w:eastAsia="Times New Roman" w:hAnsi="Times New Roman"/>
          <w:b/>
          <w:bCs/>
          <w:sz w:val="24"/>
          <w:szCs w:val="24"/>
        </w:rPr>
        <w:t xml:space="preserve">4.4. </w:t>
      </w:r>
      <w:r>
        <w:rPr>
          <w:rFonts w:ascii="Times New Roman" w:cs="Times New Roman" w:eastAsia="Times New Roman" w:hAnsi="Times New Roman"/>
          <w:b/>
          <w:bCs/>
          <w:sz w:val="24"/>
          <w:szCs w:val="24"/>
        </w:rPr>
        <w:t xml:space="preserve">Índices</w:t>
      </w:r>
    </w:p>
    <w:p>
      <w:pPr>
        <w:spacing w:after="120"/>
        <w:ind w:firstLine="720"/>
        <w:jc w:val="both"/>
      </w:pPr>
      <w:r>
        <w:rPr>
          <w:rFonts w:ascii="Times New Roman" w:cs="Times New Roman" w:eastAsia="Times New Roman" w:hAnsi="Times New Roman"/>
          <w:sz w:val="24"/>
          <w:szCs w:val="24"/>
        </w:rPr>
        <w:t xml:space="preserve">Cada índice foi criado para atender a uma consulta da rotina da oficina. A Tabela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mostra o resultado das medições. Antes dos índices, quase todas as consultas faziam leitura sequencial (</w:t>
      </w:r>
      <w:r>
        <w:rPr>
          <w:rFonts w:ascii="Times New Roman" w:cs="Times New Roman" w:eastAsia="Times New Roman" w:hAnsi="Times New Roman"/>
          <w:i/>
          <w:iCs/>
          <w:sz w:val="24"/>
          <w:szCs w:val="24"/>
        </w:rPr>
        <w:t xml:space="preserve">Seq Scan</w:t>
      </w:r>
      <w:r>
        <w:rPr>
          <w:rFonts w:ascii="Times New Roman" w:cs="Times New Roman" w:eastAsia="Times New Roman" w:hAnsi="Times New Roman"/>
          <w:sz w:val="24"/>
          <w:szCs w:val="24"/>
        </w:rPr>
        <w:t xml:space="preserve">) das 8.204 páginas da tabela </w:t>
      </w:r>
      <w:r>
        <w:rPr>
          <w:rFonts w:ascii="Courier New" w:cs="Courier New" w:eastAsia="Courier New" w:hAnsi="Courier New"/>
          <w:sz w:val="20"/>
          <w:szCs w:val="20"/>
        </w:rPr>
        <w:t xml:space="preserve">ordem_servico</w:t>
      </w:r>
      <w:r>
        <w:rPr>
          <w:rFonts w:ascii="Times New Roman" w:cs="Times New Roman" w:eastAsia="Times New Roman" w:hAnsi="Times New Roman"/>
          <w:sz w:val="24"/>
          <w:szCs w:val="24"/>
        </w:rPr>
        <w:t xml:space="preserve"> (cerca de 64 MB).</w:t>
      </w:r>
    </w:p>
    <w:p>
      <w:pPr>
        <w:keepNext/>
        <w:spacing w:after="80" w:before="120"/>
        <w:ind w:left="454" w:right="454"/>
        <w:jc w:val="center"/>
      </w:pPr>
      <w:r>
        <w:rPr>
          <w:rFonts w:ascii="Arial" w:cs="Arial" w:eastAsia="Arial" w:hAnsi="Arial"/>
          <w:b/>
          <w:bCs/>
          <w:sz w:val="20"/>
          <w:szCs w:val="20"/>
        </w:rPr>
        <w:t xml:space="preserve">Tabela 3. </w:t>
      </w:r>
      <w:r>
        <w:rPr>
          <w:rFonts w:ascii="Arial" w:cs="Arial" w:eastAsia="Arial" w:hAnsi="Arial"/>
          <w:b/>
          <w:bCs/>
          <w:sz w:val="20"/>
          <w:szCs w:val="20"/>
        </w:rPr>
        <w:t xml:space="preserve">Efeito dos índices (mediana de 7 execuções de </w:t>
      </w:r>
      <w:r>
        <w:rPr>
          <w:rFonts w:ascii="Courier New" w:cs="Courier New" w:eastAsia="Courier New" w:hAnsi="Courier New"/>
          <w:b/>
          <w:bCs/>
          <w:sz w:val="17"/>
          <w:szCs w:val="17"/>
        </w:rPr>
        <w:t xml:space="preserve">EXPLAIN ANALYZE</w:t>
      </w:r>
      <w:r>
        <w:rPr>
          <w:rFonts w:ascii="Arial" w:cs="Arial" w:eastAsia="Arial" w:hAnsi="Arial"/>
          <w:b/>
          <w:bCs/>
          <w:sz w:val="20"/>
          <w:szCs w:val="20"/>
        </w:rPr>
        <w:t xml:space="preserve">; 300 mil OS).</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4"/>
        <w:gridCol w:w="2041"/>
        <w:gridCol w:w="1379"/>
        <w:gridCol w:w="1379"/>
        <w:gridCol w:w="1379"/>
      </w:tblGrid>
      <w:tr>
        <w:trPr>
          <w:cantSplit/>
          <w:tblHeader/>
        </w:trPr>
        <w:tc>
          <w:tcPr>
            <w:tcW w:type="dxa" w:w="2324"/>
            <w:tcBorders>
              <w:top w:val="single" w:color="000000" w:sz="6"/>
              <w:left w:val="none" w:color="FFFFFF" w:sz="0"/>
              <w:bottom w:val="single" w:color="000000" w:sz="6"/>
              <w:right w:val="none" w:color="FFFFFF" w:sz="0"/>
            </w:tcBorders>
            <w:tcMar>
              <w:top w:type="dxa" w:w="30"/>
              <w:left w:type="dxa" w:w="70"/>
              <w:bottom w:type="dxa" w:w="30"/>
              <w:right w:type="dxa" w:w="70"/>
            </w:tcMar>
          </w:tcPr>
          <w:p>
            <w:pPr>
              <w:keepNext/>
              <w:jc w:val="left"/>
            </w:pPr>
            <w:r>
              <w:rPr>
                <w:rFonts w:ascii="Times New Roman" w:cs="Times New Roman" w:eastAsia="Times New Roman" w:hAnsi="Times New Roman"/>
                <w:b/>
                <w:bCs/>
                <w:sz w:val="18"/>
                <w:szCs w:val="18"/>
              </w:rPr>
              <w:t xml:space="preserve">Consulta</w:t>
            </w:r>
          </w:p>
        </w:tc>
        <w:tc>
          <w:tcPr>
            <w:tcW w:type="dxa" w:w="2041"/>
            <w:tcBorders>
              <w:top w:val="single" w:color="000000" w:sz="6"/>
              <w:left w:val="none" w:color="FFFFFF" w:sz="0"/>
              <w:bottom w:val="single" w:color="000000" w:sz="6"/>
              <w:right w:val="none" w:color="FFFFFF" w:sz="0"/>
            </w:tcBorders>
            <w:tcMar>
              <w:top w:type="dxa" w:w="30"/>
              <w:left w:type="dxa" w:w="70"/>
              <w:bottom w:type="dxa" w:w="30"/>
              <w:right w:type="dxa" w:w="70"/>
            </w:tcMar>
          </w:tcPr>
          <w:p>
            <w:pPr>
              <w:keepNext/>
              <w:jc w:val="left"/>
            </w:pPr>
            <w:r>
              <w:rPr>
                <w:rFonts w:ascii="Times New Roman" w:cs="Times New Roman" w:eastAsia="Times New Roman" w:hAnsi="Times New Roman"/>
                <w:b/>
                <w:bCs/>
                <w:sz w:val="18"/>
                <w:szCs w:val="18"/>
              </w:rPr>
              <w:t xml:space="preserve">Índice</w:t>
            </w:r>
          </w:p>
        </w:tc>
        <w:tc>
          <w:tcPr>
            <w:tcW w:type="dxa" w:w="1379"/>
            <w:tcBorders>
              <w:top w:val="single" w:color="000000" w:sz="6"/>
              <w:left w:val="none" w:color="FFFFFF" w:sz="0"/>
              <w:bottom w:val="single" w:color="000000" w:sz="6"/>
              <w:right w:val="none" w:color="FFFFFF" w:sz="0"/>
            </w:tcBorders>
            <w:tcMar>
              <w:top w:type="dxa" w:w="30"/>
              <w:left w:type="dxa" w:w="70"/>
              <w:bottom w:type="dxa" w:w="30"/>
              <w:right w:type="dxa" w:w="70"/>
            </w:tcMar>
          </w:tcPr>
          <w:p>
            <w:pPr>
              <w:keepNext/>
              <w:jc w:val="right"/>
            </w:pPr>
            <w:r>
              <w:rPr>
                <w:rFonts w:ascii="Times New Roman" w:cs="Times New Roman" w:eastAsia="Times New Roman" w:hAnsi="Times New Roman"/>
                <w:b/>
                <w:bCs/>
                <w:sz w:val="18"/>
                <w:szCs w:val="18"/>
              </w:rPr>
              <w:t xml:space="preserve">Antes (ms)</w:t>
            </w:r>
          </w:p>
        </w:tc>
        <w:tc>
          <w:tcPr>
            <w:tcW w:type="dxa" w:w="1379"/>
            <w:tcBorders>
              <w:top w:val="single" w:color="000000" w:sz="6"/>
              <w:left w:val="none" w:color="FFFFFF" w:sz="0"/>
              <w:bottom w:val="single" w:color="000000" w:sz="6"/>
              <w:right w:val="none" w:color="FFFFFF" w:sz="0"/>
            </w:tcBorders>
            <w:tcMar>
              <w:top w:type="dxa" w:w="30"/>
              <w:left w:type="dxa" w:w="70"/>
              <w:bottom w:type="dxa" w:w="30"/>
              <w:right w:type="dxa" w:w="70"/>
            </w:tcMar>
          </w:tcPr>
          <w:p>
            <w:pPr>
              <w:keepNext/>
              <w:jc w:val="right"/>
            </w:pPr>
            <w:r>
              <w:rPr>
                <w:rFonts w:ascii="Times New Roman" w:cs="Times New Roman" w:eastAsia="Times New Roman" w:hAnsi="Times New Roman"/>
                <w:b/>
                <w:bCs/>
                <w:sz w:val="18"/>
                <w:szCs w:val="18"/>
              </w:rPr>
              <w:t xml:space="preserve">Depois (ms)</w:t>
            </w:r>
          </w:p>
        </w:tc>
        <w:tc>
          <w:tcPr>
            <w:tcW w:type="dxa" w:w="1379"/>
            <w:tcBorders>
              <w:top w:val="single" w:color="000000" w:sz="6"/>
              <w:left w:val="none" w:color="FFFFFF" w:sz="0"/>
              <w:bottom w:val="single" w:color="000000" w:sz="6"/>
              <w:right w:val="none" w:color="FFFFFF" w:sz="0"/>
            </w:tcBorders>
            <w:tcMar>
              <w:top w:type="dxa" w:w="30"/>
              <w:left w:type="dxa" w:w="70"/>
              <w:bottom w:type="dxa" w:w="30"/>
              <w:right w:type="dxa" w:w="70"/>
            </w:tcMar>
          </w:tcPr>
          <w:p>
            <w:pPr>
              <w:keepNext/>
              <w:jc w:val="right"/>
            </w:pPr>
            <w:r>
              <w:rPr>
                <w:rFonts w:ascii="Times New Roman" w:cs="Times New Roman" w:eastAsia="Times New Roman" w:hAnsi="Times New Roman"/>
                <w:b/>
                <w:bCs/>
                <w:sz w:val="18"/>
                <w:szCs w:val="18"/>
              </w:rPr>
              <w:t xml:space="preserve">Páginas lidas</w:t>
            </w:r>
          </w:p>
        </w:tc>
      </w:tr>
      <w:tr>
        <w:trPr>
          <w:cantSplit/>
          <w:tblHeader w:val="off"/>
        </w:trPr>
        <w:tc>
          <w:tcPr>
            <w:tcW w:type="dxa" w:w="2324"/>
            <w:tcBorders>
              <w:top w:val="single" w:color="000000" w:sz="6"/>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B1 Histórico por placa</w:t>
            </w:r>
          </w:p>
        </w:tc>
        <w:tc>
          <w:tcPr>
            <w:tcW w:type="dxa" w:w="2041"/>
            <w:tcBorders>
              <w:top w:val="single" w:color="000000" w:sz="6"/>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Courier New" w:cs="Courier New" w:eastAsia="Courier New" w:hAnsi="Courier New"/>
                <w:sz w:val="15"/>
                <w:szCs w:val="15"/>
              </w:rPr>
              <w:t xml:space="preserve">(id_veiculo, data_abertura DESC)</w:t>
            </w:r>
          </w:p>
        </w:tc>
        <w:tc>
          <w:tcPr>
            <w:tcW w:type="dxa" w:w="1379"/>
            <w:tcBorders>
              <w:top w:val="single" w:color="000000" w:sz="6"/>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30,60</w:t>
            </w:r>
          </w:p>
        </w:tc>
        <w:tc>
          <w:tcPr>
            <w:tcW w:type="dxa" w:w="1379"/>
            <w:tcBorders>
              <w:top w:val="single" w:color="000000" w:sz="6"/>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0,25</w:t>
            </w:r>
          </w:p>
        </w:tc>
        <w:tc>
          <w:tcPr>
            <w:tcW w:type="dxa" w:w="1379"/>
            <w:tcBorders>
              <w:top w:val="single" w:color="000000" w:sz="6"/>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8.323 → 31</w:t>
            </w:r>
          </w:p>
        </w:tc>
      </w:tr>
      <w:tr>
        <w:trPr>
          <w:cantSplit/>
          <w:tblHeader w:val="off"/>
        </w:trPr>
        <w:tc>
          <w:tcPr>
            <w:tcW w:type="dxa" w:w="2324"/>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B2 Painel de OS pendentes</w:t>
            </w:r>
          </w:p>
        </w:tc>
        <w:tc>
          <w:tcPr>
            <w:tcW w:type="dxa" w:w="2041"/>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parcial em </w:t>
            </w:r>
            <w:r>
              <w:rPr>
                <w:rFonts w:ascii="Courier New" w:cs="Courier New" w:eastAsia="Courier New" w:hAnsi="Courier New"/>
                <w:sz w:val="15"/>
                <w:szCs w:val="15"/>
              </w:rPr>
              <w:t xml:space="preserve">data_abertura</w:t>
            </w:r>
          </w:p>
        </w:tc>
        <w:tc>
          <w:tcPr>
            <w:tcW w:type="dxa" w:w="1379"/>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24,80</w:t>
            </w:r>
          </w:p>
        </w:tc>
        <w:tc>
          <w:tcPr>
            <w:tcW w:type="dxa" w:w="1379"/>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0,35</w:t>
            </w:r>
          </w:p>
        </w:tc>
        <w:tc>
          <w:tcPr>
            <w:tcW w:type="dxa" w:w="1379"/>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8.276 → 52</w:t>
            </w:r>
          </w:p>
        </w:tc>
      </w:tr>
      <w:tr>
        <w:trPr>
          <w:cantSplit/>
          <w:tblHeader w:val="off"/>
        </w:trPr>
        <w:tc>
          <w:tcPr>
            <w:tcW w:type="dxa" w:w="2324"/>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B3 Produção do mecânico no mês</w:t>
            </w:r>
          </w:p>
        </w:tc>
        <w:tc>
          <w:tcPr>
            <w:tcW w:type="dxa" w:w="2041"/>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Courier New" w:cs="Courier New" w:eastAsia="Courier New" w:hAnsi="Courier New"/>
                <w:sz w:val="15"/>
                <w:szCs w:val="15"/>
              </w:rPr>
              <w:t xml:space="preserve">(id_mecanico, data_abertura)</w:t>
            </w:r>
          </w:p>
        </w:tc>
        <w:tc>
          <w:tcPr>
            <w:tcW w:type="dxa" w:w="1379"/>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24,32</w:t>
            </w:r>
          </w:p>
        </w:tc>
        <w:tc>
          <w:tcPr>
            <w:tcW w:type="dxa" w:w="1379"/>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0,84</w:t>
            </w:r>
          </w:p>
        </w:tc>
        <w:tc>
          <w:tcPr>
            <w:tcW w:type="dxa" w:w="1379"/>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8.204 → 200</w:t>
            </w:r>
          </w:p>
        </w:tc>
      </w:tr>
      <w:tr>
        <w:trPr>
          <w:cantSplit/>
          <w:tblHeader w:val="off"/>
        </w:trPr>
        <w:tc>
          <w:tcPr>
            <w:tcW w:type="dxa" w:w="2324"/>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B4 Faturamento do mês</w:t>
            </w:r>
          </w:p>
        </w:tc>
        <w:tc>
          <w:tcPr>
            <w:tcW w:type="dxa" w:w="2041"/>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Courier New" w:cs="Courier New" w:eastAsia="Courier New" w:hAnsi="Courier New"/>
                <w:sz w:val="15"/>
                <w:szCs w:val="15"/>
              </w:rPr>
              <w:t xml:space="preserve">(data_conclusao)</w:t>
            </w:r>
          </w:p>
        </w:tc>
        <w:tc>
          <w:tcPr>
            <w:tcW w:type="dxa" w:w="1379"/>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23,52</w:t>
            </w:r>
          </w:p>
        </w:tc>
        <w:tc>
          <w:tcPr>
            <w:tcW w:type="dxa" w:w="1379"/>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6,28</w:t>
            </w:r>
          </w:p>
        </w:tc>
        <w:tc>
          <w:tcPr>
            <w:tcW w:type="dxa" w:w="1379"/>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8.204 → 2.590</w:t>
            </w:r>
          </w:p>
        </w:tc>
      </w:tr>
      <w:tr>
        <w:trPr>
          <w:cantSplit/>
          <w:tblHeader w:val="off"/>
        </w:trPr>
        <w:tc>
          <w:tcPr>
            <w:tcW w:type="dxa" w:w="2324"/>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B5 Consumo de uma peça</w:t>
            </w:r>
          </w:p>
        </w:tc>
        <w:tc>
          <w:tcPr>
            <w:tcW w:type="dxa" w:w="2041"/>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Courier New" w:cs="Courier New" w:eastAsia="Courier New" w:hAnsi="Courier New"/>
                <w:sz w:val="15"/>
                <w:szCs w:val="15"/>
              </w:rPr>
              <w:t xml:space="preserve">os_peca (id_peca)</w:t>
            </w:r>
          </w:p>
        </w:tc>
        <w:tc>
          <w:tcPr>
            <w:tcW w:type="dxa" w:w="1379"/>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29,25</w:t>
            </w:r>
          </w:p>
        </w:tc>
        <w:tc>
          <w:tcPr>
            <w:tcW w:type="dxa" w:w="1379"/>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2,56</w:t>
            </w:r>
          </w:p>
        </w:tc>
        <w:tc>
          <w:tcPr>
            <w:tcW w:type="dxa" w:w="1379"/>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2.870 → 611</w:t>
            </w:r>
          </w:p>
        </w:tc>
      </w:tr>
      <w:tr>
        <w:trPr>
          <w:cantSplit/>
          <w:tblHeader w:val="off"/>
        </w:trPr>
        <w:tc>
          <w:tcPr>
            <w:tcW w:type="dxa" w:w="2324"/>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B6 Veículos de um cliente</w:t>
            </w:r>
          </w:p>
        </w:tc>
        <w:tc>
          <w:tcPr>
            <w:tcW w:type="dxa" w:w="2041"/>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Courier New" w:cs="Courier New" w:eastAsia="Courier New" w:hAnsi="Courier New"/>
                <w:sz w:val="15"/>
                <w:szCs w:val="15"/>
              </w:rPr>
              <w:t xml:space="preserve">veiculo (id_cliente)</w:t>
            </w:r>
          </w:p>
        </w:tc>
        <w:tc>
          <w:tcPr>
            <w:tcW w:type="dxa" w:w="1379"/>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2,00</w:t>
            </w:r>
          </w:p>
        </w:tc>
        <w:tc>
          <w:tcPr>
            <w:tcW w:type="dxa" w:w="1379"/>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0,14</w:t>
            </w:r>
          </w:p>
        </w:tc>
        <w:tc>
          <w:tcPr>
            <w:tcW w:type="dxa" w:w="1379"/>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613 → 4</w:t>
            </w:r>
          </w:p>
        </w:tc>
      </w:tr>
      <w:tr>
        <w:trPr>
          <w:cantSplit/>
          <w:tblHeader w:val="off"/>
        </w:trPr>
        <w:tc>
          <w:tcPr>
            <w:tcW w:type="dxa" w:w="2324"/>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B7 Cliente por parte do nome</w:t>
            </w:r>
          </w:p>
        </w:tc>
        <w:tc>
          <w:tcPr>
            <w:tcW w:type="dxa" w:w="2041"/>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GIN </w:t>
            </w:r>
            <w:r>
              <w:rPr>
                <w:rFonts w:ascii="Courier New" w:cs="Courier New" w:eastAsia="Courier New" w:hAnsi="Courier New"/>
                <w:sz w:val="15"/>
                <w:szCs w:val="15"/>
              </w:rPr>
              <w:t xml:space="preserve">pg_trgm</w:t>
            </w:r>
          </w:p>
        </w:tc>
        <w:tc>
          <w:tcPr>
            <w:tcW w:type="dxa" w:w="1379"/>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12,04</w:t>
            </w:r>
          </w:p>
        </w:tc>
        <w:tc>
          <w:tcPr>
            <w:tcW w:type="dxa" w:w="1379"/>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0,97</w:t>
            </w:r>
          </w:p>
        </w:tc>
        <w:tc>
          <w:tcPr>
            <w:tcW w:type="dxa" w:w="1379"/>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266 → 174</w:t>
            </w:r>
          </w:p>
        </w:tc>
      </w:tr>
      <w:tr>
        <w:trPr>
          <w:cantSplit/>
          <w:tblHeader w:val="off"/>
        </w:trPr>
        <w:tc>
          <w:tcPr>
            <w:tcW w:type="dxa" w:w="2324"/>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B8 OS concluídas (95% das linhas)</w:t>
            </w:r>
          </w:p>
        </w:tc>
        <w:tc>
          <w:tcPr>
            <w:tcW w:type="dxa" w:w="2041"/>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Courier New" w:cs="Courier New" w:eastAsia="Courier New" w:hAnsi="Courier New"/>
                <w:sz w:val="15"/>
                <w:szCs w:val="15"/>
              </w:rPr>
              <w:t xml:space="preserve">(status)</w:t>
            </w:r>
          </w:p>
        </w:tc>
        <w:tc>
          <w:tcPr>
            <w:tcW w:type="dxa" w:w="1379"/>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46,32</w:t>
            </w:r>
          </w:p>
        </w:tc>
        <w:tc>
          <w:tcPr>
            <w:tcW w:type="dxa" w:w="1379"/>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49,09</w:t>
            </w:r>
          </w:p>
        </w:tc>
        <w:tc>
          <w:tcPr>
            <w:tcW w:type="dxa" w:w="1379"/>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ignorado</w:t>
            </w:r>
          </w:p>
        </w:tc>
      </w:tr>
      <w:tr>
        <w:trPr>
          <w:cantSplit/>
          <w:tblHeader w:val="off"/>
        </w:trPr>
        <w:tc>
          <w:tcPr>
            <w:tcW w:type="dxa" w:w="2324"/>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B9 OS abertas (0,2% das linhas)</w:t>
            </w:r>
          </w:p>
        </w:tc>
        <w:tc>
          <w:tcPr>
            <w:tcW w:type="dxa" w:w="2041"/>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Courier New" w:cs="Courier New" w:eastAsia="Courier New" w:hAnsi="Courier New"/>
                <w:sz w:val="15"/>
                <w:szCs w:val="15"/>
              </w:rPr>
              <w:t xml:space="preserve">(status)</w:t>
            </w:r>
          </w:p>
        </w:tc>
        <w:tc>
          <w:tcPr>
            <w:tcW w:type="dxa" w:w="1379"/>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25,46</w:t>
            </w:r>
          </w:p>
        </w:tc>
        <w:tc>
          <w:tcPr>
            <w:tcW w:type="dxa" w:w="1379"/>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1,59</w:t>
            </w:r>
          </w:p>
        </w:tc>
        <w:tc>
          <w:tcPr>
            <w:tcW w:type="dxa" w:w="1379"/>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8.204 → 532</w:t>
            </w:r>
          </w:p>
        </w:tc>
      </w:tr>
      <w:tr>
        <w:trPr>
          <w:cantSplit/>
          <w:tblHeader w:val="off"/>
        </w:trPr>
        <w:tc>
          <w:tcPr>
            <w:tcW w:type="dxa" w:w="2324"/>
            <w:tcBorders>
              <w:top w:val="none" w:color="FFFFFF" w:sz="0"/>
              <w:left w:val="none" w:color="FFFFFF" w:sz="0"/>
              <w:bottom w:val="single" w:color="000000" w:sz="6"/>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W1 Inserir 20 mil OS</w:t>
            </w:r>
          </w:p>
        </w:tc>
        <w:tc>
          <w:tcPr>
            <w:tcW w:type="dxa" w:w="2041"/>
            <w:tcBorders>
              <w:top w:val="none" w:color="FFFFFF" w:sz="0"/>
              <w:left w:val="none" w:color="FFFFFF" w:sz="0"/>
              <w:bottom w:val="single" w:color="000000" w:sz="6"/>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todos os 8</w:t>
            </w:r>
          </w:p>
        </w:tc>
        <w:tc>
          <w:tcPr>
            <w:tcW w:type="dxa" w:w="1379"/>
            <w:tcBorders>
              <w:top w:val="none" w:color="FFFFFF" w:sz="0"/>
              <w:left w:val="none" w:color="FFFFFF" w:sz="0"/>
              <w:bottom w:val="single" w:color="000000" w:sz="6"/>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1.250</w:t>
            </w:r>
          </w:p>
        </w:tc>
        <w:tc>
          <w:tcPr>
            <w:tcW w:type="dxa" w:w="1379"/>
            <w:tcBorders>
              <w:top w:val="none" w:color="FFFFFF" w:sz="0"/>
              <w:left w:val="none" w:color="FFFFFF" w:sz="0"/>
              <w:bottom w:val="single" w:color="000000" w:sz="6"/>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1.578</w:t>
            </w:r>
          </w:p>
        </w:tc>
        <w:tc>
          <w:tcPr>
            <w:tcW w:type="dxa" w:w="1379"/>
            <w:tcBorders>
              <w:top w:val="none" w:color="FFFFFF" w:sz="0"/>
              <w:left w:val="none" w:color="FFFFFF" w:sz="0"/>
              <w:bottom w:val="single" w:color="000000" w:sz="6"/>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+26%</w:t>
            </w:r>
          </w:p>
        </w:tc>
      </w:tr>
    </w:tbl>
    <w:p>
      <w:pPr>
        <w:spacing w:after="120"/>
      </w:pPr>
    </w:p>
    <w:p>
      <w:pPr>
        <w:spacing w:after="120"/>
        <w:ind w:firstLine="720"/>
        <w:jc w:val="both"/>
      </w:pPr>
      <w:r>
        <w:rPr>
          <w:rFonts w:ascii="Times New Roman" w:cs="Times New Roman" w:eastAsia="Times New Roman" w:hAnsi="Times New Roman"/>
          <w:sz w:val="24"/>
          <w:szCs w:val="24"/>
        </w:rPr>
        <w:t xml:space="preserve">O maior ganho veio do índice composto do histórico por placa (B1): a busca da placa já usava o índice criado pelo </w:t>
      </w:r>
      <w:r>
        <w:rPr>
          <w:rFonts w:ascii="Times New Roman" w:cs="Times New Roman" w:eastAsia="Times New Roman" w:hAnsi="Times New Roman"/>
          <w:i/>
          <w:iCs/>
          <w:sz w:val="24"/>
          <w:szCs w:val="24"/>
        </w:rPr>
        <w:t xml:space="preserve">UNIQUE</w:t>
      </w:r>
      <w:r>
        <w:rPr>
          <w:rFonts w:ascii="Times New Roman" w:cs="Times New Roman" w:eastAsia="Times New Roman" w:hAnsi="Times New Roman"/>
          <w:sz w:val="24"/>
          <w:szCs w:val="24"/>
        </w:rPr>
        <w:t xml:space="preserve">, mas as OS do veículo exigiam ler a tabela inteira. Com o índice </w:t>
      </w:r>
      <w:r>
        <w:rPr>
          <w:rFonts w:ascii="Courier New" w:cs="Courier New" w:eastAsia="Courier New" w:hAnsi="Courier New"/>
          <w:sz w:val="20"/>
          <w:szCs w:val="20"/>
        </w:rPr>
        <w:t xml:space="preserve">(id_veiculo, data_abertura DESC)</w:t>
      </w:r>
      <w:r>
        <w:rPr>
          <w:rFonts w:ascii="Times New Roman" w:cs="Times New Roman" w:eastAsia="Times New Roman" w:hAnsi="Times New Roman"/>
          <w:sz w:val="24"/>
          <w:szCs w:val="24"/>
        </w:rPr>
        <w:t xml:space="preserve">, o banco encontra as OS já na ordem pedida e lê 31 páginas em vez de 8.323 (Figura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O painel de pendências (B2) usa um índice </w:t>
      </w:r>
      <w:r>
        <w:rPr>
          <w:rFonts w:ascii="Times New Roman" w:cs="Times New Roman" w:eastAsia="Times New Roman" w:hAnsi="Times New Roman"/>
          <w:i/>
          <w:iCs/>
          <w:sz w:val="24"/>
          <w:szCs w:val="24"/>
        </w:rPr>
        <w:t xml:space="preserve">parcial</w:t>
      </w:r>
      <w:r>
        <w:rPr>
          <w:rFonts w:ascii="Times New Roman" w:cs="Times New Roman" w:eastAsia="Times New Roman" w:hAnsi="Times New Roman"/>
          <w:sz w:val="24"/>
          <w:szCs w:val="24"/>
        </w:rPr>
        <w:t xml:space="preserve">, que contém apenas as cerca de 2.800 OS não finalizadas: ocupa 464 kB, contra cerca de 7 MB de um índice comum de data sobre a tabela inteira (</w:t>
      </w:r>
      <w:r>
        <w:rPr>
          <w:rFonts w:ascii="Courier New" w:cs="Courier New" w:eastAsia="Courier New" w:hAnsi="Courier New"/>
          <w:sz w:val="20"/>
          <w:szCs w:val="20"/>
        </w:rPr>
        <w:t xml:space="preserve">ix_os_conclusao</w:t>
      </w:r>
      <w:r>
        <w:rPr>
          <w:rFonts w:ascii="Times New Roman" w:cs="Times New Roman" w:eastAsia="Times New Roman" w:hAnsi="Times New Roman"/>
          <w:sz w:val="24"/>
          <w:szCs w:val="24"/>
        </w:rPr>
        <w:t xml:space="preserve">), e continua pequeno à medida que o histórico cresce.</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none" w:color="FFFFFF" w:sz="0"/>
              <w:left w:val="none" w:color="FFFFFF" w:sz="0"/>
              <w:bottom w:val="none" w:color="FFFFFF" w:sz="0"/>
              <w:right w:val="none" w:color="FFFFFF" w:sz="0"/>
            </w:tcBorders>
          </w:tcPr>
          <w:p>
            <w:pPr>
              <w:jc w:val="center"/>
            </w:pPr>
            <w:r>
              <w:drawing>
                <wp:inline distT="0" distB="0" distL="0" distR="0">
                  <wp:extent cx="2619375" cy="22669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19375" cy="2266950"/>
                          </a:xfrm>
                          <a:prstGeom prst="rect">
                            <a:avLst/>
                          </a:prstGeom>
                        </pic:spPr>
                      </pic:pic>
                    </a:graphicData>
                  </a:graphic>
                </wp:inline>
              </w:drawing>
            </w:r>
          </w:p>
          <w:p>
            <w:pPr>
              <w:spacing w:after="60"/>
              <w:jc w:val="center"/>
            </w:pPr>
            <w:r>
              <w:rPr>
                <w:rFonts w:ascii="Times New Roman" w:cs="Times New Roman" w:eastAsia="Times New Roman" w:hAnsi="Times New Roman"/>
                <w:sz w:val="18"/>
                <w:szCs w:val="18"/>
              </w:rPr>
              <w:t xml:space="preserve">(a) antes: </w:t>
            </w:r>
            <w:r>
              <w:rPr>
                <w:rFonts w:ascii="Times New Roman" w:cs="Times New Roman" w:eastAsia="Times New Roman" w:hAnsi="Times New Roman"/>
                <w:i/>
                <w:iCs/>
                <w:sz w:val="18"/>
                <w:szCs w:val="18"/>
              </w:rPr>
              <w:t xml:space="preserve">Seq Scan</w:t>
            </w:r>
            <w:r>
              <w:rPr>
                <w:rFonts w:ascii="Times New Roman" w:cs="Times New Roman" w:eastAsia="Times New Roman" w:hAnsi="Times New Roman"/>
                <w:sz w:val="18"/>
                <w:szCs w:val="18"/>
              </w:rPr>
              <w:t xml:space="preserve">, 8.323 páginas</w:t>
            </w:r>
          </w:p>
        </w:tc>
        <w:tc>
          <w:tcPr>
            <w:tcW w:type="dxa" w:w="4252"/>
            <w:tcBorders>
              <w:top w:val="none" w:color="FFFFFF" w:sz="0"/>
              <w:left w:val="none" w:color="FFFFFF" w:sz="0"/>
              <w:bottom w:val="none" w:color="FFFFFF" w:sz="0"/>
              <w:right w:val="none" w:color="FFFFFF" w:sz="0"/>
            </w:tcBorders>
          </w:tcPr>
          <w:p>
            <w:pPr>
              <w:jc w:val="center"/>
            </w:pPr>
            <w:r>
              <w:drawing>
                <wp:inline distT="0" distB="0" distL="0" distR="0">
                  <wp:extent cx="2619375" cy="17907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19375" cy="1790700"/>
                          </a:xfrm>
                          <a:prstGeom prst="rect">
                            <a:avLst/>
                          </a:prstGeom>
                        </pic:spPr>
                      </pic:pic>
                    </a:graphicData>
                  </a:graphic>
                </wp:inline>
              </w:drawing>
            </w:r>
          </w:p>
          <w:p>
            <w:pPr>
              <w:spacing w:after="60"/>
              <w:jc w:val="center"/>
            </w:pPr>
            <w:r>
              <w:rPr>
                <w:rFonts w:ascii="Times New Roman" w:cs="Times New Roman" w:eastAsia="Times New Roman" w:hAnsi="Times New Roman"/>
                <w:sz w:val="18"/>
                <w:szCs w:val="18"/>
              </w:rPr>
              <w:t xml:space="preserve">(b) depois: </w:t>
            </w:r>
            <w:r>
              <w:rPr>
                <w:rFonts w:ascii="Times New Roman" w:cs="Times New Roman" w:eastAsia="Times New Roman" w:hAnsi="Times New Roman"/>
                <w:i/>
                <w:iCs/>
                <w:sz w:val="18"/>
                <w:szCs w:val="18"/>
              </w:rPr>
              <w:t xml:space="preserve">Index Scan</w:t>
            </w:r>
            <w:r>
              <w:rPr>
                <w:rFonts w:ascii="Times New Roman" w:cs="Times New Roman" w:eastAsia="Times New Roman" w:hAnsi="Times New Roman"/>
                <w:sz w:val="18"/>
                <w:szCs w:val="18"/>
              </w:rPr>
              <w:t xml:space="preserve">, 31 páginas</w:t>
            </w:r>
          </w:p>
        </w:tc>
      </w:tr>
    </w:tbl>
    <w:p>
      <w:pPr>
        <w:keepNext w:val="false"/>
        <w:spacing w:after="240" w:before="0"/>
        <w:ind w:left="454" w:right="454"/>
        <w:jc w:val="center"/>
      </w:pPr>
      <w:r>
        <w:rPr>
          <w:rFonts w:ascii="Arial" w:cs="Arial" w:eastAsia="Arial" w:hAnsi="Arial"/>
          <w:b/>
          <w:bCs/>
          <w:sz w:val="20"/>
          <w:szCs w:val="20"/>
        </w:rPr>
        <w:t xml:space="preserve">Figura 6. </w:t>
      </w:r>
      <w:r>
        <w:rPr>
          <w:rFonts w:ascii="Arial" w:cs="Arial" w:eastAsia="Arial" w:hAnsi="Arial"/>
          <w:b/>
          <w:bCs/>
          <w:sz w:val="20"/>
          <w:szCs w:val="20"/>
        </w:rPr>
        <w:t xml:space="preserve">Plano de execução da consulta B1 (histórico por placa) antes e depois do índice.</w:t>
      </w:r>
    </w:p>
    <w:p>
      <w:pPr>
        <w:spacing w:after="120"/>
        <w:ind w:firstLine="720"/>
        <w:jc w:val="both"/>
      </w:pPr>
      <w:r>
        <w:rPr>
          <w:rFonts w:ascii="Times New Roman" w:cs="Times New Roman" w:eastAsia="Times New Roman" w:hAnsi="Times New Roman"/>
          <w:sz w:val="24"/>
          <w:szCs w:val="24"/>
        </w:rPr>
        <w:t xml:space="preserve">Três resultados contrariam a ideia de que “índice sempre ajuda” e justificam testar em vez de supor:</w:t>
      </w:r>
    </w:p>
    <w:p>
      <w:pPr>
        <w:pStyle w:val="ListParagraph"/>
        <w:numPr>
          <w:ilvl w:val="0"/>
          <w:numId w:val="2"/>
        </w:numPr>
        <w:spacing w:after="80"/>
        <w:jc w:val="both"/>
      </w:pPr>
      <w:r>
        <w:rPr>
          <w:rFonts w:ascii="Times New Roman" w:cs="Times New Roman" w:eastAsia="Times New Roman" w:hAnsi="Times New Roman"/>
          <w:b/>
          <w:bCs/>
          <w:sz w:val="24"/>
          <w:szCs w:val="24"/>
        </w:rPr>
        <w:t xml:space="preserve">Baixa seletividade (B8 x B9).</w:t>
      </w:r>
      <w:r>
        <w:rPr>
          <w:rFonts w:ascii="Times New Roman" w:cs="Times New Roman" w:eastAsia="Times New Roman" w:hAnsi="Times New Roman"/>
          <w:sz w:val="24"/>
          <w:szCs w:val="24"/>
        </w:rPr>
        <w:t xml:space="preserve"> O mesmo índice em </w:t>
      </w:r>
      <w:r>
        <w:rPr>
          <w:rFonts w:ascii="Courier New" w:cs="Courier New" w:eastAsia="Courier New" w:hAnsi="Courier New"/>
          <w:sz w:val="20"/>
          <w:szCs w:val="20"/>
        </w:rPr>
        <w:t xml:space="preserve">status</w:t>
      </w:r>
      <w:r>
        <w:rPr>
          <w:rFonts w:ascii="Times New Roman" w:cs="Times New Roman" w:eastAsia="Times New Roman" w:hAnsi="Times New Roman"/>
          <w:sz w:val="24"/>
          <w:szCs w:val="24"/>
        </w:rPr>
        <w:t xml:space="preserve"> foi </w:t>
      </w:r>
      <w:r>
        <w:rPr>
          <w:rFonts w:ascii="Times New Roman" w:cs="Times New Roman" w:eastAsia="Times New Roman" w:hAnsi="Times New Roman"/>
          <w:i/>
          <w:iCs/>
          <w:sz w:val="24"/>
          <w:szCs w:val="24"/>
        </w:rPr>
        <w:t xml:space="preserve">ignorado</w:t>
      </w:r>
      <w:r>
        <w:rPr>
          <w:rFonts w:ascii="Times New Roman" w:cs="Times New Roman" w:eastAsia="Times New Roman" w:hAnsi="Times New Roman"/>
          <w:sz w:val="24"/>
          <w:szCs w:val="24"/>
        </w:rPr>
        <w:t xml:space="preserve"> pelo otimizador quando o filtro pegava 95% das linhas (</w:t>
      </w:r>
      <w:r>
        <w:rPr>
          <w:rFonts w:ascii="Courier New" w:cs="Courier New" w:eastAsia="Courier New" w:hAnsi="Courier New"/>
          <w:sz w:val="20"/>
          <w:szCs w:val="20"/>
        </w:rPr>
        <w:t xml:space="preserve">CONCLUIDA</w:t>
      </w:r>
      <w:r>
        <w:rPr>
          <w:rFonts w:ascii="Times New Roman" w:cs="Times New Roman" w:eastAsia="Times New Roman" w:hAnsi="Times New Roman"/>
          <w:sz w:val="24"/>
          <w:szCs w:val="24"/>
        </w:rPr>
        <w:t xml:space="preserve">), porque ler a tabela em sequência é mais barato que saltar entre índice e tabela, e foi usado quando o filtro pegava 0,2% (</w:t>
      </w:r>
      <w:r>
        <w:rPr>
          <w:rFonts w:ascii="Courier New" w:cs="Courier New" w:eastAsia="Courier New" w:hAnsi="Courier New"/>
          <w:sz w:val="20"/>
          <w:szCs w:val="20"/>
        </w:rPr>
        <w:t xml:space="preserve">ABERTA</w:t>
      </w:r>
      <w:r>
        <w:rPr>
          <w:rFonts w:ascii="Times New Roman" w:cs="Times New Roman" w:eastAsia="Times New Roman" w:hAnsi="Times New Roman"/>
          <w:sz w:val="24"/>
          <w:szCs w:val="24"/>
        </w:rPr>
        <w:t xml:space="preserve">). Como o índice parcial I2 já atende às OS pendentes, o índice em </w:t>
      </w:r>
      <w:r>
        <w:rPr>
          <w:rFonts w:ascii="Courier New" w:cs="Courier New" w:eastAsia="Courier New" w:hAnsi="Courier New"/>
          <w:sz w:val="20"/>
          <w:szCs w:val="20"/>
        </w:rPr>
        <w:t xml:space="preserve">status</w:t>
      </w:r>
      <w:r>
        <w:rPr>
          <w:rFonts w:ascii="Times New Roman" w:cs="Times New Roman" w:eastAsia="Times New Roman" w:hAnsi="Times New Roman"/>
          <w:sz w:val="24"/>
          <w:szCs w:val="24"/>
        </w:rPr>
        <w:t xml:space="preserve"> é candidato a remoção.</w:t>
      </w:r>
    </w:p>
    <w:p>
      <w:pPr>
        <w:pStyle w:val="ListParagraph"/>
        <w:numPr>
          <w:ilvl w:val="0"/>
          <w:numId w:val="2"/>
        </w:numPr>
        <w:spacing w:after="80"/>
        <w:jc w:val="both"/>
      </w:pPr>
      <w:r>
        <w:rPr>
          <w:rFonts w:ascii="Times New Roman" w:cs="Times New Roman" w:eastAsia="Times New Roman" w:hAnsi="Times New Roman"/>
          <w:b/>
          <w:bCs/>
          <w:sz w:val="24"/>
          <w:szCs w:val="24"/>
        </w:rPr>
        <w:t xml:space="preserve">Ganho moderado no faturamento (B4).</w:t>
      </w:r>
      <w:r>
        <w:rPr>
          <w:rFonts w:ascii="Times New Roman" w:cs="Times New Roman" w:eastAsia="Times New Roman" w:hAnsi="Times New Roman"/>
          <w:sz w:val="24"/>
          <w:szCs w:val="24"/>
        </w:rPr>
        <w:t xml:space="preserve"> As OS de um mês estão espalhadas fisicamente pela tabela, pois a carga não seguiu a ordem cronológica; o índice localiza as 4 mil linhas, mas ainda é preciso visitar 2.590 páginas. O ganho foi de 3,7 vezes, bem menor que o das demais consultas.</w:t>
      </w:r>
    </w:p>
    <w:p>
      <w:pPr>
        <w:pStyle w:val="ListParagraph"/>
        <w:numPr>
          <w:ilvl w:val="0"/>
          <w:numId w:val="2"/>
        </w:numPr>
        <w:spacing w:after="80"/>
        <w:jc w:val="both"/>
      </w:pPr>
      <w:r>
        <w:rPr>
          <w:rFonts w:ascii="Times New Roman" w:cs="Times New Roman" w:eastAsia="Times New Roman" w:hAnsi="Times New Roman"/>
          <w:b/>
          <w:bCs/>
          <w:sz w:val="24"/>
          <w:szCs w:val="24"/>
        </w:rPr>
        <w:t xml:space="preserve">Custo na escrita (W1).</w:t>
      </w:r>
      <w:r>
        <w:rPr>
          <w:rFonts w:ascii="Times New Roman" w:cs="Times New Roman" w:eastAsia="Times New Roman" w:hAnsi="Times New Roman"/>
          <w:sz w:val="24"/>
          <w:szCs w:val="24"/>
        </w:rPr>
        <w:t xml:space="preserve"> Com os oito índices, inserir 20 mil OS ficou 26% mais lento, e os índices ocupam cerca de 40 MB. Para uma oficina, em que as consultas são muito mais frequentes que as inserções, a troca compensa, mas ela existe e foi medida.</w:t>
      </w:r>
    </w:p>
    <w:p>
      <w:pPr>
        <w:keepNext/>
        <w:spacing w:after="80" w:before="200"/>
      </w:pPr>
      <w:r>
        <w:rPr>
          <w:rFonts w:ascii="Times New Roman" w:cs="Times New Roman" w:eastAsia="Times New Roman" w:hAnsi="Times New Roman"/>
          <w:b/>
          <w:bCs/>
          <w:sz w:val="24"/>
          <w:szCs w:val="24"/>
        </w:rPr>
        <w:t xml:space="preserve">4.5. </w:t>
      </w:r>
      <w:r>
        <w:rPr>
          <w:rFonts w:ascii="Times New Roman" w:cs="Times New Roman" w:eastAsia="Times New Roman" w:hAnsi="Times New Roman"/>
          <w:b/>
          <w:bCs/>
          <w:sz w:val="24"/>
          <w:szCs w:val="24"/>
        </w:rPr>
        <w:t xml:space="preserve">Visão de totais: </w:t>
      </w:r>
      <w:r>
        <w:rPr>
          <w:rFonts w:ascii="Times New Roman" w:cs="Times New Roman" w:eastAsia="Times New Roman" w:hAnsi="Times New Roman"/>
          <w:b/>
          <w:bCs/>
          <w:i/>
          <w:iCs/>
          <w:sz w:val="24"/>
          <w:szCs w:val="24"/>
        </w:rPr>
        <w:t xml:space="preserve">GROUP BY</w:t>
      </w:r>
      <w:r>
        <w:rPr>
          <w:rFonts w:ascii="Times New Roman" w:cs="Times New Roman" w:eastAsia="Times New Roman" w:hAnsi="Times New Roman"/>
          <w:b/>
          <w:bCs/>
          <w:sz w:val="24"/>
          <w:szCs w:val="24"/>
        </w:rPr>
        <w:t xml:space="preserve"> x </w:t>
      </w:r>
      <w:r>
        <w:rPr>
          <w:rFonts w:ascii="Times New Roman" w:cs="Times New Roman" w:eastAsia="Times New Roman" w:hAnsi="Times New Roman"/>
          <w:b/>
          <w:bCs/>
          <w:i/>
          <w:iCs/>
          <w:sz w:val="24"/>
          <w:szCs w:val="24"/>
        </w:rPr>
        <w:t xml:space="preserve">LATERAL</w:t>
      </w:r>
    </w:p>
    <w:p>
      <w:pPr>
        <w:spacing w:after="120"/>
        <w:ind w:firstLine="720"/>
        <w:jc w:val="both"/>
      </w:pPr>
      <w:r>
        <w:rPr>
          <w:rFonts w:ascii="Times New Roman" w:cs="Times New Roman" w:eastAsia="Times New Roman" w:hAnsi="Times New Roman"/>
          <w:sz w:val="24"/>
          <w:szCs w:val="24"/>
        </w:rPr>
        <w:t xml:space="preserve">A primeira versão da visão </w:t>
      </w:r>
      <w:r>
        <w:rPr>
          <w:rFonts w:ascii="Courier New" w:cs="Courier New" w:eastAsia="Courier New" w:hAnsi="Courier New"/>
          <w:sz w:val="20"/>
          <w:szCs w:val="20"/>
        </w:rPr>
        <w:t xml:space="preserve">vw_os_total</w:t>
      </w:r>
      <w:r>
        <w:rPr>
          <w:rFonts w:ascii="Times New Roman" w:cs="Times New Roman" w:eastAsia="Times New Roman" w:hAnsi="Times New Roman"/>
          <w:sz w:val="24"/>
          <w:szCs w:val="24"/>
        </w:rPr>
        <w:t xml:space="preserve"> somava as peças em uma subconsulta com </w:t>
      </w:r>
      <w:r>
        <w:rPr>
          <w:rFonts w:ascii="Times New Roman" w:cs="Times New Roman" w:eastAsia="Times New Roman" w:hAnsi="Times New Roman"/>
          <w:i/>
          <w:iCs/>
          <w:sz w:val="24"/>
          <w:szCs w:val="24"/>
        </w:rPr>
        <w:t xml:space="preserve">GROUP BY</w:t>
      </w:r>
      <w:r>
        <w:rPr>
          <w:rFonts w:ascii="Times New Roman" w:cs="Times New Roman" w:eastAsia="Times New Roman" w:hAnsi="Times New Roman"/>
          <w:sz w:val="24"/>
          <w:szCs w:val="24"/>
        </w:rPr>
        <w:t xml:space="preserve">. O teste da consulta C01 (histórico por placa usando a visão) revelou que essa forma agrupava os 450 mil itens antes de aplicar o filtro da placa. A segunda versão usa </w:t>
      </w:r>
      <w:r>
        <w:rPr>
          <w:rFonts w:ascii="Courier New" w:cs="Courier New" w:eastAsia="Courier New" w:hAnsi="Courier New"/>
          <w:sz w:val="20"/>
          <w:szCs w:val="20"/>
        </w:rPr>
        <w:t xml:space="preserve">CROSS JOIN LATERAL</w:t>
      </w:r>
      <w:r>
        <w:rPr>
          <w:rFonts w:ascii="Times New Roman" w:cs="Times New Roman" w:eastAsia="Times New Roman" w:hAnsi="Times New Roman"/>
          <w:sz w:val="24"/>
          <w:szCs w:val="24"/>
        </w:rPr>
        <w:t xml:space="preserve">, que soma as peças de cada OS somente depois do filtro. A Tabela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mostra que não há versão melhor em todos os casos: a nova é 633 vezes mais rápida para uma placa, mas duas vezes mais lenta para o relatório que soma todas as OS. A decisão foi manter a versão </w:t>
      </w:r>
      <w:r>
        <w:rPr>
          <w:rFonts w:ascii="Times New Roman" w:cs="Times New Roman" w:eastAsia="Times New Roman" w:hAnsi="Times New Roman"/>
          <w:i/>
          <w:iCs/>
          <w:sz w:val="24"/>
          <w:szCs w:val="24"/>
        </w:rPr>
        <w:t xml:space="preserve">LATERAL</w:t>
      </w:r>
      <w:r>
        <w:rPr>
          <w:rFonts w:ascii="Times New Roman" w:cs="Times New Roman" w:eastAsia="Times New Roman" w:hAnsi="Times New Roman"/>
          <w:sz w:val="24"/>
          <w:szCs w:val="24"/>
        </w:rPr>
        <w:t xml:space="preserve"> na visão, usada no balcão, e escrever os relatórios gerais (como o ranking de clientes, C06) com agregação direta nas tabelas.</w:t>
      </w:r>
    </w:p>
    <w:p>
      <w:pPr>
        <w:keepNext/>
        <w:spacing w:after="80" w:before="120"/>
        <w:ind w:left="454" w:right="454"/>
        <w:jc w:val="center"/>
      </w:pPr>
      <w:r>
        <w:rPr>
          <w:rFonts w:ascii="Arial" w:cs="Arial" w:eastAsia="Arial" w:hAnsi="Arial"/>
          <w:b/>
          <w:bCs/>
          <w:sz w:val="20"/>
          <w:szCs w:val="20"/>
        </w:rPr>
        <w:t xml:space="preserve">Tabela 4. </w:t>
      </w:r>
      <w:r>
        <w:rPr>
          <w:rFonts w:ascii="Arial" w:cs="Arial" w:eastAsia="Arial" w:hAnsi="Arial"/>
          <w:b/>
          <w:bCs/>
          <w:sz w:val="20"/>
          <w:szCs w:val="20"/>
        </w:rPr>
        <w:t xml:space="preserve">Tempo da visão de totais nas duas versões (mediana de 7 execuções).</w:t>
      </w:r>
    </w:p>
    <w:tbl>
      <w:tblPr>
        <w:tblW w:type="dxa" w:w="8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6"/>
        <w:gridCol w:w="2126"/>
        <w:gridCol w:w="2126"/>
        <w:gridCol w:w="2126"/>
      </w:tblGrid>
      <w:tr>
        <w:trPr>
          <w:cantSplit/>
          <w:tblHeader/>
        </w:trPr>
        <w:tc>
          <w:tcPr>
            <w:tcW w:type="dxa" w:w="2126"/>
            <w:tcBorders>
              <w:top w:val="single" w:color="000000" w:sz="6"/>
              <w:left w:val="none" w:color="FFFFFF" w:sz="0"/>
              <w:bottom w:val="single" w:color="000000" w:sz="6"/>
              <w:right w:val="none" w:color="FFFFFF" w:sz="0"/>
            </w:tcBorders>
            <w:tcMar>
              <w:top w:type="dxa" w:w="30"/>
              <w:left w:type="dxa" w:w="70"/>
              <w:bottom w:type="dxa" w:w="30"/>
              <w:right w:type="dxa" w:w="70"/>
            </w:tcMar>
          </w:tcPr>
          <w:p>
            <w:pPr>
              <w:keepNext/>
              <w:jc w:val="left"/>
            </w:pPr>
            <w:r>
              <w:rPr>
                <w:rFonts w:ascii="Times New Roman" w:cs="Times New Roman" w:eastAsia="Times New Roman" w:hAnsi="Times New Roman"/>
                <w:b/>
                <w:bCs/>
                <w:sz w:val="18"/>
                <w:szCs w:val="18"/>
              </w:rPr>
              <w:t xml:space="preserve">Consulta</w:t>
            </w:r>
          </w:p>
        </w:tc>
        <w:tc>
          <w:tcPr>
            <w:tcW w:type="dxa" w:w="2126"/>
            <w:tcBorders>
              <w:top w:val="single" w:color="000000" w:sz="6"/>
              <w:left w:val="none" w:color="FFFFFF" w:sz="0"/>
              <w:bottom w:val="single" w:color="000000" w:sz="6"/>
              <w:right w:val="none" w:color="FFFFFF" w:sz="0"/>
            </w:tcBorders>
            <w:tcMar>
              <w:top w:type="dxa" w:w="30"/>
              <w:left w:type="dxa" w:w="70"/>
              <w:bottom w:type="dxa" w:w="30"/>
              <w:right w:type="dxa" w:w="70"/>
            </w:tcMar>
          </w:tcPr>
          <w:p>
            <w:pPr>
              <w:keepNext/>
              <w:jc w:val="right"/>
            </w:pPr>
            <w:r>
              <w:rPr>
                <w:rFonts w:ascii="Times New Roman" w:cs="Times New Roman" w:eastAsia="Times New Roman" w:hAnsi="Times New Roman"/>
                <w:b/>
                <w:bCs/>
                <w:sz w:val="18"/>
                <w:szCs w:val="18"/>
              </w:rPr>
              <w:t xml:space="preserve">v1 </w:t>
            </w:r>
            <w:r>
              <w:rPr>
                <w:rFonts w:ascii="Times New Roman" w:cs="Times New Roman" w:eastAsia="Times New Roman" w:hAnsi="Times New Roman"/>
                <w:b/>
                <w:bCs/>
                <w:i/>
                <w:iCs/>
                <w:sz w:val="18"/>
                <w:szCs w:val="18"/>
              </w:rPr>
              <w:t xml:space="preserve">GROUP BY</w:t>
            </w:r>
            <w:r>
              <w:rPr>
                <w:rFonts w:ascii="Times New Roman" w:cs="Times New Roman" w:eastAsia="Times New Roman" w:hAnsi="Times New Roman"/>
                <w:b/>
                <w:bCs/>
                <w:sz w:val="18"/>
                <w:szCs w:val="18"/>
              </w:rPr>
              <w:t xml:space="preserve"> (ms)</w:t>
            </w:r>
          </w:p>
        </w:tc>
        <w:tc>
          <w:tcPr>
            <w:tcW w:type="dxa" w:w="2126"/>
            <w:tcBorders>
              <w:top w:val="single" w:color="000000" w:sz="6"/>
              <w:left w:val="none" w:color="FFFFFF" w:sz="0"/>
              <w:bottom w:val="single" w:color="000000" w:sz="6"/>
              <w:right w:val="none" w:color="FFFFFF" w:sz="0"/>
            </w:tcBorders>
            <w:tcMar>
              <w:top w:type="dxa" w:w="30"/>
              <w:left w:type="dxa" w:w="70"/>
              <w:bottom w:type="dxa" w:w="30"/>
              <w:right w:type="dxa" w:w="70"/>
            </w:tcMar>
          </w:tcPr>
          <w:p>
            <w:pPr>
              <w:keepNext/>
              <w:jc w:val="right"/>
            </w:pPr>
            <w:r>
              <w:rPr>
                <w:rFonts w:ascii="Times New Roman" w:cs="Times New Roman" w:eastAsia="Times New Roman" w:hAnsi="Times New Roman"/>
                <w:b/>
                <w:bCs/>
                <w:sz w:val="18"/>
                <w:szCs w:val="18"/>
              </w:rPr>
              <w:t xml:space="preserve">v2 </w:t>
            </w:r>
            <w:r>
              <w:rPr>
                <w:rFonts w:ascii="Times New Roman" w:cs="Times New Roman" w:eastAsia="Times New Roman" w:hAnsi="Times New Roman"/>
                <w:b/>
                <w:bCs/>
                <w:i/>
                <w:iCs/>
                <w:sz w:val="18"/>
                <w:szCs w:val="18"/>
              </w:rPr>
              <w:t xml:space="preserve">LATERAL</w:t>
            </w:r>
            <w:r>
              <w:rPr>
                <w:rFonts w:ascii="Times New Roman" w:cs="Times New Roman" w:eastAsia="Times New Roman" w:hAnsi="Times New Roman"/>
                <w:b/>
                <w:bCs/>
                <w:sz w:val="18"/>
                <w:szCs w:val="18"/>
              </w:rPr>
              <w:t xml:space="preserve"> (ms)</w:t>
            </w:r>
          </w:p>
        </w:tc>
        <w:tc>
          <w:tcPr>
            <w:tcW w:type="dxa" w:w="2126"/>
            <w:tcBorders>
              <w:top w:val="single" w:color="000000" w:sz="6"/>
              <w:left w:val="none" w:color="FFFFFF" w:sz="0"/>
              <w:bottom w:val="single" w:color="000000" w:sz="6"/>
              <w:right w:val="none" w:color="FFFFFF" w:sz="0"/>
            </w:tcBorders>
            <w:tcMar>
              <w:top w:type="dxa" w:w="30"/>
              <w:left w:type="dxa" w:w="70"/>
              <w:bottom w:type="dxa" w:w="30"/>
              <w:right w:type="dxa" w:w="70"/>
            </w:tcMar>
          </w:tcPr>
          <w:p>
            <w:pPr>
              <w:keepNext/>
              <w:jc w:val="right"/>
            </w:pPr>
            <w:r>
              <w:rPr>
                <w:rFonts w:ascii="Times New Roman" w:cs="Times New Roman" w:eastAsia="Times New Roman" w:hAnsi="Times New Roman"/>
                <w:b/>
                <w:bCs/>
                <w:sz w:val="18"/>
                <w:szCs w:val="18"/>
              </w:rPr>
              <w:t xml:space="preserve">v1/v2</w:t>
            </w:r>
          </w:p>
        </w:tc>
      </w:tr>
      <w:tr>
        <w:trPr>
          <w:cantSplit/>
          <w:tblHeader w:val="off"/>
        </w:trPr>
        <w:tc>
          <w:tcPr>
            <w:tcW w:type="dxa" w:w="2126"/>
            <w:tcBorders>
              <w:top w:val="single" w:color="000000" w:sz="6"/>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Histórico de uma placa</w:t>
            </w:r>
          </w:p>
        </w:tc>
        <w:tc>
          <w:tcPr>
            <w:tcW w:type="dxa" w:w="2126"/>
            <w:tcBorders>
              <w:top w:val="single" w:color="000000" w:sz="6"/>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314,46</w:t>
            </w:r>
          </w:p>
        </w:tc>
        <w:tc>
          <w:tcPr>
            <w:tcW w:type="dxa" w:w="2126"/>
            <w:tcBorders>
              <w:top w:val="single" w:color="000000" w:sz="6"/>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0,50</w:t>
            </w:r>
          </w:p>
        </w:tc>
        <w:tc>
          <w:tcPr>
            <w:tcW w:type="dxa" w:w="2126"/>
            <w:tcBorders>
              <w:top w:val="single" w:color="000000" w:sz="6"/>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632,7</w:t>
            </w:r>
          </w:p>
        </w:tc>
      </w:tr>
      <w:tr>
        <w:trPr>
          <w:cantSplit/>
          <w:tblHeader w:val="off"/>
        </w:trPr>
        <w:tc>
          <w:tcPr>
            <w:tcW w:type="dxa" w:w="2126"/>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Faturamento de set/2026</w:t>
            </w:r>
          </w:p>
        </w:tc>
        <w:tc>
          <w:tcPr>
            <w:tcW w:type="dxa" w:w="2126"/>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343,51</w:t>
            </w:r>
          </w:p>
        </w:tc>
        <w:tc>
          <w:tcPr>
            <w:tcW w:type="dxa" w:w="2126"/>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68,57</w:t>
            </w:r>
          </w:p>
        </w:tc>
        <w:tc>
          <w:tcPr>
            <w:tcW w:type="dxa" w:w="2126"/>
            <w:tcBorders>
              <w:top w:val="none" w:color="FFFFFF" w:sz="0"/>
              <w:left w:val="none" w:color="FFFFFF" w:sz="0"/>
              <w:bottom w:val="none" w:color="FFFFFF" w:sz="0"/>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5,0</w:t>
            </w:r>
          </w:p>
        </w:tc>
      </w:tr>
      <w:tr>
        <w:trPr>
          <w:cantSplit/>
          <w:tblHeader w:val="off"/>
        </w:trPr>
        <w:tc>
          <w:tcPr>
            <w:tcW w:type="dxa" w:w="2126"/>
            <w:tcBorders>
              <w:top w:val="none" w:color="FFFFFF" w:sz="0"/>
              <w:left w:val="none" w:color="FFFFFF" w:sz="0"/>
              <w:bottom w:val="single" w:color="000000" w:sz="6"/>
              <w:right w:val="none" w:color="FFFFFF" w:sz="0"/>
            </w:tcBorders>
            <w:tcMar>
              <w:top w:type="dxa" w:w="30"/>
              <w:left w:type="dxa" w:w="70"/>
              <w:bottom w:type="dxa" w:w="30"/>
              <w:right w:type="dxa" w:w="70"/>
            </w:tcMar>
          </w:tcPr>
          <w:p>
            <w:pPr>
              <w:keepNext w:val="false"/>
              <w:jc w:val="left"/>
            </w:pPr>
            <w:r>
              <w:rPr>
                <w:rFonts w:ascii="Times New Roman" w:cs="Times New Roman" w:eastAsia="Times New Roman" w:hAnsi="Times New Roman"/>
                <w:sz w:val="18"/>
                <w:szCs w:val="18"/>
              </w:rPr>
              <w:t xml:space="preserve">Faturamento total (todas as OS)</w:t>
            </w:r>
          </w:p>
        </w:tc>
        <w:tc>
          <w:tcPr>
            <w:tcW w:type="dxa" w:w="2126"/>
            <w:tcBorders>
              <w:top w:val="none" w:color="FFFFFF" w:sz="0"/>
              <w:left w:val="none" w:color="FFFFFF" w:sz="0"/>
              <w:bottom w:val="single" w:color="000000" w:sz="6"/>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969,21</w:t>
            </w:r>
          </w:p>
        </w:tc>
        <w:tc>
          <w:tcPr>
            <w:tcW w:type="dxa" w:w="2126"/>
            <w:tcBorders>
              <w:top w:val="none" w:color="FFFFFF" w:sz="0"/>
              <w:left w:val="none" w:color="FFFFFF" w:sz="0"/>
              <w:bottom w:val="single" w:color="000000" w:sz="6"/>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2.114,03</w:t>
            </w:r>
          </w:p>
        </w:tc>
        <w:tc>
          <w:tcPr>
            <w:tcW w:type="dxa" w:w="2126"/>
            <w:tcBorders>
              <w:top w:val="none" w:color="FFFFFF" w:sz="0"/>
              <w:left w:val="none" w:color="FFFFFF" w:sz="0"/>
              <w:bottom w:val="single" w:color="000000" w:sz="6"/>
              <w:right w:val="none" w:color="FFFFFF" w:sz="0"/>
            </w:tcBorders>
            <w:tcMar>
              <w:top w:type="dxa" w:w="30"/>
              <w:left w:type="dxa" w:w="70"/>
              <w:bottom w:type="dxa" w:w="30"/>
              <w:right w:type="dxa" w:w="70"/>
            </w:tcMar>
          </w:tcPr>
          <w:p>
            <w:pPr>
              <w:keepNext w:val="false"/>
              <w:jc w:val="right"/>
            </w:pPr>
            <w:r>
              <w:rPr>
                <w:rFonts w:ascii="Times New Roman" w:cs="Times New Roman" w:eastAsia="Times New Roman" w:hAnsi="Times New Roman"/>
                <w:sz w:val="18"/>
                <w:szCs w:val="18"/>
              </w:rPr>
              <w:t xml:space="preserve">0,5</w:t>
            </w:r>
          </w:p>
        </w:tc>
      </w:tr>
    </w:tbl>
    <w:p>
      <w:pPr>
        <w:spacing w:after="120"/>
      </w:pPr>
    </w:p>
    <w:p>
      <w:pPr>
        <w:keepNext/>
        <w:spacing w:after="80" w:before="200"/>
      </w:pPr>
      <w:r>
        <w:rPr>
          <w:rFonts w:ascii="Times New Roman" w:cs="Times New Roman" w:eastAsia="Times New Roman" w:hAnsi="Times New Roman"/>
          <w:b/>
          <w:bCs/>
          <w:sz w:val="24"/>
          <w:szCs w:val="24"/>
        </w:rPr>
        <w:t xml:space="preserve">4.6. </w:t>
      </w:r>
      <w:r>
        <w:rPr>
          <w:rFonts w:ascii="Times New Roman" w:cs="Times New Roman" w:eastAsia="Times New Roman" w:hAnsi="Times New Roman"/>
          <w:b/>
          <w:bCs/>
          <w:sz w:val="24"/>
          <w:szCs w:val="24"/>
        </w:rPr>
        <w:t xml:space="preserve">Consultas de negócio</w:t>
      </w:r>
    </w:p>
    <w:p>
      <w:pPr>
        <w:spacing w:after="120"/>
        <w:ind w:firstLine="720"/>
        <w:jc w:val="both"/>
      </w:pPr>
      <w:r>
        <w:rPr>
          <w:rFonts w:ascii="Times New Roman" w:cs="Times New Roman" w:eastAsia="Times New Roman" w:hAnsi="Times New Roman"/>
          <w:sz w:val="24"/>
          <w:szCs w:val="24"/>
        </w:rPr>
        <w:t xml:space="preserve">Oito consultas respondem às perguntas da oficina (pasta </w:t>
      </w:r>
      <w:r>
        <w:rPr>
          <w:rFonts w:ascii="Courier New" w:cs="Courier New" w:eastAsia="Courier New" w:hAnsi="Courier New"/>
          <w:sz w:val="20"/>
          <w:szCs w:val="20"/>
        </w:rPr>
        <w:t xml:space="preserve">consultas/</w:t>
      </w:r>
      <w:r>
        <w:rPr>
          <w:rFonts w:ascii="Times New Roman" w:cs="Times New Roman" w:eastAsia="Times New Roman" w:hAnsi="Times New Roman"/>
          <w:sz w:val="24"/>
          <w:szCs w:val="24"/>
        </w:rPr>
        <w:t xml:space="preserve">): histórico por placa (C01); faturamento mensal com peças, mão de obra e tíquete médio (C02); ranking de mecânicos com </w:t>
      </w:r>
      <w:r>
        <w:rPr>
          <w:rFonts w:ascii="Courier New" w:cs="Courier New" w:eastAsia="Courier New" w:hAnsi="Courier New"/>
          <w:sz w:val="20"/>
          <w:szCs w:val="20"/>
        </w:rPr>
        <w:t xml:space="preserve">RANK()</w:t>
      </w:r>
      <w:r>
        <w:rPr>
          <w:rFonts w:ascii="Times New Roman" w:cs="Times New Roman" w:eastAsia="Times New Roman" w:hAnsi="Times New Roman"/>
          <w:sz w:val="24"/>
          <w:szCs w:val="24"/>
        </w:rPr>
        <w:t xml:space="preserve"> (C03); peças abaixo do estoque mínimo, com o consumo dos últimos 90 dias (C04); OS pendentes há mais de sete dias (C05); os dez clientes que mais gastaram e sua participação no faturamento (C06); taxa de retrabalho por mecânico (C07); e uma conferência de totais (C08). Em 2026, o tíquete médio mensal ficou entre R$ 748 e R$ 770. A consulta C08 confirmou que o total das OS concluídas calculado pela visão é igual à soma feita direto nas tabelas (R$ 216.799.627,25 nos dois casos).</w:t>
      </w:r>
    </w:p>
    <w:p>
      <w:pPr>
        <w:spacing w:after="120"/>
        <w:ind w:firstLine="720"/>
        <w:jc w:val="both"/>
      </w:pPr>
      <w:r>
        <w:rPr>
          <w:rFonts w:ascii="Times New Roman" w:cs="Times New Roman" w:eastAsia="Times New Roman" w:hAnsi="Times New Roman"/>
          <w:sz w:val="24"/>
          <w:szCs w:val="24"/>
        </w:rPr>
        <w:t xml:space="preserve">O teste da C04 encontrou um erro na primeira versão da consulta: a junção externa com a condição de data no </w:t>
      </w:r>
      <w:r>
        <w:rPr>
          <w:rFonts w:ascii="Times New Roman" w:cs="Times New Roman" w:eastAsia="Times New Roman" w:hAnsi="Times New Roman"/>
          <w:i/>
          <w:iCs/>
          <w:sz w:val="24"/>
          <w:szCs w:val="24"/>
        </w:rPr>
        <w:t xml:space="preserve">ON</w:t>
      </w:r>
      <w:r>
        <w:rPr>
          <w:rFonts w:ascii="Times New Roman" w:cs="Times New Roman" w:eastAsia="Times New Roman" w:hAnsi="Times New Roman"/>
          <w:sz w:val="24"/>
          <w:szCs w:val="24"/>
        </w:rPr>
        <w:t xml:space="preserve"> somava o consumo de </w:t>
      </w:r>
      <w:r>
        <w:rPr>
          <w:rFonts w:ascii="Times New Roman" w:cs="Times New Roman" w:eastAsia="Times New Roman" w:hAnsi="Times New Roman"/>
          <w:i/>
          <w:iCs/>
          <w:sz w:val="24"/>
          <w:szCs w:val="24"/>
        </w:rPr>
        <w:t xml:space="preserve">todos</w:t>
      </w:r>
      <w:r>
        <w:rPr>
          <w:rFonts w:ascii="Times New Roman" w:cs="Times New Roman" w:eastAsia="Times New Roman" w:hAnsi="Times New Roman"/>
          <w:sz w:val="24"/>
          <w:szCs w:val="24"/>
        </w:rPr>
        <w:t xml:space="preserve"> os períodos, e algumas peças apareciam com cerca de 3.000 unidades consumidas em 90 dias. Após mover a agregação para uma subconsulta filtrada, o maior consumo passou a ser de 61 unidades, coerente com o volume de OS. A Figura </w:t>
      </w:r>
      <w:r>
        <w:rPr>
          <w:rFonts w:ascii="Times New Roman" w:cs="Times New Roman" w:eastAsia="Times New Roman" w:hAnsi="Times New Roman"/>
          <w:sz w:val="24"/>
          <w:szCs w:val="24"/>
        </w:rPr>
        <w:t xml:space="preserve">7</w:t>
      </w:r>
      <w:r>
        <w:rPr>
          <w:rFonts w:ascii="Times New Roman" w:cs="Times New Roman" w:eastAsia="Times New Roman" w:hAnsi="Times New Roman"/>
          <w:sz w:val="24"/>
          <w:szCs w:val="24"/>
        </w:rPr>
        <w:t xml:space="preserve"> mostra a C07, que usa a função de janela </w:t>
      </w:r>
      <w:r>
        <w:rPr>
          <w:rFonts w:ascii="Courier New" w:cs="Courier New" w:eastAsia="Courier New" w:hAnsi="Courier New"/>
          <w:sz w:val="20"/>
          <w:szCs w:val="20"/>
        </w:rPr>
        <w:t xml:space="preserve">LAG()</w:t>
      </w:r>
      <w:r>
        <w:rPr>
          <w:rFonts w:ascii="Times New Roman" w:cs="Times New Roman" w:eastAsia="Times New Roman" w:hAnsi="Times New Roman"/>
          <w:sz w:val="24"/>
          <w:szCs w:val="24"/>
        </w:rPr>
        <w:t xml:space="preserve"> para comparar cada OS com a anterior do mesmo veículo: quando o carro volta com o mesmo problema em até 30 dias, o retorno é atribuído ao mecânico da OS anterior. A taxa mais alta foi de 1,85%.</w:t>
      </w:r>
    </w:p>
    <w:p>
      <w:pPr>
        <w:keepNext/>
        <w:spacing w:after="60" w:before="120"/>
        <w:jc w:val="center"/>
      </w:pPr>
      <w:r>
        <w:drawing>
          <wp:inline distT="0" distB="0" distL="0" distR="0">
            <wp:extent cx="5400675" cy="36671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3667125"/>
                    </a:xfrm>
                    <a:prstGeom prst="rect">
                      <a:avLst/>
                    </a:prstGeom>
                  </pic:spPr>
                </pic:pic>
              </a:graphicData>
            </a:graphic>
          </wp:inline>
        </w:drawing>
      </w:r>
    </w:p>
    <w:p>
      <w:pPr>
        <w:keepNext w:val="false"/>
        <w:spacing w:after="240" w:before="0"/>
        <w:ind w:left="454" w:right="454"/>
        <w:jc w:val="center"/>
      </w:pPr>
      <w:r>
        <w:rPr>
          <w:rFonts w:ascii="Arial" w:cs="Arial" w:eastAsia="Arial" w:hAnsi="Arial"/>
          <w:b/>
          <w:bCs/>
          <w:sz w:val="20"/>
          <w:szCs w:val="20"/>
        </w:rPr>
        <w:t xml:space="preserve">Figura 7. </w:t>
      </w:r>
      <w:r>
        <w:rPr>
          <w:rFonts w:ascii="Arial" w:cs="Arial" w:eastAsia="Arial" w:hAnsi="Arial"/>
          <w:b/>
          <w:bCs/>
          <w:sz w:val="20"/>
          <w:szCs w:val="20"/>
        </w:rPr>
        <w:t xml:space="preserve">Consulta C07: taxa de retrabalho por mecânico calculada com a função de janela </w:t>
      </w:r>
      <w:r>
        <w:rPr>
          <w:rFonts w:ascii="Courier New" w:cs="Courier New" w:eastAsia="Courier New" w:hAnsi="Courier New"/>
          <w:b/>
          <w:bCs/>
          <w:sz w:val="17"/>
          <w:szCs w:val="17"/>
        </w:rPr>
        <w:t xml:space="preserve">LAG()</w:t>
      </w:r>
      <w:r>
        <w:rPr>
          <w:rFonts w:ascii="Arial" w:cs="Arial" w:eastAsia="Arial" w:hAnsi="Arial"/>
          <w:b/>
          <w:bCs/>
          <w:sz w:val="20"/>
          <w:szCs w:val="20"/>
        </w:rPr>
        <w:t xml:space="preserve">.</w:t>
      </w:r>
    </w:p>
    <w:p>
      <w:pPr>
        <w:keepNext/>
        <w:spacing w:after="80" w:before="200"/>
      </w:pPr>
      <w:r>
        <w:rPr>
          <w:rFonts w:ascii="Times New Roman" w:cs="Times New Roman" w:eastAsia="Times New Roman" w:hAnsi="Times New Roman"/>
          <w:b/>
          <w:bCs/>
          <w:sz w:val="24"/>
          <w:szCs w:val="24"/>
        </w:rPr>
        <w:t xml:space="preserve">4.7. </w:t>
      </w:r>
      <w:r>
        <w:rPr>
          <w:rFonts w:ascii="Times New Roman" w:cs="Times New Roman" w:eastAsia="Times New Roman" w:hAnsi="Times New Roman"/>
          <w:b/>
          <w:bCs/>
          <w:sz w:val="24"/>
          <w:szCs w:val="24"/>
        </w:rPr>
        <w:t xml:space="preserve">Acompanhamento ágil no GitHub</w:t>
      </w:r>
    </w:p>
    <w:p>
      <w:pPr>
        <w:spacing w:after="120"/>
        <w:ind w:firstLine="720"/>
        <w:jc w:val="both"/>
      </w:pPr>
      <w:r>
        <w:rPr>
          <w:rFonts w:ascii="Times New Roman" w:cs="Times New Roman" w:eastAsia="Times New Roman" w:hAnsi="Times New Roman"/>
          <w:sz w:val="24"/>
          <w:szCs w:val="24"/>
        </w:rPr>
        <w:t xml:space="preserve">O repositório reúne o SQL (</w:t>
      </w:r>
      <w:r>
        <w:rPr>
          <w:rFonts w:ascii="Courier New" w:cs="Courier New" w:eastAsia="Courier New" w:hAnsi="Courier New"/>
          <w:sz w:val="20"/>
          <w:szCs w:val="20"/>
        </w:rPr>
        <w:t xml:space="preserve">sql/01</w:t>
      </w:r>
      <w:r>
        <w:rPr>
          <w:rFonts w:ascii="Times New Roman" w:cs="Times New Roman" w:eastAsia="Times New Roman" w:hAnsi="Times New Roman"/>
          <w:sz w:val="24"/>
          <w:szCs w:val="24"/>
        </w:rPr>
        <w:t xml:space="preserve"> a </w:t>
      </w:r>
      <w:r>
        <w:rPr>
          <w:rFonts w:ascii="Courier New" w:cs="Courier New" w:eastAsia="Courier New" w:hAnsi="Courier New"/>
          <w:sz w:val="20"/>
          <w:szCs w:val="20"/>
        </w:rPr>
        <w:t xml:space="preserve">sql/04</w:t>
      </w:r>
      <w:r>
        <w:rPr>
          <w:rFonts w:ascii="Times New Roman" w:cs="Times New Roman" w:eastAsia="Times New Roman" w:hAnsi="Times New Roman"/>
          <w:sz w:val="24"/>
          <w:szCs w:val="24"/>
        </w:rPr>
        <w:t xml:space="preserve">), os 34 testes, as consultas, os scripts e a pasta </w:t>
      </w:r>
      <w:r>
        <w:rPr>
          <w:rFonts w:ascii="Courier New" w:cs="Courier New" w:eastAsia="Courier New" w:hAnsi="Courier New"/>
          <w:sz w:val="20"/>
          <w:szCs w:val="20"/>
        </w:rPr>
        <w:t xml:space="preserve">evidencias/</w:t>
      </w:r>
      <w:r>
        <w:rPr>
          <w:rFonts w:ascii="Times New Roman" w:cs="Times New Roman" w:eastAsia="Times New Roman" w:hAnsi="Times New Roman"/>
          <w:sz w:val="24"/>
          <w:szCs w:val="24"/>
        </w:rPr>
        <w:t xml:space="preserve">, com um arquivo de log, uma captura de tela por teste e as tabelas em CSV. O script </w:t>
      </w:r>
      <w:r>
        <w:rPr>
          <w:rFonts w:ascii="Courier New" w:cs="Courier New" w:eastAsia="Courier New" w:hAnsi="Courier New"/>
          <w:sz w:val="20"/>
          <w:szCs w:val="20"/>
        </w:rPr>
        <w:t xml:space="preserve">criar_quadro_github.sh</w:t>
      </w:r>
      <w:r>
        <w:rPr>
          <w:rFonts w:ascii="Times New Roman" w:cs="Times New Roman" w:eastAsia="Times New Roman" w:hAnsi="Times New Roman"/>
          <w:sz w:val="24"/>
          <w:szCs w:val="24"/>
        </w:rPr>
        <w:t xml:space="preserve"> cria os rótulos, as cinco sprints como </w:t>
      </w:r>
      <w:r>
        <w:rPr>
          <w:rFonts w:ascii="Times New Roman" w:cs="Times New Roman" w:eastAsia="Times New Roman" w:hAnsi="Times New Roman"/>
          <w:i/>
          <w:iCs/>
          <w:sz w:val="24"/>
          <w:szCs w:val="24"/>
        </w:rPr>
        <w:t xml:space="preserve">milestones</w:t>
      </w:r>
      <w:r>
        <w:rPr>
          <w:rFonts w:ascii="Times New Roman" w:cs="Times New Roman" w:eastAsia="Times New Roman" w:hAnsi="Times New Roman"/>
          <w:sz w:val="24"/>
          <w:szCs w:val="24"/>
        </w:rPr>
        <w:t xml:space="preserve">, 17 </w:t>
      </w:r>
      <w:r>
        <w:rPr>
          <w:rFonts w:ascii="Times New Roman" w:cs="Times New Roman" w:eastAsia="Times New Roman" w:hAnsi="Times New Roman"/>
          <w:i/>
          <w:iCs/>
          <w:sz w:val="24"/>
          <w:szCs w:val="24"/>
        </w:rPr>
        <w:t xml:space="preserve">issues</w:t>
      </w:r>
      <w:r>
        <w:rPr>
          <w:rFonts w:ascii="Times New Roman" w:cs="Times New Roman" w:eastAsia="Times New Roman" w:hAnsi="Times New Roman"/>
          <w:sz w:val="24"/>
          <w:szCs w:val="24"/>
        </w:rPr>
        <w:t xml:space="preserve"> de backlog e o quadro Kanban no GitHub Projects, em que o professor acompanha o que está a fazer, em andamento e concluído. O GitHub Actions recria o banco e executa todos os testes a cada envio, de modo que o selo “passing” no README é ele próprio uma evidência atualizada.</w:t>
      </w:r>
    </w:p>
    <w:p>
      <w:pPr>
        <w:keepNext/>
        <w:spacing w:after="120" w:before="240"/>
      </w:pPr>
      <w:r>
        <w:rPr>
          <w:rFonts w:ascii="Times New Roman" w:cs="Times New Roman" w:eastAsia="Times New Roman" w:hAnsi="Times New Roman"/>
          <w:b/>
          <w:bCs/>
          <w:sz w:val="26"/>
          <w:szCs w:val="26"/>
        </w:rPr>
        <w:t xml:space="preserve">5. </w:t>
      </w:r>
      <w:r>
        <w:rPr>
          <w:rFonts w:ascii="Times New Roman" w:cs="Times New Roman" w:eastAsia="Times New Roman" w:hAnsi="Times New Roman"/>
          <w:b/>
          <w:bCs/>
          <w:sz w:val="26"/>
          <w:szCs w:val="26"/>
        </w:rPr>
        <w:t xml:space="preserve">Conclusão</w:t>
      </w:r>
    </w:p>
    <w:p>
      <w:pPr>
        <w:spacing w:after="120"/>
        <w:ind w:firstLine="720"/>
        <w:jc w:val="both"/>
      </w:pPr>
      <w:r>
        <w:rPr>
          <w:rFonts w:ascii="Times New Roman" w:cs="Times New Roman" w:eastAsia="Times New Roman" w:hAnsi="Times New Roman"/>
          <w:sz w:val="24"/>
          <w:szCs w:val="24"/>
        </w:rPr>
        <w:t xml:space="preserve">Este trabalho implementou em PostgreSQL um banco de dados para o controle de ordens de serviço de uma oficina mecânica e verificou cada decisão por teste. As seis falhas descritas na introdução (placa duplicada, peça sem baixa, OS sem responsável, hodômetro voltando, OS fechada alterada e histórico lento) passaram a ser impedidas ou resolvidas pelo próprio banco, conforme comprovado pelos 34 testes, todos com o resultado e o código de erro esperados. Os índices reduziram as consultas da rotina em uma a duas ordens de grandeza, e o histórico por placa caiu de 30,60 ms para 0,25 ms.</w:t>
      </w:r>
    </w:p>
    <w:p>
      <w:pPr>
        <w:spacing w:after="120"/>
        <w:ind w:firstLine="720"/>
        <w:jc w:val="both"/>
      </w:pPr>
      <w:r>
        <w:rPr>
          <w:rFonts w:ascii="Times New Roman" w:cs="Times New Roman" w:eastAsia="Times New Roman" w:hAnsi="Times New Roman"/>
          <w:sz w:val="24"/>
          <w:szCs w:val="24"/>
        </w:rPr>
        <w:t xml:space="preserve">A principal lição veio dos resultados negativos: um índice ignorado por baixa seletividade, uma visão mais rápida em um caso e mais lenta em outro, um custo de 26% na escrita e um erro de lógica encontrado em uma consulta de estoque. Nenhum deles teria aparecido sem teste.</w:t>
      </w:r>
    </w:p>
    <w:p>
      <w:pPr>
        <w:spacing w:after="120"/>
        <w:ind w:firstLine="720"/>
        <w:jc w:val="both"/>
      </w:pPr>
      <w:r>
        <w:rPr>
          <w:rFonts w:ascii="Times New Roman" w:cs="Times New Roman" w:eastAsia="Times New Roman" w:hAnsi="Times New Roman"/>
          <w:sz w:val="24"/>
          <w:szCs w:val="24"/>
        </w:rPr>
        <w:t xml:space="preserve">Como limitações, os dados são sintéticos e as medições foram feitas em uma única máquina, então os tempos absolutos variam; o número de páginas lidas é a medida mais estável. O CPF é validado apenas no formato, sem cálculo dos dígitos verificadores, e o comportamento do estoque com vários mecânicos lançando a mesma peça ao mesmo tempo não foi testado. Como trabalhos futuros, sugere-se validar os dígitos do CPF/CNPJ, testar a concorrência no estoque com duas sessões simultâneas, avaliar o reagrupamento físico da tabela por data (</w:t>
      </w:r>
      <w:r>
        <w:rPr>
          <w:rFonts w:ascii="Courier New" w:cs="Courier New" w:eastAsia="Courier New" w:hAnsi="Courier New"/>
          <w:sz w:val="20"/>
          <w:szCs w:val="20"/>
        </w:rPr>
        <w:t xml:space="preserve">CLUSTER</w:t>
      </w:r>
      <w:r>
        <w:rPr>
          <w:rFonts w:ascii="Times New Roman" w:cs="Times New Roman" w:eastAsia="Times New Roman" w:hAnsi="Times New Roman"/>
          <w:sz w:val="24"/>
          <w:szCs w:val="24"/>
        </w:rPr>
        <w:t xml:space="preserve">) para o faturamento mensal e testar o modelo com dados reais anonimizados de uma oficina de Aracaju.</w:t>
      </w:r>
    </w:p>
    <w:p>
      <w:pPr>
        <w:keepNext/>
        <w:spacing w:after="120" w:before="240"/>
      </w:pPr>
      <w:r>
        <w:rPr>
          <w:rFonts w:ascii="Times New Roman" w:cs="Times New Roman" w:eastAsia="Times New Roman" w:hAnsi="Times New Roman"/>
          <w:b/>
          <w:bCs/>
          <w:sz w:val="26"/>
          <w:szCs w:val="26"/>
        </w:rPr>
        <w:t xml:space="preserve">Declaração de Uso de Inteligência Artificial</w:t>
      </w:r>
    </w:p>
    <w:p>
      <w:pPr>
        <w:spacing w:after="120"/>
        <w:ind w:firstLine="720"/>
        <w:jc w:val="both"/>
      </w:pPr>
      <w:r>
        <w:rPr>
          <w:rFonts w:ascii="Times New Roman" w:cs="Times New Roman" w:eastAsia="Times New Roman" w:hAnsi="Times New Roman"/>
          <w:sz w:val="24"/>
          <w:szCs w:val="24"/>
        </w:rPr>
        <w:t xml:space="preserve">Em conformidade com a Portaria CNPq nº 2.664/2026 e o Art. 12º do Manual de Normas, os autores declaram que utilizaram a ferramenta de IA generativa Claude (Anthropic, modelo Claude Opus 5.5) nas seguintes etapas: (i) apoio à modelagem e à escrita do código SQL (tabelas, restrições, gatilhos, índices e consultas); (ii) escrita dos scripts de automação dos testes e das medições; e (iii) redação preliminar e revisão do texto deste artigo. Todos os testes e medições foram executados no PostgreSQL, e os números apresentados foram extraídos das saídas reais do banco, disponíveis na pasta </w:t>
      </w:r>
      <w:r>
        <w:rPr>
          <w:rFonts w:ascii="Courier New" w:cs="Courier New" w:eastAsia="Courier New" w:hAnsi="Courier New"/>
          <w:sz w:val="20"/>
          <w:szCs w:val="20"/>
        </w:rPr>
        <w:t xml:space="preserve">evidencias/</w:t>
      </w:r>
      <w:r>
        <w:rPr>
          <w:rFonts w:ascii="Times New Roman" w:cs="Times New Roman" w:eastAsia="Times New Roman" w:hAnsi="Times New Roman"/>
          <w:sz w:val="24"/>
          <w:szCs w:val="24"/>
        </w:rPr>
        <w:t xml:space="preserve"> do repositório. Os autores revisaram o código, reexecutaram os testes e são integralmente responsáveis pelo conteúdo. [Revisar e ajustar esta declaração conforme o uso efetivo pelo grupo.]</w:t>
      </w:r>
    </w:p>
    <w:p>
      <w:pPr>
        <w:keepNext/>
        <w:spacing w:after="120" w:before="240"/>
      </w:pPr>
      <w:r>
        <w:rPr>
          <w:rFonts w:ascii="Times New Roman" w:cs="Times New Roman" w:eastAsia="Times New Roman" w:hAnsi="Times New Roman"/>
          <w:b/>
          <w:bCs/>
          <w:sz w:val="26"/>
          <w:szCs w:val="26"/>
        </w:rPr>
        <w:t xml:space="preserve">Referências</w:t>
      </w:r>
    </w:p>
    <w:p>
      <w:pPr>
        <w:spacing w:after="120"/>
        <w:ind w:left="454" w:hanging="454"/>
        <w:jc w:val="left"/>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Codd, E. F. A relational model of data for large shared data banks. </w:t>
      </w:r>
      <w:r>
        <w:rPr>
          <w:rFonts w:ascii="Times New Roman" w:cs="Times New Roman" w:eastAsia="Times New Roman" w:hAnsi="Times New Roman"/>
          <w:i/>
          <w:iCs/>
          <w:sz w:val="24"/>
          <w:szCs w:val="24"/>
        </w:rPr>
        <w:t xml:space="preserve">Communications of the ACM</w:t>
      </w:r>
      <w:r>
        <w:rPr>
          <w:rFonts w:ascii="Times New Roman" w:cs="Times New Roman" w:eastAsia="Times New Roman" w:hAnsi="Times New Roman"/>
          <w:sz w:val="24"/>
          <w:szCs w:val="24"/>
        </w:rPr>
        <w:t xml:space="preserve">, v. 13, n. 6, p. 377–387, 1970.</w:t>
      </w:r>
    </w:p>
    <w:p>
      <w:pPr>
        <w:spacing w:after="120"/>
        <w:ind w:left="454" w:hanging="454"/>
        <w:jc w:val="left"/>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Elmasri, R.; Navathe, S. B. </w:t>
      </w:r>
      <w:r>
        <w:rPr>
          <w:rFonts w:ascii="Times New Roman" w:cs="Times New Roman" w:eastAsia="Times New Roman" w:hAnsi="Times New Roman"/>
          <w:i/>
          <w:iCs/>
          <w:sz w:val="24"/>
          <w:szCs w:val="24"/>
        </w:rPr>
        <w:t xml:space="preserve">Fundamentals of Database Systems</w:t>
      </w:r>
      <w:r>
        <w:rPr>
          <w:rFonts w:ascii="Times New Roman" w:cs="Times New Roman" w:eastAsia="Times New Roman" w:hAnsi="Times New Roman"/>
          <w:sz w:val="24"/>
          <w:szCs w:val="24"/>
        </w:rPr>
        <w:t xml:space="preserve">. 7. ed. Boston: Pearson, 2016.</w:t>
      </w:r>
    </w:p>
    <w:p>
      <w:pPr>
        <w:spacing w:after="120"/>
        <w:ind w:left="454" w:hanging="454"/>
        <w:jc w:val="left"/>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Silberschatz, A.; Korth, H. F.; Sudarshan, S. </w:t>
      </w:r>
      <w:r>
        <w:rPr>
          <w:rFonts w:ascii="Times New Roman" w:cs="Times New Roman" w:eastAsia="Times New Roman" w:hAnsi="Times New Roman"/>
          <w:i/>
          <w:iCs/>
          <w:sz w:val="24"/>
          <w:szCs w:val="24"/>
        </w:rPr>
        <w:t xml:space="preserve">Database System Concepts</w:t>
      </w:r>
      <w:r>
        <w:rPr>
          <w:rFonts w:ascii="Times New Roman" w:cs="Times New Roman" w:eastAsia="Times New Roman" w:hAnsi="Times New Roman"/>
          <w:sz w:val="24"/>
          <w:szCs w:val="24"/>
        </w:rPr>
        <w:t xml:space="preserve">. 7. ed. New York: McGraw-Hill, 2019.</w:t>
      </w:r>
    </w:p>
    <w:p>
      <w:pPr>
        <w:spacing w:after="120"/>
        <w:ind w:left="454" w:hanging="454"/>
        <w:jc w:val="left"/>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PostgreSQL Global Development Group. </w:t>
      </w:r>
      <w:r>
        <w:rPr>
          <w:rFonts w:ascii="Times New Roman" w:cs="Times New Roman" w:eastAsia="Times New Roman" w:hAnsi="Times New Roman"/>
          <w:i/>
          <w:iCs/>
          <w:sz w:val="24"/>
          <w:szCs w:val="24"/>
        </w:rPr>
        <w:t xml:space="preserve">PostgreSQL 16 Documentation</w:t>
      </w:r>
      <w:r>
        <w:rPr>
          <w:rFonts w:ascii="Times New Roman" w:cs="Times New Roman" w:eastAsia="Times New Roman" w:hAnsi="Times New Roman"/>
          <w:sz w:val="24"/>
          <w:szCs w:val="24"/>
        </w:rPr>
        <w:t xml:space="preserve">: Constraints; Domains; Triggers; Indexes; Partial Indexes; Using EXPLAIN; pg_trgm. Disponível em: </w:t>
      </w:r>
      <w:r>
        <w:rPr>
          <w:rFonts w:ascii="Courier New" w:cs="Courier New" w:eastAsia="Courier New" w:hAnsi="Courier New"/>
          <w:sz w:val="20"/>
          <w:szCs w:val="20"/>
        </w:rPr>
        <w:t xml:space="preserve">https://www.postgresql.org/docs/16/</w:t>
      </w:r>
      <w:r>
        <w:rPr>
          <w:rFonts w:ascii="Times New Roman" w:cs="Times New Roman" w:eastAsia="Times New Roman" w:hAnsi="Times New Roman"/>
          <w:sz w:val="24"/>
          <w:szCs w:val="24"/>
        </w:rPr>
        <w:t xml:space="preserve">. Acesso em: 26 out. 2026.</w:t>
      </w:r>
    </w:p>
    <w:p>
      <w:pPr>
        <w:spacing w:after="120"/>
        <w:ind w:left="454" w:hanging="454"/>
        <w:jc w:val="left"/>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Winand, M. </w:t>
      </w:r>
      <w:r>
        <w:rPr>
          <w:rFonts w:ascii="Times New Roman" w:cs="Times New Roman" w:eastAsia="Times New Roman" w:hAnsi="Times New Roman"/>
          <w:i/>
          <w:iCs/>
          <w:sz w:val="24"/>
          <w:szCs w:val="24"/>
        </w:rPr>
        <w:t xml:space="preserve">SQL Performance Explained</w:t>
      </w:r>
      <w:r>
        <w:rPr>
          <w:rFonts w:ascii="Times New Roman" w:cs="Times New Roman" w:eastAsia="Times New Roman" w:hAnsi="Times New Roman"/>
          <w:sz w:val="24"/>
          <w:szCs w:val="24"/>
        </w:rPr>
        <w:t xml:space="preserve">. Viena: Markus Winand, 2012.</w:t>
      </w:r>
    </w:p>
    <w:p>
      <w:pPr>
        <w:spacing w:after="120"/>
        <w:ind w:left="454" w:hanging="454"/>
        <w:jc w:val="left"/>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Schwaber, K.; Sutherland, J. </w:t>
      </w:r>
      <w:r>
        <w:rPr>
          <w:rFonts w:ascii="Times New Roman" w:cs="Times New Roman" w:eastAsia="Times New Roman" w:hAnsi="Times New Roman"/>
          <w:i/>
          <w:iCs/>
          <w:sz w:val="24"/>
          <w:szCs w:val="24"/>
        </w:rPr>
        <w:t xml:space="preserve">The Scrum Guide</w:t>
      </w:r>
      <w:r>
        <w:rPr>
          <w:rFonts w:ascii="Times New Roman" w:cs="Times New Roman" w:eastAsia="Times New Roman" w:hAnsi="Times New Roman"/>
          <w:sz w:val="24"/>
          <w:szCs w:val="24"/>
        </w:rPr>
        <w:t xml:space="preserve">. 2020. Disponível em: </w:t>
      </w:r>
      <w:r>
        <w:rPr>
          <w:rFonts w:ascii="Courier New" w:cs="Courier New" w:eastAsia="Courier New" w:hAnsi="Courier New"/>
          <w:sz w:val="20"/>
          <w:szCs w:val="20"/>
        </w:rPr>
        <w:t xml:space="preserve">https://scrumguides.org</w:t>
      </w:r>
      <w:r>
        <w:rPr>
          <w:rFonts w:ascii="Times New Roman" w:cs="Times New Roman" w:eastAsia="Times New Roman" w:hAnsi="Times New Roman"/>
          <w:sz w:val="24"/>
          <w:szCs w:val="24"/>
        </w:rPr>
        <w:t xml:space="preserve">. Acesso em: 26 out. 2026.</w:t>
      </w:r>
    </w:p>
    <w:sectPr>
      <w:pgSz w:w="11906" w:h="16838" w:orient="portrait"/>
      <w:pgMar w:top="1984" w:right="1701" w:bottom="1417"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0c6b5ecd14700dd54d07e1597feb1fd6b6190e3b.png"/><Relationship Id="rId8" Type="http://schemas.openxmlformats.org/officeDocument/2006/relationships/image" Target="media/d7fac7f33225294695f5d32d0634c6de9f7e65a0.png"/><Relationship Id="rId9" Type="http://schemas.openxmlformats.org/officeDocument/2006/relationships/image" Target="media/4e7b9b03242e92a0742595caaad9058c4291c940.png"/><Relationship Id="rId10" Type="http://schemas.openxmlformats.org/officeDocument/2006/relationships/image" Target="media/b59318bf0d6063339aee69b4b82702d0c2dfcd97.png"/><Relationship Id="rId11" Type="http://schemas.openxmlformats.org/officeDocument/2006/relationships/image" Target="media/876cbf5e48ca261a296c65351cbcccb3636dc52f.png"/><Relationship Id="rId12" Type="http://schemas.openxmlformats.org/officeDocument/2006/relationships/image" Target="media/8aaeafcbf7b9eb0db28085623378f1149f23139c.png"/><Relationship Id="rId13" Type="http://schemas.openxmlformats.org/officeDocument/2006/relationships/image" Target="media/510ed983607f231d59cc02170927e861c0d5fdb5.png"/><Relationship Id="rId14" Type="http://schemas.openxmlformats.org/officeDocument/2006/relationships/image" Target="media/ed0b9c781e971bd3c762dbe114d02835f0b2317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Integridade e Desempenho no Controle de Ordens de Serviço de uma Oficina Mecânica</dc:title>
  <dc:creator>Jarlisson Brito Santos</dc:creator>
  <cp:lastModifiedBy>Un-named</cp:lastModifiedBy>
  <cp:revision>1</cp:revision>
  <dcterms:created xsi:type="dcterms:W3CDTF">2026-10-26T20:16:05.051Z</dcterms:created>
  <dcterms:modified xsi:type="dcterms:W3CDTF">2026-10-26T20:16:05.053Z</dcterms:modified>
</cp:coreProperties>
</file>

<file path=docProps/custom.xml><?xml version="1.0" encoding="utf-8"?>
<Properties xmlns="http://schemas.openxmlformats.org/officeDocument/2006/custom-properties" xmlns:vt="http://schemas.openxmlformats.org/officeDocument/2006/docPropsVTypes"/>
</file>