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160"/>
        <w:jc w:val="center"/>
      </w:pPr>
      <w:r>
        <w:rPr>
          <w:rFonts w:ascii="Calibri" w:cs="Calibri" w:eastAsia="Calibri" w:hAnsi="Calibri"/>
          <w:b/>
          <w:bCs/>
          <w:color w:val="9B0000"/>
          <w:sz w:val="56"/>
          <w:szCs w:val="56"/>
        </w:rPr>
        <w:t xml:space="preserve">PTL CFD Simulation</w:t>
      </w:r>
    </w:p>
    <w:p>
      <w:pPr>
        <w:spacing w:after="200" w:before="0"/>
        <w:jc w:val="center"/>
      </w:pPr>
      <w:r>
        <w:rPr>
          <w:rFonts w:ascii="Calibri" w:cs="Calibri" w:eastAsia="Calibri" w:hAnsi="Calibri"/>
          <w:b/>
          <w:bCs/>
          <w:color w:val="1A1A1A"/>
          <w:sz w:val="40"/>
          <w:szCs w:val="40"/>
        </w:rPr>
        <w:t xml:space="preserve">Handoff &amp; Procedure Guide</w:t>
      </w:r>
    </w:p>
    <w:p>
      <w:pPr>
        <w:spacing w:after="120" w:before="0"/>
        <w:jc w:val="center"/>
      </w:pPr>
      <w:r>
        <w:rPr>
          <w:rFonts w:ascii="Calibri" w:cs="Calibri" w:eastAsia="Calibri" w:hAnsi="Calibri"/>
          <w:i/>
          <w:iCs/>
          <w:color w:val="666666"/>
          <w:sz w:val="24"/>
          <w:szCs w:val="24"/>
        </w:rPr>
        <w:t xml:space="preserve">ANSYS Fluent 2025 R2  ·  Single-Phase Darcy &amp; Eulerian Multiphase  ·  VOF</w:t>
      </w:r>
    </w:p>
    <w:p>
      <w:pPr>
        <w:spacing w:after="0" w:before="0"/>
        <w:jc w:val="center"/>
      </w:pPr>
      <w:r>
        <w:rPr>
          <w:rFonts w:ascii="Calibri" w:cs="Calibri" w:eastAsia="Calibri" w:hAnsi="Calibri"/>
          <w:color w:val="888888"/>
          <w:sz w:val="22"/>
          <w:szCs w:val="22"/>
        </w:rPr>
        <w:t xml:space="preserve">ME 352  ·  University of Wisconsin-Madison  ·  HERD Lab  ·  Spring 2026</w:t>
      </w:r>
    </w:p>
    <w:p>
      <w:pPr>
        <w:spacing w:after="0" w:before="0"/>
      </w:pPr>
      <w:r>
        <w:br w:type="page"/>
      </w:r>
    </w:p>
    <w:p>
      <w:pPr>
        <w:pStyle w:val="Heading1"/>
        <w:pBdr>
          <w:bottom w:val="single" w:color="9B0000" w:sz="4" w:space="4"/>
        </w:pBdr>
        <w:spacing w:after="120" w:before="400"/>
      </w:pPr>
      <w:r>
        <w:rPr>
          <w:rFonts w:ascii="Calibri" w:cs="Calibri" w:eastAsia="Calibri" w:hAnsi="Calibri"/>
          <w:b/>
          <w:bCs/>
          <w:color w:val="9B0000"/>
          <w:sz w:val="32"/>
          <w:szCs w:val="32"/>
        </w:rPr>
        <w:t xml:space="preserve">1. Overview and Purpose</w:t>
      </w:r>
    </w:p>
    <w:p>
      <w:pPr>
        <w:spacing w:after="60" w:before="60"/>
      </w:pPr>
      <w:r>
        <w:rPr>
          <w:rFonts w:ascii="Calibri" w:cs="Calibri" w:eastAsia="Calibri" w:hAnsi="Calibri"/>
          <w:sz w:val="22"/>
          <w:szCs w:val="22"/>
        </w:rPr>
        <w:t xml:space="preserve">This document provides step-by-step instructions for running new PTL geometry designs through the simulation workflows established in the Spring 2026 ME 352 senior design project. It is written for a future operator who has a meshed fluid domain ready and needs to replicate the methodology used to compare G10 Gyroid and Lidinoid TPMS variants.</w:t>
      </w:r>
    </w:p>
    <w:p>
      <w:pPr>
        <w:spacing w:after="80" w:before="0"/>
      </w:pPr>
    </w:p>
    <w:p>
      <w:pPr>
        <w:spacing w:after="60" w:before="60"/>
      </w:pPr>
      <w:r>
        <w:rPr>
          <w:rFonts w:ascii="Calibri" w:cs="Calibri" w:eastAsia="Calibri" w:hAnsi="Calibri"/>
          <w:sz w:val="22"/>
          <w:szCs w:val="22"/>
        </w:rPr>
        <w:t xml:space="preserve">The shared case folders correspond to the following workflows: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Folder</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Use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Permeability Runs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Single-phase steady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Darcy K and tortuosity extraction for all designs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Steady Multiphase Runs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Eulerian two-phase</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O₂ saturation, pressure, ΔP asymmetry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G_10_unitcell_VOF</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VOF transient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Sharp-interface gas-liquid transport (reference/future)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G10_unitcell with flow field</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Explicit flow domain</w:t>
            </w:r>
          </w:p>
        </w:tc>
        <w:tc>
          <w:tcPr>
            <w:tcW w:type="dxa" w:w="4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Full geometry + meshed fluid domain for new mesh setups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6AC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Calibri" w:cs="Calibri" w:eastAsia="Calibri" w:hAnsi="Calibri"/>
                <w:b/>
                <w:bCs/>
                <w:color w:val="7D5A00"/>
                <w:sz w:val="20"/>
                <w:szCs w:val="20"/>
              </w:rPr>
              <w:t xml:space="preserve">WARNING — </w:t>
            </w:r>
            <w:r>
              <w:rPr>
                <w:rFonts w:ascii="Calibri" w:cs="Calibri" w:eastAsia="Calibri" w:hAnsi="Calibri"/>
                <w:color w:val="7D5A00"/>
                <w:sz w:val="20"/>
                <w:szCs w:val="20"/>
              </w:rPr>
              <w:t xml:space="preserve">Always work on a COPY of a reference case file. Never overwrite the originals. Rename copies to include the design name, e.g. Lidinoid6_SinglePhase.cas.h5</w:t>
            </w:r>
          </w:p>
        </w:tc>
      </w:tr>
    </w:tbl>
    <w:p>
      <w:pPr>
        <w:spacing w:after="80" w:before="0"/>
      </w:pPr>
    </w:p>
    <w:p>
      <w:pPr>
        <w:pStyle w:val="Heading1"/>
        <w:pBdr>
          <w:bottom w:val="single" w:color="9B0000" w:sz="4" w:space="4"/>
        </w:pBdr>
        <w:spacing w:after="120" w:before="400"/>
      </w:pPr>
      <w:r>
        <w:rPr>
          <w:rFonts w:ascii="Calibri" w:cs="Calibri" w:eastAsia="Calibri" w:hAnsi="Calibri"/>
          <w:b/>
          <w:bCs/>
          <w:color w:val="9B0000"/>
          <w:sz w:val="32"/>
          <w:szCs w:val="32"/>
        </w:rPr>
        <w:t xml:space="preserve">2. Shared Files and Folder Structure</w:t>
      </w:r>
    </w:p>
    <w:p>
      <w:pPr>
        <w:spacing w:after="60" w:before="60"/>
      </w:pPr>
      <w:r>
        <w:rPr>
          <w:rFonts w:ascii="Calibri" w:cs="Calibri" w:eastAsia="Calibri" w:hAnsi="Calibri"/>
          <w:sz w:val="22"/>
          <w:szCs w:val="22"/>
        </w:rPr>
        <w:t xml:space="preserve">Organize your working directory as follows. The UDF file must be accessible from any case that uses the two-phase workflow.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project/</w:t>
            </w:r>
          </w:p>
          <w:p>
            <w:pPr>
              <w:spacing w:after="0" w:before="0"/>
            </w:pPr>
            <w:r>
              <w:rPr>
                <w:rFonts w:ascii="Courier New" w:cs="Courier New" w:eastAsia="Courier New" w:hAnsi="Courier New"/>
                <w:color w:val="D4D4D4"/>
                <w:sz w:val="18"/>
                <w:szCs w:val="18"/>
              </w:rPr>
              <w:t xml:space="preserve">  meshes/</w:t>
            </w:r>
          </w:p>
          <w:p>
            <w:pPr>
              <w:spacing w:after="0" w:before="0"/>
            </w:pPr>
            <w:r>
              <w:rPr>
                <w:rFonts w:ascii="Courier New" w:cs="Courier New" w:eastAsia="Courier New" w:hAnsi="Courier New"/>
                <w:color w:val="D4D4D4"/>
                <w:sz w:val="18"/>
                <w:szCs w:val="18"/>
              </w:rPr>
              <w:t xml:space="preserve">    NewDesign.msh.h5          &lt;- your new mesh from nTop + Fluent Meshing</w:t>
            </w:r>
          </w:p>
          <w:p>
            <w:pPr>
              <w:spacing w:after="0" w:before="0"/>
            </w:pPr>
            <w:r>
              <w:rPr>
                <w:rFonts w:ascii="Courier New" w:cs="Courier New" w:eastAsia="Courier New" w:hAnsi="Courier New"/>
                <w:color w:val="D4D4D4"/>
                <w:sz w:val="18"/>
                <w:szCs w:val="18"/>
              </w:rPr>
              <w:t xml:space="preserve">  udf/</w:t>
            </w:r>
          </w:p>
          <w:p>
            <w:pPr>
              <w:spacing w:after="0" w:before="0"/>
            </w:pPr>
            <w:r>
              <w:rPr>
                <w:rFonts w:ascii="Courier New" w:cs="Courier New" w:eastAsia="Courier New" w:hAnsi="Courier New"/>
                <w:color w:val="D4D4D4"/>
                <w:sz w:val="18"/>
                <w:szCs w:val="18"/>
              </w:rPr>
              <w:t xml:space="preserve">    electrolysis_sources_one_fluid_domain_x.c   &lt;- do not rename</w:t>
            </w:r>
          </w:p>
          <w:p>
            <w:pPr>
              <w:spacing w:after="0" w:before="0"/>
            </w:pPr>
            <w:r>
              <w:rPr>
                <w:rFonts w:ascii="Courier New" w:cs="Courier New" w:eastAsia="Courier New" w:hAnsi="Courier New"/>
                <w:color w:val="D4D4D4"/>
                <w:sz w:val="18"/>
                <w:szCs w:val="18"/>
              </w:rPr>
              <w:t xml:space="preserve">  cases/</w:t>
            </w:r>
          </w:p>
          <w:p>
            <w:pPr>
              <w:spacing w:after="0" w:before="0"/>
            </w:pPr>
            <w:r>
              <w:rPr>
                <w:rFonts w:ascii="Courier New" w:cs="Courier New" w:eastAsia="Courier New" w:hAnsi="Courier New"/>
                <w:color w:val="D4D4D4"/>
                <w:sz w:val="18"/>
                <w:szCs w:val="18"/>
              </w:rPr>
              <w:t xml:space="preserve">    Permeability_Runs/        &lt;- copy from shared folder</w:t>
            </w:r>
          </w:p>
          <w:p>
            <w:pPr>
              <w:spacing w:after="0" w:before="0"/>
            </w:pPr>
            <w:r>
              <w:rPr>
                <w:rFonts w:ascii="Courier New" w:cs="Courier New" w:eastAsia="Courier New" w:hAnsi="Courier New"/>
                <w:color w:val="D4D4D4"/>
                <w:sz w:val="18"/>
                <w:szCs w:val="18"/>
              </w:rPr>
              <w:t xml:space="preserve">    Steady_Multiphase_Runs/   &lt;- copy from shared folder</w:t>
            </w:r>
          </w:p>
          <w:p>
            <w:pPr>
              <w:spacing w:after="0" w:before="0"/>
            </w:pPr>
            <w:r>
              <w:rPr>
                <w:rFonts w:ascii="Courier New" w:cs="Courier New" w:eastAsia="Courier New" w:hAnsi="Courier New"/>
                <w:color w:val="D4D4D4"/>
                <w:sz w:val="18"/>
                <w:szCs w:val="18"/>
              </w:rPr>
              <w:t xml:space="preserve">    G_10_unitcell_VOF/        &lt;- copy from shared folder</w:t>
            </w:r>
          </w:p>
          <w:p>
            <w:pPr>
              <w:spacing w:after="0" w:before="0"/>
            </w:pPr>
            <w:r>
              <w:rPr>
                <w:rFonts w:ascii="Courier New" w:cs="Courier New" w:eastAsia="Courier New" w:hAnsi="Courier New"/>
                <w:color w:val="D4D4D4"/>
                <w:sz w:val="18"/>
                <w:szCs w:val="18"/>
              </w:rPr>
              <w:t xml:space="preserve">    G10_unitcell_with_flow/   &lt;- copy from shared folder</w:t>
            </w:r>
          </w:p>
          <w:p>
            <w:pPr>
              <w:spacing w:after="0" w:before="0"/>
            </w:pPr>
            <w:r>
              <w:rPr>
                <w:rFonts w:ascii="Courier New" w:cs="Courier New" w:eastAsia="Courier New" w:hAnsi="Courier New"/>
                <w:color w:val="D4D4D4"/>
                <w:sz w:val="18"/>
                <w:szCs w:val="18"/>
              </w:rPr>
              <w:t xml:space="preserve">  results/</w:t>
            </w:r>
          </w:p>
          <w:p>
            <w:pPr>
              <w:spacing w:after="0" w:before="0"/>
            </w:pPr>
            <w:r>
              <w:rPr>
                <w:rFonts w:ascii="Courier New" w:cs="Courier New" w:eastAsia="Courier New" w:hAnsi="Courier New"/>
                <w:color w:val="D4D4D4"/>
                <w:sz w:val="18"/>
                <w:szCs w:val="18"/>
              </w:rPr>
              <w:t xml:space="preserve">    PTL_Comparison_Tracker.xlsx</w:t>
            </w:r>
          </w:p>
        </w:tc>
      </w:tr>
    </w:tbl>
    <w:p>
      <w:pPr>
        <w:spacing w:after="80" w:before="0"/>
      </w:pPr>
    </w:p>
    <w:p>
      <w:pPr>
        <w:pStyle w:val="Heading1"/>
        <w:pBdr>
          <w:bottom w:val="single" w:color="9B0000" w:sz="4" w:space="4"/>
        </w:pBdr>
        <w:spacing w:after="120" w:before="400"/>
      </w:pPr>
      <w:r>
        <w:rPr>
          <w:rFonts w:ascii="Calibri" w:cs="Calibri" w:eastAsia="Calibri" w:hAnsi="Calibri"/>
          <w:b/>
          <w:bCs/>
          <w:color w:val="9B0000"/>
          <w:sz w:val="32"/>
          <w:szCs w:val="32"/>
        </w:rPr>
        <w:t xml:space="preserve">3. Replacing the Mesh in an Existing Case</w:t>
      </w:r>
    </w:p>
    <w:p>
      <w:pPr>
        <w:spacing w:after="60" w:before="60"/>
      </w:pPr>
      <w:r>
        <w:rPr>
          <w:rFonts w:ascii="Calibri" w:cs="Calibri" w:eastAsia="Calibri" w:hAnsi="Calibri"/>
          <w:sz w:val="22"/>
          <w:szCs w:val="22"/>
        </w:rPr>
        <w:t xml:space="preserve">When moving to a new PTL geometry, you replace the mesh inside an existing case file rather than building a new case from scratch. This preserves all solver settings, boundary condition types, monitors, and UDF assignments.</w:t>
      </w:r>
    </w:p>
    <w:p>
      <w:pPr>
        <w:spacing w:after="80" w:before="0"/>
      </w:pPr>
    </w:p>
    <w:p>
      <w:pPr>
        <w:pStyle w:val="Heading2"/>
        <w:spacing w:after="80" w:before="280"/>
      </w:pPr>
      <w:r>
        <w:rPr>
          <w:rFonts w:ascii="Calibri" w:cs="Calibri" w:eastAsia="Calibri" w:hAnsi="Calibri"/>
          <w:b/>
          <w:bCs/>
          <w:color w:val="1A1A1A"/>
          <w:sz w:val="26"/>
          <w:szCs w:val="26"/>
        </w:rPr>
        <w:t xml:space="preserve">3.1  Method 1 — Replace Mesh via GUI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Confirmed method per Ansys Knowledge Base: File → Read → Mesh → Replace Mesh. This is the correct path in Fluent 2025 R2. An earlier version of this document incorrectly listed the path as Domain → Mesh → Replace.</w:t>
            </w:r>
          </w:p>
        </w:tc>
      </w:tr>
    </w:tbl>
    <w:p>
      <w:pPr>
        <w:spacing w:after="80" w:before="0"/>
      </w:pPr>
    </w:p>
    <w:p>
      <w:pPr>
        <w:pStyle w:val="ListParagraph"/>
        <w:numPr>
          <w:ilvl w:val="0"/>
          <w:numId w:val="2"/>
        </w:numPr>
        <w:spacing w:after="60" w:before="60"/>
      </w:pPr>
      <w:r>
        <w:rPr>
          <w:rFonts w:ascii="Calibri" w:cs="Calibri" w:eastAsia="Calibri" w:hAnsi="Calibri"/>
          <w:sz w:val="22"/>
          <w:szCs w:val="22"/>
        </w:rPr>
        <w:t xml:space="preserve">Open Fluent 2025 R2 in Solution Mode (not Meshing Mode).</w:t>
      </w:r>
    </w:p>
    <w:p>
      <w:pPr>
        <w:pStyle w:val="ListParagraph"/>
        <w:numPr>
          <w:ilvl w:val="0"/>
          <w:numId w:val="2"/>
        </w:numPr>
        <w:spacing w:after="60" w:before="60"/>
      </w:pPr>
      <w:r>
        <w:rPr>
          <w:rFonts w:ascii="Calibri" w:cs="Calibri" w:eastAsia="Calibri" w:hAnsi="Calibri"/>
          <w:sz w:val="22"/>
          <w:szCs w:val="22"/>
        </w:rPr>
        <w:t xml:space="preserve">Open your copied reference case file: File → Open Case...</w:t>
      </w:r>
    </w:p>
    <w:p>
      <w:pPr>
        <w:pStyle w:val="ListParagraph"/>
        <w:numPr>
          <w:ilvl w:val="0"/>
          <w:numId w:val="2"/>
        </w:numPr>
        <w:spacing w:after="60" w:before="60"/>
      </w:pPr>
      <w:r>
        <w:rPr>
          <w:rFonts w:ascii="Calibri" w:cs="Calibri" w:eastAsia="Calibri" w:hAnsi="Calibri"/>
          <w:sz w:val="22"/>
          <w:szCs w:val="22"/>
        </w:rPr>
        <w:t xml:space="preserve">Navigate to: File → Read → Mesh</w:t>
      </w:r>
    </w:p>
    <w:p>
      <w:pPr>
        <w:pStyle w:val="ListParagraph"/>
        <w:numPr>
          <w:ilvl w:val="0"/>
          <w:numId w:val="2"/>
        </w:numPr>
        <w:spacing w:after="60" w:before="60"/>
      </w:pPr>
      <w:r>
        <w:rPr>
          <w:rFonts w:ascii="Calibri" w:cs="Calibri" w:eastAsia="Calibri" w:hAnsi="Calibri"/>
          <w:sz w:val="22"/>
          <w:szCs w:val="22"/>
        </w:rPr>
        <w:t xml:space="preserve">In the dialog that appears, you will see a ‘Replace Mesh’ option. Select your new .msh.h5 file and confirm. Fluent will attempt to map the new mesh zones to the existing boundary condition names.</w:t>
      </w:r>
    </w:p>
    <w:p>
      <w:pPr>
        <w:pStyle w:val="ListParagraph"/>
        <w:numPr>
          <w:ilvl w:val="0"/>
          <w:numId w:val="2"/>
        </w:numPr>
        <w:spacing w:after="60" w:before="60"/>
      </w:pPr>
      <w:r>
        <w:rPr>
          <w:rFonts w:ascii="Calibri" w:cs="Calibri" w:eastAsia="Calibri" w:hAnsi="Calibri"/>
          <w:sz w:val="22"/>
          <w:szCs w:val="22"/>
        </w:rPr>
        <w:t xml:space="preserve">Check the console output. Fluent will list any zones it could not match. These must be manually reassigned.</w:t>
      </w:r>
    </w:p>
    <w:p>
      <w:pPr>
        <w:spacing w:after="80" w:before="0"/>
      </w:pPr>
    </w:p>
    <w:p>
      <w:pPr>
        <w:pStyle w:val="Heading2"/>
        <w:spacing w:after="80" w:before="280"/>
      </w:pPr>
      <w:r>
        <w:rPr>
          <w:rFonts w:ascii="Calibri" w:cs="Calibri" w:eastAsia="Calibri" w:hAnsi="Calibri"/>
          <w:b/>
          <w:bCs/>
          <w:color w:val="1A1A1A"/>
          <w:sz w:val="26"/>
          <w:szCs w:val="26"/>
        </w:rPr>
        <w:t xml:space="preserve">3.2  Method 2 — Transfer Settings via Right-Click (Fluent 2025 R2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Fluent 2025 R2 introduced a new Transfer Case Settings feature. You can right-click on the Results Outline node to copy and paste settings between two open Fluent sessions, or drag settings from one Fluent session to another. This is an alternative to Replace Mesh when you want finer control over which settings transfer.</w:t>
            </w:r>
          </w:p>
        </w:tc>
      </w:tr>
    </w:tbl>
    <w:p>
      <w:pPr>
        <w:spacing w:after="80" w:before="0"/>
      </w:pPr>
    </w:p>
    <w:p>
      <w:pPr>
        <w:pStyle w:val="ListParagraph"/>
        <w:numPr>
          <w:ilvl w:val="0"/>
          <w:numId w:val="3"/>
        </w:numPr>
        <w:spacing w:after="60" w:before="60"/>
      </w:pPr>
      <w:r>
        <w:rPr>
          <w:rFonts w:ascii="Calibri" w:cs="Calibri" w:eastAsia="Calibri" w:hAnsi="Calibri"/>
          <w:sz w:val="22"/>
          <w:szCs w:val="22"/>
        </w:rPr>
        <w:t xml:space="preserve">Open two Fluent sessions side by side: one with your reference case, one with your new mesh loaded as a fresh case.</w:t>
      </w:r>
    </w:p>
    <w:p>
      <w:pPr>
        <w:pStyle w:val="ListParagraph"/>
        <w:numPr>
          <w:ilvl w:val="0"/>
          <w:numId w:val="3"/>
        </w:numPr>
        <w:spacing w:after="60" w:before="60"/>
      </w:pPr>
      <w:r>
        <w:rPr>
          <w:rFonts w:ascii="Calibri" w:cs="Calibri" w:eastAsia="Calibri" w:hAnsi="Calibri"/>
          <w:sz w:val="22"/>
          <w:szCs w:val="22"/>
        </w:rPr>
        <w:t xml:space="preserve">In the reference session, right-click the top-level node in the Outline tree.</w:t>
      </w:r>
    </w:p>
    <w:p>
      <w:pPr>
        <w:pStyle w:val="ListParagraph"/>
        <w:numPr>
          <w:ilvl w:val="0"/>
          <w:numId w:val="3"/>
        </w:numPr>
        <w:spacing w:after="60" w:before="60"/>
      </w:pPr>
      <w:r>
        <w:rPr>
          <w:rFonts w:ascii="Calibri" w:cs="Calibri" w:eastAsia="Calibri" w:hAnsi="Calibri"/>
          <w:sz w:val="22"/>
          <w:szCs w:val="22"/>
        </w:rPr>
        <w:t xml:space="preserve">Select ‘Copy Settings’. Then switch to the new session and select ‘Paste Settings’.</w:t>
      </w:r>
    </w:p>
    <w:p>
      <w:pPr>
        <w:pStyle w:val="ListParagraph"/>
        <w:numPr>
          <w:ilvl w:val="0"/>
          <w:numId w:val="3"/>
        </w:numPr>
        <w:spacing w:after="60" w:before="60"/>
      </w:pPr>
      <w:r>
        <w:rPr>
          <w:rFonts w:ascii="Calibri" w:cs="Calibri" w:eastAsia="Calibri" w:hAnsi="Calibri"/>
          <w:sz w:val="22"/>
          <w:szCs w:val="22"/>
        </w:rPr>
        <w:t xml:space="preserve">Review boundary condition assignments and update any zones that did not map correctly.</w:t>
      </w:r>
    </w:p>
    <w:p>
      <w:pPr>
        <w:spacing w:after="80" w:before="0"/>
      </w:pPr>
    </w:p>
    <w:p>
      <w:pPr>
        <w:pStyle w:val="Heading2"/>
        <w:spacing w:after="80" w:before="280"/>
      </w:pPr>
      <w:r>
        <w:rPr>
          <w:rFonts w:ascii="Calibri" w:cs="Calibri" w:eastAsia="Calibri" w:hAnsi="Calibri"/>
          <w:b/>
          <w:bCs/>
          <w:color w:val="1A1A1A"/>
          <w:sz w:val="26"/>
          <w:szCs w:val="26"/>
        </w:rPr>
        <w:t xml:space="preserve">3.3  Post-Replacement Zone Verification</w:t>
      </w:r>
    </w:p>
    <w:p>
      <w:pPr>
        <w:spacing w:after="60" w:before="60"/>
      </w:pPr>
      <w:r>
        <w:rPr>
          <w:rFonts w:ascii="Calibri" w:cs="Calibri" w:eastAsia="Calibri" w:hAnsi="Calibri"/>
          <w:sz w:val="22"/>
          <w:szCs w:val="22"/>
        </w:rPr>
        <w:t xml:space="preserve">After replacing the mesh by either method, verify all zone assignments before running. This is the most common source of errors when switching geometries.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inlet (bottom face)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velocity-inlet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Bottom face adjacent to electrode. Verify it is the face at the minimum through-plane coordinate.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outlet (top face)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pressure-outlet</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PTL/channel interface. Verify it is the face at the maximum through-plane coordinate.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wall (PTL solid surfaces)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wall</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All curved TPMS pore surfaces. No-slip.</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periodic faces (x4)</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interface / periodic</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The four lateral faces. Must be set up separately — see Section 5.</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Zone names are assigned during domain creation in SpaceClaim, not nTop. The fluid zone in this project was named 'lidinoidgyroidcomparison_solid' despite being the fluid domain — this reflects how the geometry was named in SpaceClaim before meshing, not an error in the mesh. The most reliable way to identify zones is through the Mesh Display panel: select a zone name and the corresponding surfaces will highlight in the graphics window. Do not rely on the zone name alone.</w:t>
            </w:r>
          </w:p>
        </w:tc>
      </w:tr>
    </w:tbl>
    <w:p>
      <w:pPr>
        <w:spacing w:after="80" w:before="0"/>
      </w:pPr>
    </w:p>
    <w:p>
      <w:pPr>
        <w:pStyle w:val="ListParagraph"/>
        <w:numPr>
          <w:ilvl w:val="0"/>
          <w:numId w:val="4"/>
        </w:numPr>
        <w:spacing w:after="60" w:before="60"/>
      </w:pPr>
      <w:r>
        <w:rPr>
          <w:rFonts w:ascii="Calibri" w:cs="Calibri" w:eastAsia="Calibri" w:hAnsi="Calibri"/>
          <w:sz w:val="22"/>
          <w:szCs w:val="22"/>
        </w:rPr>
        <w:t xml:space="preserve">Run a mesh check: Domain → Mesh → Check. Review the console output for any errors or warnings about mesh topology.</w:t>
      </w:r>
    </w:p>
    <w:p>
      <w:pPr>
        <w:pStyle w:val="ListParagraph"/>
        <w:numPr>
          <w:ilvl w:val="0"/>
          <w:numId w:val="4"/>
        </w:numPr>
        <w:spacing w:after="60" w:before="60"/>
      </w:pPr>
      <w:r>
        <w:rPr>
          <w:rFonts w:ascii="Calibri" w:cs="Calibri" w:eastAsia="Calibri" w:hAnsi="Calibri"/>
          <w:sz w:val="22"/>
          <w:szCs w:val="22"/>
        </w:rPr>
        <w:t xml:space="preserve">Evaluate mesh quality: Domain → Mesh → Quality → Evaluate Mesh Quality. In the dialog, select the quality measure (Orthogonal Quality, then Aspect Ratio). Click Compute. The minimum orthogonal quality and maximum aspect ratio will be reported in the console. Record both values. Minimum orthogonal quality should be &gt; 0.05.</w:t>
      </w:r>
    </w:p>
    <w:p>
      <w:pPr>
        <w:pStyle w:val="ListParagraph"/>
        <w:numPr>
          <w:ilvl w:val="0"/>
          <w:numId w:val="4"/>
        </w:numPr>
        <w:spacing w:after="60" w:before="60"/>
      </w:pPr>
      <w:r>
        <w:rPr>
          <w:rFonts w:ascii="Calibri" w:cs="Calibri" w:eastAsia="Calibri" w:hAnsi="Calibri"/>
          <w:sz w:val="22"/>
          <w:szCs w:val="22"/>
        </w:rPr>
        <w:t xml:space="preserve">If a degenerate cell is reported (as with the G10 geometry: OQ = 0.103, AR = 43.7), note its location. It will not prevent single-phase runs but will cause Courant spikes in transient VOF runs.</w:t>
      </w:r>
    </w:p>
    <w:p>
      <w:pPr>
        <w:spacing w:after="80" w:before="0"/>
      </w:pPr>
    </w:p>
    <w:p>
      <w:pPr>
        <w:pStyle w:val="Heading1"/>
        <w:pBdr>
          <w:bottom w:val="single" w:color="9B0000" w:sz="4" w:space="4"/>
        </w:pBdr>
        <w:spacing w:after="120" w:before="400"/>
      </w:pPr>
      <w:r>
        <w:rPr>
          <w:rFonts w:ascii="Calibri" w:cs="Calibri" w:eastAsia="Calibri" w:hAnsi="Calibri"/>
          <w:b/>
          <w:bCs/>
          <w:color w:val="9B0000"/>
          <w:sz w:val="32"/>
          <w:szCs w:val="32"/>
        </w:rPr>
        <w:t xml:space="preserve">4. Setting Up Periodic Boundary Conditions</w:t>
      </w:r>
    </w:p>
    <w:p>
      <w:pPr>
        <w:spacing w:after="60" w:before="60"/>
      </w:pPr>
      <w:r>
        <w:rPr>
          <w:rFonts w:ascii="Calibri" w:cs="Calibri" w:eastAsia="Calibri" w:hAnsi="Calibri"/>
          <w:sz w:val="22"/>
          <w:szCs w:val="22"/>
        </w:rPr>
        <w:t xml:space="preserve">Periodic BCs allow the four lateral faces of the unit cell to act as if they are connected to an adjacent identical unit cell, simulating an infinite array. This is essential for accurate PTL hydraulic simulation — without it, the walls create artificial flow resistance that does not exist in a real PTL.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6AC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Calibri" w:cs="Calibri" w:eastAsia="Calibri" w:hAnsi="Calibri"/>
                <w:b/>
                <w:bCs/>
                <w:color w:val="7D5A00"/>
                <w:sz w:val="20"/>
                <w:szCs w:val="20"/>
              </w:rPr>
              <w:t xml:space="preserve">WARNING — </w:t>
            </w:r>
            <w:r>
              <w:rPr>
                <w:rFonts w:ascii="Calibri" w:cs="Calibri" w:eastAsia="Calibri" w:hAnsi="Calibri"/>
                <w:color w:val="7D5A00"/>
                <w:sz w:val="20"/>
                <w:szCs w:val="20"/>
              </w:rPr>
              <w:t xml:space="preserve">Fluent 2025 R2 changed the default behavior for non-conformal mesh interfaces, making periodic BC setup more complex than in older versions. The TUI workaround below is required. Do not skip it.</w:t>
            </w:r>
          </w:p>
        </w:tc>
      </w:tr>
    </w:tbl>
    <w:p>
      <w:pPr>
        <w:spacing w:after="80" w:before="0"/>
      </w:pPr>
    </w:p>
    <w:p>
      <w:pPr>
        <w:pStyle w:val="Heading2"/>
        <w:spacing w:after="80" w:before="280"/>
      </w:pPr>
      <w:r>
        <w:rPr>
          <w:rFonts w:ascii="Calibri" w:cs="Calibri" w:eastAsia="Calibri" w:hAnsi="Calibri"/>
          <w:b/>
          <w:bCs/>
          <w:color w:val="1A1A1A"/>
          <w:sz w:val="26"/>
          <w:szCs w:val="26"/>
        </w:rPr>
        <w:t xml:space="preserve">4.1  Step-by-Step: Non-Conformal Periodic Interface Setup</w:t>
      </w:r>
    </w:p>
    <w:p>
      <w:pPr>
        <w:spacing w:after="60" w:before="60"/>
      </w:pPr>
      <w:r>
        <w:rPr>
          <w:rFonts w:ascii="Calibri" w:cs="Calibri" w:eastAsia="Calibri" w:hAnsi="Calibri"/>
          <w:sz w:val="22"/>
          <w:szCs w:val="22"/>
        </w:rPr>
        <w:t xml:space="preserve">This is the procedure used for all PTL cases in this project. The mesh faces on opposite sides of the unit cell are NOT node-matched (non-conformal), so Fluent’s conformal 'make-periodic' command will fail. Use the interface method instead.</w:t>
      </w:r>
    </w:p>
    <w:p>
      <w:pPr>
        <w:spacing w:after="80" w:before="0"/>
      </w:pPr>
    </w:p>
    <w:p>
      <w:pPr>
        <w:pStyle w:val="Heading3"/>
        <w:spacing w:after="60" w:before="180"/>
      </w:pPr>
      <w:r>
        <w:rPr>
          <w:rFonts w:ascii="Calibri" w:cs="Calibri" w:eastAsia="Calibri" w:hAnsi="Calibri"/>
          <w:b/>
          <w:bCs/>
          <w:color w:val="444444"/>
          <w:sz w:val="22"/>
          <w:szCs w:val="22"/>
        </w:rPr>
        <w:t xml:space="preserve">Step 1 — Change lateral face zone types to Interface</w:t>
      </w:r>
    </w:p>
    <w:p>
      <w:pPr>
        <w:pStyle w:val="ListParagraph"/>
        <w:numPr>
          <w:ilvl w:val="0"/>
          <w:numId w:val="5"/>
        </w:numPr>
        <w:spacing w:after="60" w:before="60"/>
      </w:pPr>
      <w:r>
        <w:rPr>
          <w:rFonts w:ascii="Calibri" w:cs="Calibri" w:eastAsia="Calibri" w:hAnsi="Calibri"/>
          <w:sz w:val="22"/>
          <w:szCs w:val="22"/>
        </w:rPr>
        <w:t xml:space="preserve">Go to Setup → Boundary Conditions.</w:t>
      </w:r>
    </w:p>
    <w:p>
      <w:pPr>
        <w:pStyle w:val="ListParagraph"/>
        <w:numPr>
          <w:ilvl w:val="0"/>
          <w:numId w:val="5"/>
        </w:numPr>
        <w:spacing w:after="60" w:before="60"/>
      </w:pPr>
      <w:r>
        <w:rPr>
          <w:rFonts w:ascii="Calibri" w:cs="Calibri" w:eastAsia="Calibri" w:hAnsi="Calibri"/>
          <w:sz w:val="22"/>
          <w:szCs w:val="22"/>
        </w:rPr>
        <w:t xml:space="preserve">Locate each of the four lateral face zones (e.g. ymin, ymax, zmin, zmax, or whatever your mesh export named them).</w:t>
      </w:r>
    </w:p>
    <w:p>
      <w:pPr>
        <w:pStyle w:val="ListParagraph"/>
        <w:numPr>
          <w:ilvl w:val="0"/>
          <w:numId w:val="5"/>
        </w:numPr>
        <w:spacing w:after="60" w:before="60"/>
      </w:pPr>
      <w:r>
        <w:rPr>
          <w:rFonts w:ascii="Calibri" w:cs="Calibri" w:eastAsia="Calibri" w:hAnsi="Calibri"/>
          <w:sz w:val="22"/>
          <w:szCs w:val="22"/>
        </w:rPr>
        <w:t xml:space="preserve">For each one: click on the zone name, change the Type drop-down from 'wall' to 'interface'. Click OK to confirm.</w:t>
      </w:r>
    </w:p>
    <w:p>
      <w:pPr>
        <w:pStyle w:val="ListParagraph"/>
        <w:numPr>
          <w:ilvl w:val="0"/>
          <w:numId w:val="5"/>
        </w:numPr>
        <w:spacing w:after="60" w:before="60"/>
      </w:pPr>
      <w:r>
        <w:rPr>
          <w:rFonts w:ascii="Calibri" w:cs="Calibri" w:eastAsia="Calibri" w:hAnsi="Calibri"/>
          <w:sz w:val="22"/>
          <w:szCs w:val="22"/>
        </w:rPr>
        <w:t xml:space="preserve">Repeat for all four lateral faces. You should now have four interface-type zones.</w:t>
      </w:r>
    </w:p>
    <w:p>
      <w:pPr>
        <w:spacing w:after="80" w:before="0"/>
      </w:pPr>
    </w:p>
    <w:p>
      <w:pPr>
        <w:pStyle w:val="Heading3"/>
        <w:spacing w:after="60" w:before="180"/>
      </w:pPr>
      <w:r>
        <w:rPr>
          <w:rFonts w:ascii="Calibri" w:cs="Calibri" w:eastAsia="Calibri" w:hAnsi="Calibri"/>
          <w:b/>
          <w:bCs/>
          <w:color w:val="444444"/>
          <w:sz w:val="22"/>
          <w:szCs w:val="22"/>
        </w:rPr>
        <w:t xml:space="preserve">Step 2 — Change Lateral Face Zone Types to Interface via TUI</w:t>
      </w:r>
    </w:p>
    <w:p>
      <w:pPr>
        <w:spacing w:after="60" w:before="60"/>
      </w:pPr>
      <w:r>
        <w:rPr>
          <w:rFonts w:ascii="Calibri" w:cs="Calibri" w:eastAsia="Calibri" w:hAnsi="Calibri"/>
          <w:sz w:val="22"/>
          <w:szCs w:val="22"/>
        </w:rPr>
        <w:t xml:space="preserve">Before creating the periodic interfaces, the lateral face zones must be changed from type 'wall' to type 'interface'. This must be done via TUI for each of the four lateral faces.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&gt; /define/boundary-conditions/modify-zones/zone-type</w:t>
            </w:r>
          </w:p>
          <w:p>
            <w:pPr>
              <w:spacing w:after="0" w:before="0"/>
            </w:pPr>
            <w:r>
              <w:rPr>
                <w:rFonts w:ascii="Courier New" w:cs="Courier New" w:eastAsia="Courier New" w:hAnsi="Courier New"/>
                <w:color w:val="D4D4D4"/>
                <w:sz w:val="18"/>
                <w:szCs w:val="18"/>
              </w:rPr>
              <w:t xml:space="preserve">  Zone name: y_minus</w:t>
            </w:r>
          </w:p>
          <w:p>
            <w:pPr>
              <w:spacing w:after="0" w:before="0"/>
            </w:pPr>
            <w:r>
              <w:rPr>
                <w:rFonts w:ascii="Courier New" w:cs="Courier New" w:eastAsia="Courier New" w:hAnsi="Courier New"/>
                <w:color w:val="D4D4D4"/>
                <w:sz w:val="18"/>
                <w:szCs w:val="18"/>
              </w:rPr>
              <w:t xml:space="preserve">  New type: interface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&gt; /define/boundary-conditions/modify-zones/zone-type</w:t>
            </w:r>
          </w:p>
          <w:p>
            <w:pPr>
              <w:spacing w:after="0" w:before="0"/>
            </w:pPr>
            <w:r>
              <w:rPr>
                <w:rFonts w:ascii="Courier New" w:cs="Courier New" w:eastAsia="Courier New" w:hAnsi="Courier New"/>
                <w:color w:val="D4D4D4"/>
                <w:sz w:val="18"/>
                <w:szCs w:val="18"/>
              </w:rPr>
              <w:t xml:space="preserve">  Zone name: y_plus</w:t>
            </w:r>
          </w:p>
          <w:p>
            <w:pPr>
              <w:spacing w:after="0" w:before="0"/>
            </w:pPr>
            <w:r>
              <w:rPr>
                <w:rFonts w:ascii="Courier New" w:cs="Courier New" w:eastAsia="Courier New" w:hAnsi="Courier New"/>
                <w:color w:val="D4D4D4"/>
                <w:sz w:val="18"/>
                <w:szCs w:val="18"/>
              </w:rPr>
              <w:t xml:space="preserve">  New type: interface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(repeat for z_minus and z_plus, or whatever your lateral faces are named)</w:t>
            </w:r>
          </w:p>
          <w:p>
            <w:pPr>
              <w:spacing w:after="0" w:before="0"/>
            </w:pPr>
            <w:r>
              <w:rPr>
                <w:rFonts w:ascii="Courier New" w:cs="Courier New" w:eastAsia="Courier New" w:hAnsi="Courier New"/>
                <w:color w:val="D4D4D4"/>
                <w:sz w:val="18"/>
                <w:szCs w:val="18"/>
              </w:rPr>
              <w:t xml:space="preserve">  (zone names depend on how your mesh was exported from SpaceClaim/ANSYS Meshing)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Your lateral face zone names will depend on the named selections defined in SpaceClaim. Common names are y_minus/y_plus/z_minus/z_plus, but check Setup → Boundary Conditions to see what your mesh exported.</w:t>
            </w:r>
          </w:p>
        </w:tc>
      </w:tr>
    </w:tbl>
    <w:p>
      <w:pPr>
        <w:spacing w:after="80" w:before="0"/>
      </w:pPr>
    </w:p>
    <w:p>
      <w:pPr>
        <w:pStyle w:val="Heading3"/>
        <w:spacing w:after="60" w:before="180"/>
      </w:pPr>
      <w:r>
        <w:rPr>
          <w:rFonts w:ascii="Calibri" w:cs="Calibri" w:eastAsia="Calibri" w:hAnsi="Calibri"/>
          <w:b/>
          <w:bCs/>
          <w:color w:val="444444"/>
          <w:sz w:val="22"/>
          <w:szCs w:val="22"/>
        </w:rPr>
        <w:t xml:space="preserve">Step 3 — Disable One-to-One Pairing via TUI</w:t>
      </w:r>
    </w:p>
    <w:p>
      <w:pPr>
        <w:spacing w:after="60" w:before="60"/>
      </w:pPr>
      <w:r>
        <w:rPr>
          <w:rFonts w:ascii="Calibri" w:cs="Calibri" w:eastAsia="Calibri" w:hAnsi="Calibri"/>
          <w:sz w:val="22"/>
          <w:szCs w:val="22"/>
        </w:rPr>
        <w:t xml:space="preserve">This step is required in Fluent 2025 R2. The default one-to-one auto-pairing behavior prevents the Periodic Boundary Conditions checkbox from appearing in the interface creation dialog. You must disable it before creating the interfaces.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&gt; /define/mesh-interfaces/one-to-one-pairing?</w:t>
            </w:r>
          </w:p>
          <w:p>
            <w:pPr>
              <w:spacing w:after="0" w:before="0"/>
            </w:pPr>
            <w:r>
              <w:rPr>
                <w:rFonts w:ascii="Courier New" w:cs="Courier New" w:eastAsia="Courier New" w:hAnsi="Courier New"/>
                <w:color w:val="D4D4D4"/>
                <w:sz w:val="18"/>
                <w:szCs w:val="18"/>
              </w:rPr>
              <w:t xml:space="preserve">  Enabled? [yes]  no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(type 'no' and press Enter)</w:t>
            </w:r>
          </w:p>
          <w:p>
            <w:pPr>
              <w:spacing w:after="0" w:before="0"/>
            </w:pPr>
            <w:r>
              <w:rPr>
                <w:rFonts w:ascii="Courier New" w:cs="Courier New" w:eastAsia="Courier New" w:hAnsi="Courier New"/>
                <w:color w:val="D4D4D4"/>
                <w:sz w:val="18"/>
                <w:szCs w:val="18"/>
              </w:rPr>
              <w:t xml:space="preserve">  (Fluent will confirm the setting has changed)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This TUI command must be run BEFORE you create the mesh interfaces in Step 3. If you create the interfaces first and then run this command, you will need to delete them and start over.</w:t>
            </w:r>
          </w:p>
        </w:tc>
      </w:tr>
    </w:tbl>
    <w:p>
      <w:pPr>
        <w:spacing w:after="80" w:before="0"/>
      </w:pPr>
    </w:p>
    <w:p>
      <w:pPr>
        <w:pStyle w:val="Heading3"/>
        <w:spacing w:after="60" w:before="180"/>
      </w:pPr>
      <w:r>
        <w:rPr>
          <w:rFonts w:ascii="Calibri" w:cs="Calibri" w:eastAsia="Calibri" w:hAnsi="Calibri"/>
          <w:b/>
          <w:bCs/>
          <w:color w:val="444444"/>
          <w:sz w:val="22"/>
          <w:szCs w:val="22"/>
        </w:rPr>
        <w:t xml:space="preserve">Step 4 — Create Periodic Mesh Interfaces in the GUI</w:t>
      </w:r>
    </w:p>
    <w:p>
      <w:pPr>
        <w:pStyle w:val="ListParagraph"/>
        <w:numPr>
          <w:ilvl w:val="0"/>
          <w:numId w:val="6"/>
        </w:numPr>
        <w:spacing w:after="60" w:before="60"/>
      </w:pPr>
      <w:r>
        <w:rPr>
          <w:rFonts w:ascii="Calibri" w:cs="Calibri" w:eastAsia="Calibri" w:hAnsi="Calibri"/>
          <w:sz w:val="22"/>
          <w:szCs w:val="22"/>
        </w:rPr>
        <w:t xml:space="preserve">Go to: Domain → Mesh Interfaces → Create/Edit...</w:t>
      </w:r>
    </w:p>
    <w:p>
      <w:pPr>
        <w:pStyle w:val="ListParagraph"/>
        <w:numPr>
          <w:ilvl w:val="0"/>
          <w:numId w:val="6"/>
        </w:numPr>
        <w:spacing w:after="60" w:before="60"/>
      </w:pPr>
      <w:r>
        <w:rPr>
          <w:rFonts w:ascii="Calibri" w:cs="Calibri" w:eastAsia="Calibri" w:hAnsi="Calibri"/>
          <w:sz w:val="22"/>
          <w:szCs w:val="22"/>
        </w:rPr>
        <w:t xml:space="preserve">In the 'Create Interface' section, give the interface a name (e.g. 'periodic_y').</w:t>
      </w:r>
    </w:p>
    <w:p>
      <w:pPr>
        <w:pStyle w:val="ListParagraph"/>
        <w:numPr>
          <w:ilvl w:val="0"/>
          <w:numId w:val="6"/>
        </w:numPr>
        <w:spacing w:after="60" w:before="60"/>
      </w:pPr>
      <w:r>
        <w:rPr>
          <w:rFonts w:ascii="Calibri" w:cs="Calibri" w:eastAsia="Calibri" w:hAnsi="Calibri"/>
          <w:sz w:val="22"/>
          <w:szCs w:val="22"/>
        </w:rPr>
        <w:t xml:space="preserve">Under 'Interface Zone 1', select the ymin face zone. Under 'Interface Zone 2', select the ymax face zone.</w:t>
      </w:r>
    </w:p>
    <w:p>
      <w:pPr>
        <w:pStyle w:val="ListParagraph"/>
        <w:numPr>
          <w:ilvl w:val="0"/>
          <w:numId w:val="6"/>
        </w:numPr>
        <w:spacing w:after="60" w:before="60"/>
      </w:pPr>
      <w:r>
        <w:rPr>
          <w:rFonts w:ascii="Calibri" w:cs="Calibri" w:eastAsia="Calibri" w:hAnsi="Calibri"/>
          <w:sz w:val="22"/>
          <w:szCs w:val="22"/>
        </w:rPr>
        <w:t xml:space="preserve">Check the box labeled 'Periodic Boundary Conditions'.</w:t>
      </w:r>
    </w:p>
    <w:p>
      <w:pPr>
        <w:pStyle w:val="ListParagraph"/>
        <w:numPr>
          <w:ilvl w:val="0"/>
          <w:numId w:val="6"/>
        </w:numPr>
        <w:spacing w:after="60" w:before="60"/>
      </w:pPr>
      <w:r>
        <w:rPr>
          <w:rFonts w:ascii="Calibri" w:cs="Calibri" w:eastAsia="Calibri" w:hAnsi="Calibri"/>
          <w:sz w:val="22"/>
          <w:szCs w:val="22"/>
        </w:rPr>
        <w:t xml:space="preserve">Under Periodic Type, select 'Translational'.</w:t>
      </w:r>
    </w:p>
    <w:p>
      <w:pPr>
        <w:pStyle w:val="ListParagraph"/>
        <w:numPr>
          <w:ilvl w:val="0"/>
          <w:numId w:val="6"/>
        </w:numPr>
        <w:spacing w:after="60" w:before="60"/>
      </w:pPr>
      <w:r>
        <w:rPr>
          <w:rFonts w:ascii="Calibri" w:cs="Calibri" w:eastAsia="Calibri" w:hAnsi="Calibri"/>
          <w:sz w:val="22"/>
          <w:szCs w:val="22"/>
        </w:rPr>
        <w:t xml:space="preserve">Enter the offset vector. For the y-direction pair: if the unit cell is 2.21 mm wide in y, enter [0, 0.00221, 0]. For z-direction pair: enter [0, 0, 0.00221] (adjust to match your geometry dimensions).</w:t>
      </w:r>
    </w:p>
    <w:p>
      <w:pPr>
        <w:pStyle w:val="ListParagraph"/>
        <w:numPr>
          <w:ilvl w:val="0"/>
          <w:numId w:val="6"/>
        </w:numPr>
        <w:spacing w:after="60" w:before="60"/>
      </w:pPr>
      <w:r>
        <w:rPr>
          <w:rFonts w:ascii="Calibri" w:cs="Calibri" w:eastAsia="Calibri" w:hAnsi="Calibri"/>
          <w:sz w:val="22"/>
          <w:szCs w:val="22"/>
        </w:rPr>
        <w:t xml:space="preserve">Click Create. Fluent will print a message to the console confirming the interface was created.</w:t>
      </w:r>
    </w:p>
    <w:p>
      <w:pPr>
        <w:pStyle w:val="ListParagraph"/>
        <w:numPr>
          <w:ilvl w:val="0"/>
          <w:numId w:val="6"/>
        </w:numPr>
        <w:spacing w:after="60" w:before="60"/>
      </w:pPr>
      <w:r>
        <w:rPr>
          <w:rFonts w:ascii="Calibri" w:cs="Calibri" w:eastAsia="Calibri" w:hAnsi="Calibri"/>
          <w:sz w:val="22"/>
          <w:szCs w:val="22"/>
        </w:rPr>
        <w:t xml:space="preserve">Repeat for the second pair of faces (zmin/zmax). Create a second interface named 'periodic_z'.</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The offset vector must exactly match the geometric distance between the two face pairs. If the offset is wrong, Fluent will either fail to create the interface or create one with mismatched nodes. You can measure the offset by checking the domain extents: Domain → Mesh → Info → Size.</w:t>
            </w:r>
          </w:p>
        </w:tc>
      </w:tr>
    </w:tbl>
    <w:p>
      <w:pPr>
        <w:spacing w:after="80" w:before="0"/>
      </w:pPr>
    </w:p>
    <w:p>
      <w:pPr>
        <w:pStyle w:val="Heading3"/>
        <w:spacing w:after="60" w:before="180"/>
      </w:pPr>
      <w:r>
        <w:rPr>
          <w:rFonts w:ascii="Calibri" w:cs="Calibri" w:eastAsia="Calibri" w:hAnsi="Calibri"/>
          <w:b/>
          <w:bCs/>
          <w:color w:val="444444"/>
          <w:sz w:val="22"/>
          <w:szCs w:val="22"/>
        </w:rPr>
        <w:t xml:space="preserve">Step 5 — Verify Periodic Interfaces</w:t>
      </w:r>
    </w:p>
    <w:p>
      <w:pPr>
        <w:pStyle w:val="ListParagraph"/>
        <w:numPr>
          <w:ilvl w:val="0"/>
          <w:numId w:val="7"/>
        </w:numPr>
        <w:spacing w:after="60" w:before="60"/>
      </w:pPr>
      <w:r>
        <w:rPr>
          <w:rFonts w:ascii="Calibri" w:cs="Calibri" w:eastAsia="Calibri" w:hAnsi="Calibri"/>
          <w:sz w:val="22"/>
          <w:szCs w:val="22"/>
        </w:rPr>
        <w:t xml:space="preserve">After creating both interfaces, go to Setup → Boundary Conditions. The four lateral face zones should no longer appear individually — they are now managed by the mesh interfaces.</w:t>
      </w:r>
    </w:p>
    <w:p>
      <w:pPr>
        <w:pStyle w:val="ListParagraph"/>
        <w:numPr>
          <w:ilvl w:val="0"/>
          <w:numId w:val="7"/>
        </w:numPr>
        <w:spacing w:after="60" w:before="60"/>
      </w:pPr>
      <w:r>
        <w:rPr>
          <w:rFonts w:ascii="Calibri" w:cs="Calibri" w:eastAsia="Calibri" w:hAnsi="Calibri"/>
          <w:sz w:val="22"/>
          <w:szCs w:val="22"/>
        </w:rPr>
        <w:t xml:space="preserve">Run Mesh → Check. The console should confirm periodic zone pairs. Look for lines such as: 'Zone X and Zone Y are periodic.'</w:t>
      </w:r>
    </w:p>
    <w:p>
      <w:pPr>
        <w:pStyle w:val="ListParagraph"/>
        <w:numPr>
          <w:ilvl w:val="0"/>
          <w:numId w:val="7"/>
        </w:numPr>
        <w:spacing w:after="60" w:before="60"/>
      </w:pPr>
      <w:r>
        <w:rPr>
          <w:rFonts w:ascii="Calibri" w:cs="Calibri" w:eastAsia="Calibri" w:hAnsi="Calibri"/>
          <w:sz w:val="22"/>
          <w:szCs w:val="22"/>
        </w:rPr>
        <w:t xml:space="preserve">If you see error messages about mismatched zone sizes or non-overlapping boundaries, re-check your offset vector and zone selections.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E8B57"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AF7EA" w:val="clear"/>
            <w:tcMar>
              <w:top w:type="dxa" w:w="120"/>
              <w:left w:type="dxa" w:w="180"/>
              <w:bottom w:type="dxa" w:w="120"/>
              <w:right w:type="dxa" w:w="180"/>
            </w:tcMar>
          </w:tcPr>
          <w:p>
            <w:r>
              <w:rPr>
                <w:rFonts w:ascii="Calibri" w:cs="Calibri" w:eastAsia="Calibri" w:hAnsi="Calibri"/>
                <w:b/>
                <w:bCs/>
                <w:color w:val="1D5C1D"/>
                <w:sz w:val="20"/>
                <w:szCs w:val="20"/>
              </w:rPr>
              <w:t xml:space="preserve">TIP — </w:t>
            </w:r>
            <w:r>
              <w:rPr>
                <w:rFonts w:ascii="Calibri" w:cs="Calibri" w:eastAsia="Calibri" w:hAnsi="Calibri"/>
                <w:color w:val="1D5C1D"/>
                <w:sz w:val="20"/>
                <w:szCs w:val="20"/>
              </w:rPr>
              <w:t xml:space="preserve">If the periodic setup appears correct but the solver produces non-physical results (e.g. artificially high pressure gradients at the lateral faces), try the alternative method: use symmetry boundary conditions on two opposing faces and periodic on the other two. Symmetry is less accurate for anisotropic TPMS geometries but avoids periodic setup issues entirely.</w:t>
            </w:r>
          </w:p>
        </w:tc>
      </w:tr>
    </w:tbl>
    <w:p>
      <w:pPr>
        <w:spacing w:after="80" w:before="0"/>
      </w:pPr>
    </w:p>
    <w:p>
      <w:pPr>
        <w:pStyle w:val="Heading1"/>
        <w:pBdr>
          <w:bottom w:val="single" w:color="9B0000" w:sz="4" w:space="4"/>
        </w:pBdr>
        <w:spacing w:after="120" w:before="400"/>
      </w:pPr>
      <w:r>
        <w:rPr>
          <w:rFonts w:ascii="Calibri" w:cs="Calibri" w:eastAsia="Calibri" w:hAnsi="Calibri"/>
          <w:b/>
          <w:bCs/>
          <w:color w:val="9B0000"/>
          <w:sz w:val="32"/>
          <w:szCs w:val="32"/>
        </w:rPr>
        <w:t xml:space="preserve">5. Single-Phase Darcy Permeability Workflow</w:t>
      </w:r>
    </w:p>
    <w:p>
      <w:pPr>
        <w:spacing w:after="60" w:before="60"/>
      </w:pPr>
      <w:r>
        <w:rPr>
          <w:rFonts w:ascii="Calibri" w:cs="Calibri" w:eastAsia="Calibri" w:hAnsi="Calibri"/>
          <w:sz w:val="22"/>
          <w:szCs w:val="22"/>
        </w:rPr>
        <w:t xml:space="preserve">The single-phase simulation drives water through the PTL at a fixed inlet velocity and measures the resulting pressure drop. Darcy permeability K is then extracted using:</w:t>
      </w:r>
    </w:p>
    <w:p>
      <w:pPr>
        <w:spacing w:after="80" w:before="0"/>
      </w:pPr>
    </w:p>
    <w:p>
      <w:pPr>
        <w:spacing w:after="80" w:before="120"/>
        <w:jc w:val="center"/>
      </w:pPr>
      <w:r>
        <w:rPr>
          <w:rFonts w:ascii="Courier New" w:cs="Courier New" w:eastAsia="Courier New" w:hAnsi="Courier New"/>
          <w:b/>
          <w:bCs/>
          <w:color w:val="9B0000"/>
          <w:sz w:val="28"/>
          <w:szCs w:val="28"/>
        </w:rPr>
        <w:t xml:space="preserve">K  =  ( Q × μ × L )  /  ( A × ΔP )</w:t>
      </w:r>
    </w:p>
    <w:p>
      <w:pPr>
        <w:spacing w:after="120" w:before="0"/>
        <w:jc w:val="center"/>
      </w:pPr>
      <w:r>
        <w:rPr>
          <w:rFonts w:ascii="Calibri" w:cs="Calibri" w:eastAsia="Calibri" w:hAnsi="Calibri"/>
          <w:i/>
          <w:iCs/>
          <w:color w:val="444444"/>
          <w:sz w:val="20"/>
          <w:szCs w:val="20"/>
        </w:rPr>
        <w:t xml:space="preserve">where:  Q = volumetric flow rate [m³/s]  ·  μ = 0.001 Pa·s  ·  L = through-plane length [m]  ·  A = cross-section area [m²]  ·  ΔP = P_inlet [Pa]</w:t>
      </w:r>
    </w:p>
    <w:p>
      <w:pPr>
        <w:spacing w:after="80" w:before="0"/>
      </w:pPr>
    </w:p>
    <w:p>
      <w:pPr>
        <w:pStyle w:val="Heading2"/>
        <w:spacing w:after="80" w:before="280"/>
      </w:pPr>
      <w:r>
        <w:rPr>
          <w:rFonts w:ascii="Calibri" w:cs="Calibri" w:eastAsia="Calibri" w:hAnsi="Calibri"/>
          <w:b/>
          <w:bCs/>
          <w:color w:val="1A1A1A"/>
          <w:sz w:val="26"/>
          <w:szCs w:val="26"/>
        </w:rPr>
        <w:t xml:space="preserve">5.1  Solver and Material Settings</w:t>
      </w:r>
    </w:p>
    <w:p>
      <w:pPr>
        <w:spacing w:after="60" w:before="60"/>
      </w:pPr>
      <w:r>
        <w:rPr>
          <w:rFonts w:ascii="Calibri" w:cs="Calibri" w:eastAsia="Calibri" w:hAnsi="Calibri"/>
          <w:sz w:val="22"/>
          <w:szCs w:val="22"/>
        </w:rPr>
        <w:t xml:space="preserve">Verify these are intact in your copied case after mesh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88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Solver type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Pressure-Based Steady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Material</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water-liquid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μ = 0.001 Pa·s, ρ = 1000 kg/m³</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Viscous model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Laminar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Re &lt;&lt; 1 — no turbulence model needed</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Gravity</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Off</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Not needed for single-phase Darcy</w:t>
            </w:r>
          </w:p>
        </w:tc>
      </w:tr>
    </w:tbl>
    <w:p>
      <w:pPr>
        <w:spacing w:after="80" w:before="0"/>
      </w:pPr>
    </w:p>
    <w:p>
      <w:pPr>
        <w:pStyle w:val="Heading2"/>
        <w:spacing w:after="80" w:before="280"/>
      </w:pPr>
      <w:r>
        <w:rPr>
          <w:rFonts w:ascii="Calibri" w:cs="Calibri" w:eastAsia="Calibri" w:hAnsi="Calibri"/>
          <w:b/>
          <w:bCs/>
          <w:color w:val="1A1A1A"/>
          <w:sz w:val="26"/>
          <w:szCs w:val="26"/>
        </w:rPr>
        <w:t xml:space="preserve">5.2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88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Velocity Inlet (bottom)</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Magnitude = 0.01 m/s, Normal to Boundary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Fixed for ALL designs — do not change between runs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Pressure Outlet (top)</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Gauge pressure = 0 Pa</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Reference; P_outlet = 0 by definition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Wall (PTL surfaces)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No-slip, stationary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Default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Lateral faces</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Periodic (see Section 4)</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Must be set up correctly before running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The 0.01 m/s inlet velocity keeps Re &lt;&lt; 1 based on pore diameter, keeping the flow within the Darcy regime where K is independent of velocity. Do not increase it — inertial effects (Forchheimer regime) will cause K to appear artificially lower.</w:t>
            </w:r>
          </w:p>
        </w:tc>
      </w:tr>
    </w:tbl>
    <w:p>
      <w:pPr>
        <w:spacing w:after="80" w:before="0"/>
      </w:pPr>
    </w:p>
    <w:p>
      <w:pPr>
        <w:pStyle w:val="Heading2"/>
        <w:spacing w:after="80" w:before="280"/>
      </w:pPr>
      <w:r>
        <w:rPr>
          <w:rFonts w:ascii="Calibri" w:cs="Calibri" w:eastAsia="Calibri" w:hAnsi="Calibri"/>
          <w:b/>
          <w:bCs/>
          <w:color w:val="1A1A1A"/>
          <w:sz w:val="26"/>
          <w:szCs w:val="26"/>
        </w:rPr>
        <w:t xml:space="preserve">5.3  Solution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88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Pressure-Velocity Coupling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SIMPLE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Gradient</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Least Squares Cell-Based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Pressure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PRESTO!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Required for complex pore geometry — do not change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Momentum</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Second Order Upwind</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Convergence criteria</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1e-4 (all equations)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But always validate with mass flux check</w:t>
            </w:r>
          </w:p>
        </w:tc>
      </w:tr>
    </w:tbl>
    <w:p>
      <w:pPr>
        <w:spacing w:after="80" w:before="0"/>
      </w:pPr>
    </w:p>
    <w:p>
      <w:pPr>
        <w:pStyle w:val="Heading2"/>
        <w:spacing w:after="80" w:before="280"/>
      </w:pPr>
      <w:r>
        <w:rPr>
          <w:rFonts w:ascii="Calibri" w:cs="Calibri" w:eastAsia="Calibri" w:hAnsi="Calibri"/>
          <w:b/>
          <w:bCs/>
          <w:color w:val="1A1A1A"/>
          <w:sz w:val="26"/>
          <w:szCs w:val="26"/>
        </w:rPr>
        <w:t xml:space="preserve">5.4  Running and Convergence Validation</w:t>
      </w:r>
    </w:p>
    <w:p>
      <w:pPr>
        <w:pStyle w:val="ListParagraph"/>
        <w:numPr>
          <w:ilvl w:val="0"/>
          <w:numId w:val="8"/>
        </w:numPr>
        <w:spacing w:after="60" w:before="60"/>
      </w:pPr>
      <w:r>
        <w:rPr>
          <w:rFonts w:ascii="Calibri" w:cs="Calibri" w:eastAsia="Calibri" w:hAnsi="Calibri"/>
          <w:sz w:val="22"/>
          <w:szCs w:val="22"/>
        </w:rPr>
        <w:t xml:space="preserve">Initialization: Solution → Initialization → Standard Initialize → Compute from Inlet. Click Initialize.</w:t>
      </w:r>
    </w:p>
    <w:p>
      <w:pPr>
        <w:pStyle w:val="ListParagraph"/>
        <w:numPr>
          <w:ilvl w:val="0"/>
          <w:numId w:val="8"/>
        </w:numPr>
        <w:spacing w:after="60" w:before="60"/>
      </w:pPr>
      <w:r>
        <w:rPr>
          <w:rFonts w:ascii="Calibri" w:cs="Calibri" w:eastAsia="Calibri" w:hAnsi="Calibri"/>
          <w:sz w:val="22"/>
          <w:szCs w:val="22"/>
        </w:rPr>
        <w:t xml:space="preserve">Set iterations to 500. Click Run Calculation.</w:t>
      </w:r>
    </w:p>
    <w:p>
      <w:pPr>
        <w:pStyle w:val="ListParagraph"/>
        <w:numPr>
          <w:ilvl w:val="0"/>
          <w:numId w:val="8"/>
        </w:numPr>
        <w:spacing w:after="60" w:before="60"/>
      </w:pPr>
      <w:r>
        <w:rPr>
          <w:rFonts w:ascii="Calibri" w:cs="Calibri" w:eastAsia="Calibri" w:hAnsi="Calibri"/>
          <w:sz w:val="22"/>
          <w:szCs w:val="22"/>
        </w:rPr>
        <w:t xml:space="preserve">The simulation should converge within 200–400 iterations.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Do NOT rely on residual values alone to confirm convergence. Fluent’s automatic ‘Check Convergence’ feature can falsely report convergence at iteration 1 if the initial residuals fall below the threshold. Before trusting any result, go to: Reports → Fluxes → Mass Flow Rate. Select ALL boundary zones. Click Compute. The net flux shown at the bottom must be &lt; 0.01% of the total inlet mass flow rate. If it is not, continue iterating.</w:t>
            </w:r>
          </w:p>
        </w:tc>
      </w:tr>
    </w:tbl>
    <w:p>
      <w:pPr>
        <w:spacing w:after="80" w:before="0"/>
      </w:pPr>
    </w:p>
    <w:p>
      <w:pPr>
        <w:pStyle w:val="Heading2"/>
        <w:spacing w:after="80" w:before="280"/>
      </w:pPr>
      <w:r>
        <w:rPr>
          <w:rFonts w:ascii="Calibri" w:cs="Calibri" w:eastAsia="Calibri" w:hAnsi="Calibri"/>
          <w:b/>
          <w:bCs/>
          <w:color w:val="1A1A1A"/>
          <w:sz w:val="26"/>
          <w:szCs w:val="26"/>
        </w:rPr>
        <w:t xml:space="preserve">5.5  Extracting Results</w:t>
      </w:r>
    </w:p>
    <w:p>
      <w:pPr>
        <w:pStyle w:val="ListParagraph"/>
        <w:numPr>
          <w:ilvl w:val="0"/>
          <w:numId w:val="8"/>
        </w:numPr>
        <w:spacing w:after="60" w:before="60"/>
      </w:pPr>
      <w:r>
        <w:rPr>
          <w:rFonts w:ascii="Calibri" w:cs="Calibri" w:eastAsia="Calibri" w:hAnsi="Calibri"/>
          <w:sz w:val="22"/>
          <w:szCs w:val="22"/>
        </w:rPr>
        <w:t xml:space="preserve">Inlet mass flow rate: Reports → Fluxes → Mass Flow Rate → select inlet face → Compute. Record [kg/s].</w:t>
      </w:r>
    </w:p>
    <w:p>
      <w:pPr>
        <w:pStyle w:val="ListParagraph"/>
        <w:numPr>
          <w:ilvl w:val="0"/>
          <w:numId w:val="8"/>
        </w:numPr>
        <w:spacing w:after="60" w:before="60"/>
      </w:pPr>
      <w:r>
        <w:rPr>
          <w:rFonts w:ascii="Calibri" w:cs="Calibri" w:eastAsia="Calibri" w:hAnsi="Calibri"/>
          <w:sz w:val="22"/>
          <w:szCs w:val="22"/>
        </w:rPr>
        <w:t xml:space="preserve">Inlet pressure: Reports → Surface Integrals → Area-Weighted Average → Static Pressure → select inlet → Compute. Record P_inlet [Pa].</w:t>
      </w:r>
    </w:p>
    <w:p>
      <w:pPr>
        <w:pStyle w:val="ListParagraph"/>
        <w:numPr>
          <w:ilvl w:val="0"/>
          <w:numId w:val="8"/>
        </w:numPr>
        <w:spacing w:after="60" w:before="60"/>
      </w:pPr>
      <w:r>
        <w:rPr>
          <w:rFonts w:ascii="Calibri" w:cs="Calibri" w:eastAsia="Calibri" w:hAnsi="Calibri"/>
          <w:sz w:val="22"/>
          <w:szCs w:val="22"/>
        </w:rPr>
        <w:t xml:space="preserve">Tortuosity: Reports → Surface Integrals → Volume-Weighted Average → Velocity Magnitude over the fluid zone. Then repeat for the through-plane velocity component (X, Y, or Z depending on your BAND_AXIS). Tortuosity τ = V_magnitude / V_through-plane.</w:t>
      </w:r>
    </w:p>
    <w:p>
      <w:pPr>
        <w:spacing w:after="80" w:before="0"/>
      </w:pPr>
    </w:p>
    <w:p>
      <w:pPr>
        <w:pStyle w:val="Heading2"/>
        <w:spacing w:after="80" w:before="280"/>
      </w:pPr>
      <w:r>
        <w:rPr>
          <w:rFonts w:ascii="Calibri" w:cs="Calibri" w:eastAsia="Calibri" w:hAnsi="Calibri"/>
          <w:b/>
          <w:bCs/>
          <w:color w:val="1A1A1A"/>
          <w:sz w:val="26"/>
          <w:szCs w:val="26"/>
        </w:rPr>
        <w:t xml:space="preserve">5.6  Recording Results in PTL_Comparison_Tracker.xlsx</w:t>
      </w:r>
    </w:p>
    <w:p>
      <w:pPr>
        <w:spacing w:after="60" w:before="60"/>
      </w:pPr>
      <w:r>
        <w:rPr>
          <w:rFonts w:ascii="Calibri" w:cs="Calibri" w:eastAsia="Calibri" w:hAnsi="Calibri"/>
          <w:sz w:val="22"/>
          <w:szCs w:val="22"/>
        </w:rPr>
        <w:t xml:space="preserve">All simulation outputs should be entered into the Simulation Inputs sheet of PTL_Comparison_Tracker.xlsx. The spreadsheet uses a color-coding system to guide what you fill in vs. what is calculated automatically: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Color</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57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What to do</w:t>
            </w:r>
          </w:p>
        </w:tc>
      </w:tr>
      <w:tr>
        <w:tc>
          <w:tcPr>
            <w:tcW w:type="dxa" w:w="144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tcPr>
          <w:p>
            <w:r>
              <w:rPr>
                <w:rFonts w:ascii="Calibri" w:cs="Calibri" w:eastAsia="Calibri" w:hAnsi="Calibri"/>
                <w:b/>
                <w:bCs/>
                <w:color w:val="1A4E8C"/>
                <w:sz w:val="20"/>
                <w:szCs w:val="20"/>
              </w:rPr>
              <w:t xml:space="preserve">Blue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Fluent simulation outputs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Paste directly from Fluent reports: P_bottom, P_top, Mass Flow Rate, Velocity Magnitude, Through-Plane Velocity</w:t>
            </w:r>
          </w:p>
        </w:tc>
      </w:tr>
      <w:tr>
        <w:tc>
          <w:tcPr>
            <w:tcW w:type="dxa" w:w="1440"/>
            <w:tcBorders>
              <w:top w:val="single" w:color="CCCCCC" w:sz="1"/>
              <w:left w:val="single" w:color="CCCCCC" w:sz="1"/>
              <w:bottom w:val="single" w:color="CCCCCC" w:sz="1"/>
              <w:right w:val="single" w:color="CCCCCC" w:sz="1"/>
            </w:tcBorders>
            <w:shd w:fill="FFFACD" w:val="clear"/>
            <w:tcMar>
              <w:top w:type="dxa" w:w="100"/>
              <w:left w:type="dxa" w:w="140"/>
              <w:bottom w:type="dxa" w:w="100"/>
              <w:right w:type="dxa" w:w="140"/>
            </w:tcMar>
          </w:tcPr>
          <w:p>
            <w:r>
              <w:rPr>
                <w:rFonts w:ascii="Calibri" w:cs="Calibri" w:eastAsia="Calibri" w:hAnsi="Calibri"/>
                <w:b/>
                <w:bCs/>
                <w:color w:val="7D5A00"/>
                <w:sz w:val="20"/>
                <w:szCs w:val="20"/>
              </w:rPr>
              <w:t xml:space="preserve">Yellow</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Geometry inputs</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Fill in from CAD / nTop spec: Porosity, L_x, L_y, L_z (all in mm), Inlet Velocity</w:t>
            </w:r>
          </w:p>
        </w:tc>
      </w:tr>
      <w:tr>
        <w:tc>
          <w:tcPr>
            <w:tcW w:type="dxa" w:w="1440"/>
            <w:tcBorders>
              <w:top w:val="single" w:color="CCCCCC" w:sz="1"/>
              <w:left w:val="single" w:color="CCCCCC" w:sz="1"/>
              <w:bottom w:val="single" w:color="CCCCCC" w:sz="1"/>
              <w:right w:val="single" w:color="CCCCCC" w:sz="1"/>
            </w:tcBorders>
            <w:shd w:fill="DDFFDD" w:val="clear"/>
            <w:tcMar>
              <w:top w:type="dxa" w:w="100"/>
              <w:left w:type="dxa" w:w="140"/>
              <w:bottom w:type="dxa" w:w="100"/>
              <w:right w:type="dxa" w:w="140"/>
            </w:tcMar>
          </w:tcPr>
          <w:p>
            <w:r>
              <w:rPr>
                <w:rFonts w:ascii="Calibri" w:cs="Calibri" w:eastAsia="Calibri" w:hAnsi="Calibri"/>
                <w:b/>
                <w:bCs/>
                <w:color w:val="1D5C1D"/>
                <w:sz w:val="20"/>
                <w:szCs w:val="20"/>
              </w:rPr>
              <w:t xml:space="preserve">Green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Auto-calculated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Do NOT edit — formulas calculate K, ΔP, K/K_G10, and tortuosity automatically</w:t>
            </w:r>
          </w:p>
        </w:tc>
      </w:tr>
    </w:tbl>
    <w:p>
      <w:pPr>
        <w:spacing w:after="80" w:before="0"/>
      </w:pPr>
    </w:p>
    <w:p>
      <w:pPr>
        <w:spacing w:after="60" w:before="60"/>
      </w:pPr>
      <w:r>
        <w:rPr>
          <w:rFonts w:ascii="Calibri" w:cs="Calibri" w:eastAsia="Calibri" w:hAnsi="Calibri"/>
          <w:sz w:val="22"/>
          <w:szCs w:val="22"/>
        </w:rPr>
        <w:t xml:space="preserve">Procedure for each new design:</w:t>
      </w:r>
    </w:p>
    <w:p>
      <w:pPr>
        <w:pStyle w:val="ListParagraph"/>
        <w:numPr>
          <w:ilvl w:val="0"/>
          <w:numId w:val="8"/>
        </w:numPr>
        <w:spacing w:after="60" w:before="60"/>
      </w:pPr>
      <w:r>
        <w:rPr>
          <w:rFonts w:ascii="Calibri" w:cs="Calibri" w:eastAsia="Calibri" w:hAnsi="Calibri"/>
          <w:sz w:val="22"/>
          <w:szCs w:val="22"/>
        </w:rPr>
        <w:t xml:space="preserve">Add a new row for your design. Copy the row format from an existing Lidinoid row.</w:t>
      </w:r>
    </w:p>
    <w:p>
      <w:pPr>
        <w:pStyle w:val="ListParagraph"/>
        <w:numPr>
          <w:ilvl w:val="0"/>
          <w:numId w:val="8"/>
        </w:numPr>
        <w:spacing w:after="60" w:before="60"/>
      </w:pPr>
      <w:r>
        <w:rPr>
          <w:rFonts w:ascii="Calibri" w:cs="Calibri" w:eastAsia="Calibri" w:hAnsi="Calibri"/>
          <w:sz w:val="22"/>
          <w:szCs w:val="22"/>
        </w:rPr>
        <w:t xml:space="preserve">Fill in the yellow geometry cells: Design Name, Lattice Type, Porosity [%], L_x [mm], L_y [mm], L_z [mm], Inlet Velocity [m/s] (= 0.01 for single-phase).</w:t>
      </w:r>
    </w:p>
    <w:p>
      <w:pPr>
        <w:pStyle w:val="ListParagraph"/>
        <w:numPr>
          <w:ilvl w:val="0"/>
          <w:numId w:val="8"/>
        </w:numPr>
        <w:spacing w:after="60" w:before="60"/>
      </w:pPr>
      <w:r>
        <w:rPr>
          <w:rFonts w:ascii="Calibri" w:cs="Calibri" w:eastAsia="Calibri" w:hAnsi="Calibri"/>
          <w:sz w:val="22"/>
          <w:szCs w:val="22"/>
        </w:rPr>
        <w:t xml:space="preserve">From Fluent: Reports → Fluxes → Volume Flow Rate at the top_surface outlet. Paste the value into the Mass Flow [kg/s] blue cell. Note: Fluent reports this as a negative number for an outlet — the spreadsheet formula uses the absolute value.</w:t>
      </w:r>
    </w:p>
    <w:p>
      <w:pPr>
        <w:pStyle w:val="ListParagraph"/>
        <w:numPr>
          <w:ilvl w:val="0"/>
          <w:numId w:val="8"/>
        </w:numPr>
        <w:spacing w:after="60" w:before="60"/>
      </w:pPr>
      <w:r>
        <w:rPr>
          <w:rFonts w:ascii="Calibri" w:cs="Calibri" w:eastAsia="Calibri" w:hAnsi="Calibri"/>
          <w:sz w:val="22"/>
          <w:szCs w:val="22"/>
        </w:rPr>
        <w:t xml:space="preserve">From Fluent: Reports → Surface Integrals → Area-Weighted Average → Static Pressure at bottom_surface. Paste into P_bottom [Pa]. Repeat for top_surface → paste into P_top [Pa].</w:t>
      </w:r>
    </w:p>
    <w:p>
      <w:pPr>
        <w:pStyle w:val="ListParagraph"/>
        <w:numPr>
          <w:ilvl w:val="0"/>
          <w:numId w:val="8"/>
        </w:numPr>
        <w:spacing w:after="60" w:before="60"/>
      </w:pPr>
      <w:r>
        <w:rPr>
          <w:rFonts w:ascii="Calibri" w:cs="Calibri" w:eastAsia="Calibri" w:hAnsi="Calibri"/>
          <w:sz w:val="22"/>
          <w:szCs w:val="22"/>
        </w:rPr>
        <w:t xml:space="preserve">From Fluent: Reports → Surface Integrals → Volume-Weighted Average → Velocity Magnitude over the fluid zone. Paste into Velocity Magnitude [m/s]. Then repeat for the through-plane velocity component (X-velocity for BAND_AXIS=0) → paste into Through Plane Velocity [m/s].</w:t>
      </w:r>
    </w:p>
    <w:p>
      <w:pPr>
        <w:pStyle w:val="ListParagraph"/>
        <w:numPr>
          <w:ilvl w:val="0"/>
          <w:numId w:val="8"/>
        </w:numPr>
        <w:spacing w:after="60" w:before="60"/>
      </w:pPr>
      <w:r>
        <w:rPr>
          <w:rFonts w:ascii="Calibri" w:cs="Calibri" w:eastAsia="Calibri" w:hAnsi="Calibri"/>
          <w:sz w:val="22"/>
          <w:szCs w:val="22"/>
        </w:rPr>
        <w:t xml:space="preserve">The green cells will automatically calculate: ΔP, K [m²], ΔP/L [Pa/m], K/Porosity, and Tortuosity (= Velocity Magnitude / Through Plane Velocity).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Use the Volume Flow Rate report at the top_surface outlet for Mass Flow — NOT the Flux Mass Flow Rate. Earlier in this project, mass flow rate [kg/s] was used instead of volumetric flow rate [m³/s], causing ~1000× overestimation of K for all Lidinoid designs. The spreadsheet Darcy formula expects volumetric flow rate [m³/s] in the Mass Flow column.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The Results Summary sheet pulls K and tortuosity from Simulation Inputs and calculates K/K_G10 ratios automatically. Check it after entering new data to confirm the normalized comparison updates correctly. The Charts sheet also updates automatically.</w:t>
            </w:r>
          </w:p>
        </w:tc>
      </w:tr>
    </w:tbl>
    <w:p>
      <w:pPr>
        <w:spacing w:after="80" w:before="0"/>
      </w:pPr>
    </w:p>
    <w:p>
      <w:pPr>
        <w:pStyle w:val="Heading2"/>
        <w:spacing w:after="80" w:before="280"/>
      </w:pPr>
      <w:r>
        <w:rPr>
          <w:rFonts w:ascii="Calibri" w:cs="Calibri" w:eastAsia="Calibri" w:hAnsi="Calibri"/>
          <w:b/>
          <w:bCs/>
          <w:color w:val="1A1A1A"/>
          <w:sz w:val="26"/>
          <w:szCs w:val="26"/>
        </w:rPr>
        <w:t xml:space="preserve">5.7  Calculating Permeability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Step 1: Convert mass flow rate to volumetric flow rate */</w:t>
            </w:r>
          </w:p>
          <w:p>
            <w:pPr>
              <w:spacing w:after="0" w:before="0"/>
            </w:pPr>
            <w:r>
              <w:rPr>
                <w:rFonts w:ascii="Courier New" w:cs="Courier New" w:eastAsia="Courier New" w:hAnsi="Courier New"/>
                <w:color w:val="D4D4D4"/>
                <w:sz w:val="18"/>
                <w:szCs w:val="18"/>
              </w:rPr>
              <w:t xml:space="preserve">Q [m^3/s]  =  mdot [kg/s]  /  rho [kg/m^3]</w:t>
            </w:r>
          </w:p>
          <w:p>
            <w:pPr>
              <w:spacing w:after="0" w:before="0"/>
            </w:pPr>
            <w:r>
              <w:rPr>
                <w:rFonts w:ascii="Courier New" w:cs="Courier New" w:eastAsia="Courier New" w:hAnsi="Courier New"/>
                <w:color w:val="D4D4D4"/>
                <w:sz w:val="18"/>
                <w:szCs w:val="18"/>
              </w:rPr>
              <w:t xml:space="preserve">           =  mdot  /  1000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2: Apply Darcy formula */</w:t>
            </w:r>
          </w:p>
          <w:p>
            <w:pPr>
              <w:spacing w:after="0" w:before="0"/>
            </w:pPr>
            <w:r>
              <w:rPr>
                <w:rFonts w:ascii="Courier New" w:cs="Courier New" w:eastAsia="Courier New" w:hAnsi="Courier New"/>
                <w:color w:val="D4D4D4"/>
                <w:sz w:val="18"/>
                <w:szCs w:val="18"/>
              </w:rPr>
              <w:t xml:space="preserve">K [m^2]    =  ( Q  *  mu  *  L )  /  ( A  *  dP )</w:t>
            </w:r>
          </w:p>
          <w:p>
            <w:pPr>
              <w:spacing w:after="0" w:before="0"/>
            </w:pPr>
            <w:r>
              <w:rPr>
                <w:rFonts w:ascii="Courier New" w:cs="Courier New" w:eastAsia="Courier New" w:hAnsi="Courier New"/>
                <w:color w:val="D4D4D4"/>
                <w:sz w:val="18"/>
                <w:szCs w:val="18"/>
              </w:rPr>
              <w:t xml:space="preserve">  where:</w:t>
            </w:r>
          </w:p>
          <w:p>
            <w:pPr>
              <w:spacing w:after="0" w:before="0"/>
            </w:pPr>
            <w:r>
              <w:rPr>
                <w:rFonts w:ascii="Courier New" w:cs="Courier New" w:eastAsia="Courier New" w:hAnsi="Courier New"/>
                <w:color w:val="D4D4D4"/>
                <w:sz w:val="18"/>
                <w:szCs w:val="18"/>
              </w:rPr>
              <w:t xml:space="preserve">    mu   = 0.001 Pa.s  (water dynamic viscosity)</w:t>
            </w:r>
          </w:p>
          <w:p>
            <w:pPr>
              <w:spacing w:after="0" w:before="0"/>
            </w:pPr>
            <w:r>
              <w:rPr>
                <w:rFonts w:ascii="Courier New" w:cs="Courier New" w:eastAsia="Courier New" w:hAnsi="Courier New"/>
                <w:color w:val="D4D4D4"/>
                <w:sz w:val="18"/>
                <w:szCs w:val="18"/>
              </w:rPr>
              <w:t xml:space="preserve">    L    = through-plane domain length [m]  (e.g. 0.002 for 2 mm)</w:t>
            </w:r>
          </w:p>
          <w:p>
            <w:pPr>
              <w:spacing w:after="0" w:before="0"/>
            </w:pPr>
            <w:r>
              <w:rPr>
                <w:rFonts w:ascii="Courier New" w:cs="Courier New" w:eastAsia="Courier New" w:hAnsi="Courier New"/>
                <w:color w:val="D4D4D4"/>
                <w:sz w:val="18"/>
                <w:szCs w:val="18"/>
              </w:rPr>
              <w:t xml:space="preserve">    A    = inlet face area [m^2]  =  Lx * Ly of unit cell</w:t>
            </w:r>
          </w:p>
          <w:p>
            <w:pPr>
              <w:spacing w:after="0" w:before="0"/>
            </w:pPr>
            <w:r>
              <w:rPr>
                <w:rFonts w:ascii="Courier New" w:cs="Courier New" w:eastAsia="Courier New" w:hAnsi="Courier New"/>
                <w:color w:val="D4D4D4"/>
                <w:sz w:val="18"/>
                <w:szCs w:val="18"/>
              </w:rPr>
              <w:t xml:space="preserve">    dP   = P_inlet [Pa]  (P_outlet = 0 Pa by definition)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3: Normalize */</w:t>
            </w:r>
          </w:p>
          <w:p>
            <w:pPr>
              <w:spacing w:after="0" w:before="0"/>
            </w:pPr>
            <w:r>
              <w:rPr>
                <w:rFonts w:ascii="Courier New" w:cs="Courier New" w:eastAsia="Courier New" w:hAnsi="Courier New"/>
                <w:color w:val="D4D4D4"/>
                <w:sz w:val="18"/>
                <w:szCs w:val="18"/>
              </w:rPr>
              <w:t xml:space="preserve">K_ratio  =  K_new  /  K_G10</w:t>
            </w:r>
          </w:p>
          <w:p>
            <w:pPr>
              <w:spacing w:after="0" w:before="0"/>
            </w:pPr>
            <w:r>
              <w:rPr>
                <w:rFonts w:ascii="Courier New" w:cs="Courier New" w:eastAsia="Courier New" w:hAnsi="Courier New"/>
                <w:color w:val="D4D4D4"/>
                <w:sz w:val="18"/>
                <w:szCs w:val="18"/>
              </w:rPr>
              <w:t xml:space="preserve">  K_G10 = 7.90e-11 m^2  (reference)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6AC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Calibri" w:cs="Calibri" w:eastAsia="Calibri" w:hAnsi="Calibri"/>
                <w:b/>
                <w:bCs/>
                <w:color w:val="7D5A00"/>
                <w:sz w:val="20"/>
                <w:szCs w:val="20"/>
              </w:rPr>
              <w:t xml:space="preserve">WARNING — </w:t>
            </w:r>
            <w:r>
              <w:rPr>
                <w:rFonts w:ascii="Calibri" w:cs="Calibri" w:eastAsia="Calibri" w:hAnsi="Calibri"/>
                <w:color w:val="7D5A00"/>
                <w:sz w:val="20"/>
                <w:szCs w:val="20"/>
              </w:rPr>
              <w:t xml:space="preserve">UNIT TRAP — This error occurred in this project: do not use volumetric flow rate directly from a Fluent report row that was labeled in different units. Mass flow rate from Fluent Fluxes is always in kg/s. Divide by 1000 (water density) to get m³/s. Skipping this step caused ~1000× overestimation of K in early spreadsheet versions.</w:t>
            </w:r>
          </w:p>
        </w:tc>
      </w:tr>
    </w:tbl>
    <w:p>
      <w:pPr>
        <w:spacing w:after="80" w:before="0"/>
      </w:pPr>
    </w:p>
    <w:p>
      <w:pPr>
        <w:spacing w:after="0" w:before="0"/>
      </w:pPr>
      <w:r>
        <w:br w:type="page"/>
      </w:r>
    </w:p>
    <w:p>
      <w:pPr>
        <w:pStyle w:val="Heading1"/>
        <w:pBdr>
          <w:bottom w:val="single" w:color="9B0000" w:sz="4" w:space="4"/>
        </w:pBdr>
        <w:spacing w:after="120" w:before="400"/>
      </w:pPr>
      <w:r>
        <w:rPr>
          <w:rFonts w:ascii="Calibri" w:cs="Calibri" w:eastAsia="Calibri" w:hAnsi="Calibri"/>
          <w:b/>
          <w:bCs/>
          <w:color w:val="9B0000"/>
          <w:sz w:val="32"/>
          <w:szCs w:val="32"/>
        </w:rPr>
        <w:t xml:space="preserve">6. UDF Reference: electrolysis_sources_one_fluid_domain_x.c</w:t>
      </w:r>
    </w:p>
    <w:p>
      <w:pPr>
        <w:spacing w:after="60" w:before="60"/>
      </w:pPr>
      <w:r>
        <w:rPr>
          <w:rFonts w:ascii="Calibri" w:cs="Calibri" w:eastAsia="Calibri" w:hAnsi="Calibri"/>
          <w:sz w:val="22"/>
          <w:szCs w:val="22"/>
        </w:rPr>
        <w:t xml:space="preserve">The UDF injects O₂ mass into a thin reaction band adjacent to the electrode surface, governed by Faraday’s law. It also consumes water stoichiometrically. Before compiling, you must configure it for your specific geometry. The key parameters are described below.</w:t>
      </w:r>
    </w:p>
    <w:p>
      <w:pPr>
        <w:spacing w:after="80" w:before="0"/>
      </w:pPr>
    </w:p>
    <w:p>
      <w:pPr>
        <w:pStyle w:val="Heading2"/>
        <w:spacing w:after="80" w:before="280"/>
      </w:pPr>
      <w:r>
        <w:rPr>
          <w:rFonts w:ascii="Calibri" w:cs="Calibri" w:eastAsia="Calibri" w:hAnsi="Calibri"/>
          <w:b/>
          <w:bCs/>
          <w:color w:val="1A1A1A"/>
          <w:sz w:val="26"/>
          <w:szCs w:val="26"/>
        </w:rPr>
        <w:t xml:space="preserve">6.1  Parameters You Must Verify for Each New Geometry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Current Value</w:t>
            </w:r>
          </w:p>
        </w:tc>
        <w:tc>
          <w:tcPr>
            <w:tcW w:type="dxa" w:w="5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What it controls and when to change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BAND_AXIS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0 (X-axis)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The coordinate axis that is through-plane (perpendicular to electrode). 0=X, 1=Y, 2=Z. Change this if your geometry’s through-plane direction is not X. Check by displaying the mesh and noting which axis runs from electrode to outlet.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Y0</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-0.00105 m</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The coordinate of the electrode face (bottom of the reaction band) along BAND_AXIS. MUST match your geometry. Check with: Domain → Mesh → Info → Size, or hover over the inlet face in the graphics window.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DELTA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5.0e-5 m (50 μm)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Reaction band thickness. This is ~5% of a typical pore diameter. Do not change unless you have specific reason to.</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J</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10000.0 A/m²</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Applied current density. Change only if you want to simulate a different operating point.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ALPHA_CUT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0.20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9"/>
                <w:szCs w:val="19"/>
              </w:rPr>
              <w:t xml:space="preserve">Water volume fraction below which O₂ generation shuts off (prevents generating O₂ where no water exists). Set to 0.0 for debugging only.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WATER_PHASE_INDEX</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19"/>
                <w:szCs w:val="19"/>
              </w:rPr>
              <w:t xml:space="preserve">Sub-thread index of the water phase in the mixture thread. 0 = phase 1 = water (correct for this project setup). If phases are defined differently, check which index corresponds to water.</w:t>
            </w:r>
          </w:p>
        </w:tc>
      </w:tr>
    </w:tbl>
    <w:p>
      <w:pPr>
        <w:spacing w:after="80" w:before="0"/>
      </w:pPr>
    </w:p>
    <w:p>
      <w:pPr>
        <w:pStyle w:val="Heading2"/>
        <w:spacing w:after="80" w:before="280"/>
      </w:pPr>
      <w:r>
        <w:rPr>
          <w:rFonts w:ascii="Calibri" w:cs="Calibri" w:eastAsia="Calibri" w:hAnsi="Calibri"/>
          <w:b/>
          <w:bCs/>
          <w:color w:val="1A1A1A"/>
          <w:sz w:val="26"/>
          <w:szCs w:val="26"/>
        </w:rPr>
        <w:t xml:space="preserve">6.2  How to Find Y0 for a New Geometry</w:t>
      </w:r>
    </w:p>
    <w:p>
      <w:pPr>
        <w:spacing w:after="60" w:before="60"/>
      </w:pPr>
      <w:r>
        <w:rPr>
          <w:rFonts w:ascii="Calibri" w:cs="Calibri" w:eastAsia="Calibri" w:hAnsi="Calibri"/>
          <w:sz w:val="22"/>
          <w:szCs w:val="22"/>
        </w:rPr>
        <w:t xml:space="preserve">Y0 is the single most common error when switching geometries. Here is the exact procedure:</w:t>
      </w:r>
    </w:p>
    <w:p>
      <w:pPr>
        <w:spacing w:after="80" w:before="0"/>
      </w:pPr>
    </w:p>
    <w:p>
      <w:pPr>
        <w:pStyle w:val="ListParagraph"/>
        <w:numPr>
          <w:ilvl w:val="0"/>
          <w:numId w:val="2"/>
        </w:numPr>
        <w:spacing w:after="60" w:before="60"/>
      </w:pPr>
      <w:r>
        <w:rPr>
          <w:rFonts w:ascii="Calibri" w:cs="Calibri" w:eastAsia="Calibri" w:hAnsi="Calibri"/>
          <w:sz w:val="22"/>
          <w:szCs w:val="22"/>
        </w:rPr>
        <w:t xml:space="preserve">With your new mesh loaded, go to Domain → Mesh → Info → Size.</w:t>
      </w:r>
    </w:p>
    <w:p>
      <w:pPr>
        <w:pStyle w:val="ListParagraph"/>
        <w:numPr>
          <w:ilvl w:val="0"/>
          <w:numId w:val="2"/>
        </w:numPr>
        <w:spacing w:after="60" w:before="60"/>
      </w:pPr>
      <w:r>
        <w:rPr>
          <w:rFonts w:ascii="Calibri" w:cs="Calibri" w:eastAsia="Calibri" w:hAnsi="Calibri"/>
          <w:sz w:val="22"/>
          <w:szCs w:val="22"/>
        </w:rPr>
        <w:t xml:space="preserve">The console will print the domain extents: X from [Xmin] to [Xmax], Y from... etc.</w:t>
      </w:r>
    </w:p>
    <w:p>
      <w:pPr>
        <w:pStyle w:val="ListParagraph"/>
        <w:numPr>
          <w:ilvl w:val="0"/>
          <w:numId w:val="2"/>
        </w:numPr>
        <w:spacing w:after="60" w:before="60"/>
      </w:pPr>
      <w:r>
        <w:rPr>
          <w:rFonts w:ascii="Calibri" w:cs="Calibri" w:eastAsia="Calibri" w:hAnsi="Calibri"/>
          <w:sz w:val="22"/>
          <w:szCs w:val="22"/>
        </w:rPr>
        <w:t xml:space="preserve">Identify which axis is through-plane (the one that spans your PTL thickness, e.g. 0.002 m for a 2 mm PTL). That axis is your BAND_AXIS.</w:t>
      </w:r>
    </w:p>
    <w:p>
      <w:pPr>
        <w:pStyle w:val="ListParagraph"/>
        <w:numPr>
          <w:ilvl w:val="0"/>
          <w:numId w:val="2"/>
        </w:numPr>
        <w:spacing w:after="60" w:before="60"/>
      </w:pPr>
      <w:r>
        <w:rPr>
          <w:rFonts w:ascii="Calibri" w:cs="Calibri" w:eastAsia="Calibri" w:hAnsi="Calibri"/>
          <w:sz w:val="22"/>
          <w:szCs w:val="22"/>
        </w:rPr>
        <w:t xml:space="preserve">Y0 = the minimum coordinate along that axis (the electrode face). For example, if X spans from -0.00105 to +0.00095, then Y0 = -0.00105 and BAND_AXIS = 0.</w:t>
      </w:r>
    </w:p>
    <w:p>
      <w:pPr>
        <w:pStyle w:val="ListParagraph"/>
        <w:numPr>
          <w:ilvl w:val="0"/>
          <w:numId w:val="2"/>
        </w:numPr>
        <w:spacing w:after="60" w:before="60"/>
      </w:pPr>
      <w:r>
        <w:rPr>
          <w:rFonts w:ascii="Calibri" w:cs="Calibri" w:eastAsia="Calibri" w:hAnsi="Calibri"/>
          <w:sz w:val="22"/>
          <w:szCs w:val="22"/>
        </w:rPr>
        <w:t xml:space="preserve">Verify visually: Setup → Boundary Conditions → click the inlet zone → Display. The highlighted face should be at the electrode end.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If Y0 is wrong, the UDF will either fire in mid-domain or not fire at all. You will see zero O₂ source everywhere (no mass generation) or source in the wrong location (O₂ appearing at the wrong end). Always verify by checking the DBG o2_source: console messages after the first timestep — the coord= value should be between Y0 and Y0+DELTA.</w:t>
            </w:r>
          </w:p>
        </w:tc>
      </w:tr>
    </w:tbl>
    <w:p>
      <w:pPr>
        <w:spacing w:after="80" w:before="0"/>
      </w:pPr>
    </w:p>
    <w:p>
      <w:pPr>
        <w:pStyle w:val="Heading2"/>
        <w:spacing w:after="80" w:before="280"/>
      </w:pPr>
      <w:r>
        <w:rPr>
          <w:rFonts w:ascii="Calibri" w:cs="Calibri" w:eastAsia="Calibri" w:hAnsi="Calibri"/>
          <w:b/>
          <w:bCs/>
          <w:color w:val="1A1A1A"/>
          <w:sz w:val="26"/>
          <w:szCs w:val="26"/>
        </w:rPr>
        <w:t xml:space="preserve">6.3  Annotated Key Lines in the UDF</w:t>
      </w:r>
    </w:p>
    <w:p>
      <w:pPr>
        <w:spacing w:after="60" w:before="60"/>
      </w:pPr>
      <w:r>
        <w:rPr>
          <w:rFonts w:ascii="Calibri" w:cs="Calibri" w:eastAsia="Calibri" w:hAnsi="Calibri"/>
          <w:sz w:val="22"/>
          <w:szCs w:val="22"/>
        </w:rPr>
        <w:t xml:space="preserve">The following annotated excerpts highlight the lines a future operator is most likely to need to modify: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USER CONFIGURATION SECTION -- read this before compiling     */</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J          10000.0    /* current density [A/m^2]</w:t>
            </w:r>
          </w:p>
          <w:p>
            <w:pPr>
              <w:spacing w:after="0" w:before="0"/>
            </w:pPr>
            <w:r>
              <w:rPr>
                <w:rFonts w:ascii="Courier New" w:cs="Courier New" w:eastAsia="Courier New" w:hAnsi="Courier New"/>
                <w:color w:val="D4D4D4"/>
                <w:sz w:val="18"/>
                <w:szCs w:val="18"/>
              </w:rPr>
              <w:t xml:space="preserve">                                Change to simulate different operating point.</w:t>
            </w:r>
          </w:p>
          <w:p>
            <w:pPr>
              <w:spacing w:after="0" w:before="0"/>
            </w:pPr>
            <w:r>
              <w:rPr>
                <w:rFonts w:ascii="Courier New" w:cs="Courier New" w:eastAsia="Courier New" w:hAnsi="Courier New"/>
                <w:color w:val="D4D4D4"/>
                <w:sz w:val="18"/>
                <w:szCs w:val="18"/>
              </w:rPr>
              <w:t xml:space="preserve">                                1000 = low current, 50000 = high current density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BAND_AXIS  0          /* through-plane axis: 0=X, 1=Y, 2=Z</w:t>
            </w:r>
          </w:p>
          <w:p>
            <w:pPr>
              <w:spacing w:after="0" w:before="0"/>
            </w:pPr>
            <w:r>
              <w:rPr>
                <w:rFonts w:ascii="Courier New" w:cs="Courier New" w:eastAsia="Courier New" w:hAnsi="Courier New"/>
                <w:color w:val="D4D4D4"/>
                <w:sz w:val="18"/>
                <w:szCs w:val="18"/>
              </w:rPr>
              <w:t xml:space="preserve">                                CHANGE THIS if your mesh is oriented differently.</w:t>
            </w:r>
          </w:p>
          <w:p>
            <w:pPr>
              <w:spacing w:after="0" w:before="0"/>
            </w:pPr>
            <w:r>
              <w:rPr>
                <w:rFonts w:ascii="Courier New" w:cs="Courier New" w:eastAsia="Courier New" w:hAnsi="Courier New"/>
                <w:color w:val="D4D4D4"/>
                <w:sz w:val="18"/>
                <w:szCs w:val="18"/>
              </w:rPr>
              <w:t xml:space="preserve">                                Check: Domain -&gt; Mesh -&gt; Info -&gt; Size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Y0         (-0.00105) /* electrode face coordinate [m] along BAND_AXIS</w:t>
            </w:r>
          </w:p>
          <w:p>
            <w:pPr>
              <w:spacing w:after="0" w:before="0"/>
            </w:pPr>
            <w:r>
              <w:rPr>
                <w:rFonts w:ascii="Courier New" w:cs="Courier New" w:eastAsia="Courier New" w:hAnsi="Courier New"/>
                <w:color w:val="D4D4D4"/>
                <w:sz w:val="18"/>
                <w:szCs w:val="18"/>
              </w:rPr>
              <w:t xml:space="preserve">                                MUST MATCH YOUR GEOMETRY.</w:t>
            </w:r>
          </w:p>
          <w:p>
            <w:pPr>
              <w:spacing w:after="0" w:before="0"/>
            </w:pPr>
            <w:r>
              <w:rPr>
                <w:rFonts w:ascii="Courier New" w:cs="Courier New" w:eastAsia="Courier New" w:hAnsi="Courier New"/>
                <w:color w:val="D4D4D4"/>
                <w:sz w:val="18"/>
                <w:szCs w:val="18"/>
              </w:rPr>
              <w:t xml:space="preserve">                                Measure from Domain -&gt; Mesh -&gt; Info -&gt; Size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DELTA      (5.0e-5)   /* reaction band thickness [m]</w:t>
            </w:r>
          </w:p>
          <w:p>
            <w:pPr>
              <w:spacing w:after="0" w:before="0"/>
            </w:pPr>
            <w:r>
              <w:rPr>
                <w:rFonts w:ascii="Courier New" w:cs="Courier New" w:eastAsia="Courier New" w:hAnsi="Courier New"/>
                <w:color w:val="D4D4D4"/>
                <w:sz w:val="18"/>
                <w:szCs w:val="18"/>
              </w:rPr>
              <w:t xml:space="preserve">                                50 microns. Adjust only if pore scale changes</w:t>
            </w:r>
          </w:p>
          <w:p>
            <w:pPr>
              <w:spacing w:after="0" w:before="0"/>
            </w:pPr>
            <w:r>
              <w:rPr>
                <w:rFonts w:ascii="Courier New" w:cs="Courier New" w:eastAsia="Courier New" w:hAnsi="Courier New"/>
                <w:color w:val="D4D4D4"/>
                <w:sz w:val="18"/>
                <w:szCs w:val="18"/>
              </w:rPr>
              <w:t xml:space="preserve">                                dramatically (e.g. macro-scale geometry).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ALPHA_CUT  0.20       /* O2 generation shuts off when water VOF &lt; this</w:t>
            </w:r>
          </w:p>
          <w:p>
            <w:pPr>
              <w:spacing w:after="0" w:before="0"/>
            </w:pPr>
            <w:r>
              <w:rPr>
                <w:rFonts w:ascii="Courier New" w:cs="Courier New" w:eastAsia="Courier New" w:hAnsi="Courier New"/>
                <w:color w:val="D4D4D4"/>
                <w:sz w:val="18"/>
                <w:szCs w:val="18"/>
              </w:rPr>
              <w:t xml:space="preserve">                                0.20 = shuts off at 20% water (80% gas)</w:t>
            </w:r>
          </w:p>
          <w:p>
            <w:pPr>
              <w:spacing w:after="0" w:before="0"/>
            </w:pPr>
            <w:r>
              <w:rPr>
                <w:rFonts w:ascii="Courier New" w:cs="Courier New" w:eastAsia="Courier New" w:hAnsi="Courier New"/>
                <w:color w:val="D4D4D4"/>
                <w:sz w:val="18"/>
                <w:szCs w:val="18"/>
              </w:rPr>
              <w:t xml:space="preserve">                                Set to 0.0 to DISABLE shutoff for debugging.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#define WATER_PHASE_INDEX 0   /* which phase is water (0 = primary phase)</w:t>
            </w:r>
          </w:p>
          <w:p>
            <w:pPr>
              <w:spacing w:after="0" w:before="0"/>
            </w:pPr>
            <w:r>
              <w:rPr>
                <w:rFonts w:ascii="Courier New" w:cs="Courier New" w:eastAsia="Courier New" w:hAnsi="Courier New"/>
                <w:color w:val="D4D4D4"/>
                <w:sz w:val="18"/>
                <w:szCs w:val="18"/>
              </w:rPr>
              <w:t xml:space="preserve">                                Verify in Setup -&gt; Phases that phase 1 = water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REACTION BAND LOGIC -- how the UDF decides where to fire     */</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static real in_reaction_band(cell_t c, Thread *t)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real xc[ND_ND];</w:t>
            </w:r>
          </w:p>
          <w:p>
            <w:pPr>
              <w:spacing w:after="0" w:before="0"/>
            </w:pPr>
            <w:r>
              <w:rPr>
                <w:rFonts w:ascii="Courier New" w:cs="Courier New" w:eastAsia="Courier New" w:hAnsi="Courier New"/>
                <w:color w:val="D4D4D4"/>
                <w:sz w:val="18"/>
                <w:szCs w:val="18"/>
              </w:rPr>
              <w:t xml:space="preserve">    C_CENTROID(xc, c, t);   /* get cell centroid coordinates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fires only if centroid is between Y0 and Y0+DELTA */</w:t>
            </w:r>
          </w:p>
          <w:p>
            <w:pPr>
              <w:spacing w:after="0" w:before="0"/>
            </w:pPr>
            <w:r>
              <w:rPr>
                <w:rFonts w:ascii="Courier New" w:cs="Courier New" w:eastAsia="Courier New" w:hAnsi="Courier New"/>
                <w:color w:val="D4D4D4"/>
                <w:sz w:val="18"/>
                <w:szCs w:val="18"/>
              </w:rPr>
              <w:t xml:space="preserve">    /* this is a SLAB check along BAND_AXIS               */</w:t>
            </w:r>
          </w:p>
          <w:p>
            <w:pPr>
              <w:spacing w:after="0" w:before="0"/>
            </w:pPr>
            <w:r>
              <w:rPr>
                <w:rFonts w:ascii="Courier New" w:cs="Courier New" w:eastAsia="Courier New" w:hAnsi="Courier New"/>
                <w:color w:val="D4D4D4"/>
                <w:sz w:val="18"/>
                <w:szCs w:val="18"/>
              </w:rPr>
              <w:t xml:space="preserve">    if (xc[BAND_AXIS] &gt;= Y0 &amp;&amp; xc[BAND_AXIS] &lt;= (Y0 + DELTA))</w:t>
            </w:r>
          </w:p>
          <w:p>
            <w:pPr>
              <w:spacing w:after="0" w:before="0"/>
            </w:pPr>
            <w:r>
              <w:rPr>
                <w:rFonts w:ascii="Courier New" w:cs="Courier New" w:eastAsia="Courier New" w:hAnsi="Courier New"/>
                <w:color w:val="D4D4D4"/>
                <w:sz w:val="18"/>
                <w:szCs w:val="18"/>
              </w:rPr>
              <w:t xml:space="preserve">        return 1.0;</w:t>
            </w:r>
          </w:p>
          <w:p>
            <w:pPr>
              <w:spacing w:after="0" w:before="0"/>
            </w:pPr>
            <w:r>
              <w:rPr>
                <w:rFonts w:ascii="Courier New" w:cs="Courier New" w:eastAsia="Courier New" w:hAnsi="Courier New"/>
                <w:color w:val="D4D4D4"/>
                <w:sz w:val="18"/>
                <w:szCs w:val="18"/>
              </w:rPr>
              <w:t xml:space="preserve">    return 0.0;</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The source magnitude at full current (no liquid factor or ramp): */</w:t>
            </w:r>
          </w:p>
          <w:p>
            <w:pPr>
              <w:spacing w:after="0" w:before="0"/>
            </w:pPr>
            <w:r>
              <w:rPr>
                <w:rFonts w:ascii="Courier New" w:cs="Courier New" w:eastAsia="Courier New" w:hAnsi="Courier New"/>
                <w:color w:val="D4D4D4"/>
                <w:sz w:val="18"/>
                <w:szCs w:val="18"/>
              </w:rPr>
              <w:t xml:space="preserve">static real nominal_o2_source(void)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return (J * MW_O2) / (4.0 * F * DELTA);</w:t>
            </w:r>
          </w:p>
          <w:p>
            <w:pPr>
              <w:spacing w:after="0" w:before="0"/>
            </w:pPr>
            <w:r>
              <w:rPr>
                <w:rFonts w:ascii="Courier New" w:cs="Courier New" w:eastAsia="Courier New" w:hAnsi="Courier New"/>
                <w:color w:val="D4D4D4"/>
                <w:sz w:val="18"/>
                <w:szCs w:val="18"/>
              </w:rPr>
              <w:t xml:space="preserve">    /* = (10000 * 0.032) / (4 * 96485 * 5e-5) = 16.58 kg/m^3/s */</w:t>
            </w:r>
          </w:p>
          <w:p>
            <w:pPr>
              <w:spacing w:after="0" w:before="0"/>
            </w:pPr>
            <w:r>
              <w:rPr>
                <w:rFonts w:ascii="Courier New" w:cs="Courier New" w:eastAsia="Courier New" w:hAnsi="Courier New"/>
                <w:color w:val="D4D4D4"/>
                <w:sz w:val="18"/>
                <w:szCs w:val="18"/>
              </w:rPr>
              <w:t xml:space="preserve">}</w:t>
            </w:r>
          </w:p>
        </w:tc>
      </w:tr>
    </w:tbl>
    <w:p>
      <w:pPr>
        <w:spacing w:after="80" w:before="0"/>
      </w:pPr>
    </w:p>
    <w:p>
      <w:pPr>
        <w:pStyle w:val="Heading2"/>
        <w:spacing w:after="80" w:before="280"/>
      </w:pPr>
      <w:r>
        <w:rPr>
          <w:rFonts w:ascii="Calibri" w:cs="Calibri" w:eastAsia="Calibri" w:hAnsi="Calibri"/>
          <w:b/>
          <w:bCs/>
          <w:color w:val="1A1A1A"/>
          <w:sz w:val="26"/>
          <w:szCs w:val="26"/>
        </w:rPr>
        <w:t xml:space="preserve">6.4  Compiling and Loading the UDF</w:t>
      </w:r>
    </w:p>
    <w:p>
      <w:pPr>
        <w:pStyle w:val="ListParagraph"/>
        <w:numPr>
          <w:ilvl w:val="0"/>
          <w:numId w:val="3"/>
        </w:numPr>
        <w:spacing w:after="60" w:before="60"/>
      </w:pPr>
      <w:r>
        <w:rPr>
          <w:rFonts w:ascii="Calibri" w:cs="Calibri" w:eastAsia="Calibri" w:hAnsi="Calibri"/>
          <w:sz w:val="22"/>
          <w:szCs w:val="22"/>
        </w:rPr>
        <w:t xml:space="preserve">In Fluent: User Defined → User Defined Functions → Compiled UDFs...</w:t>
      </w:r>
    </w:p>
    <w:p>
      <w:pPr>
        <w:pStyle w:val="ListParagraph"/>
        <w:numPr>
          <w:ilvl w:val="0"/>
          <w:numId w:val="3"/>
        </w:numPr>
        <w:spacing w:after="60" w:before="60"/>
      </w:pPr>
      <w:r>
        <w:rPr>
          <w:rFonts w:ascii="Calibri" w:cs="Calibri" w:eastAsia="Calibri" w:hAnsi="Calibri"/>
          <w:sz w:val="22"/>
          <w:szCs w:val="22"/>
        </w:rPr>
        <w:t xml:space="preserve">Under Source Files, click Add. Navigate to the .c file. Click OK.</w:t>
      </w:r>
    </w:p>
    <w:p>
      <w:pPr>
        <w:pStyle w:val="ListParagraph"/>
        <w:numPr>
          <w:ilvl w:val="0"/>
          <w:numId w:val="3"/>
        </w:numPr>
        <w:spacing w:after="60" w:before="60"/>
      </w:pPr>
      <w:r>
        <w:rPr>
          <w:rFonts w:ascii="Calibri" w:cs="Calibri" w:eastAsia="Calibri" w:hAnsi="Calibri"/>
          <w:sz w:val="22"/>
          <w:szCs w:val="22"/>
        </w:rPr>
        <w:t xml:space="preserve">Click Build. Watch the console for compilation errors. Common errors: wrong include path for udf.h (check Fluent’s include directory), or syntax errors from editing the file.</w:t>
      </w:r>
    </w:p>
    <w:p>
      <w:pPr>
        <w:pStyle w:val="ListParagraph"/>
        <w:numPr>
          <w:ilvl w:val="0"/>
          <w:numId w:val="3"/>
        </w:numPr>
        <w:spacing w:after="60" w:before="60"/>
      </w:pPr>
      <w:r>
        <w:rPr>
          <w:rFonts w:ascii="Calibri" w:cs="Calibri" w:eastAsia="Calibri" w:hAnsi="Calibri"/>
          <w:sz w:val="22"/>
          <w:szCs w:val="22"/>
        </w:rPr>
        <w:t xml:space="preserve">Click Load. The functions o2_mass_source and h2o_mass_sink will now be available in source term drop-downs.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6AC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Calibri" w:cs="Calibri" w:eastAsia="Calibri" w:hAnsi="Calibri"/>
                <w:b/>
                <w:bCs/>
                <w:color w:val="7D5A00"/>
                <w:sz w:val="20"/>
                <w:szCs w:val="20"/>
              </w:rPr>
              <w:t xml:space="preserve">WARNING — </w:t>
            </w:r>
            <w:r>
              <w:rPr>
                <w:rFonts w:ascii="Calibri" w:cs="Calibri" w:eastAsia="Calibri" w:hAnsi="Calibri"/>
                <w:color w:val="7D5A00"/>
                <w:sz w:val="20"/>
                <w:szCs w:val="20"/>
              </w:rPr>
              <w:t xml:space="preserve">Use Compiled UDFs only — NOT Interpreted. The UDF uses static local variables (static int dbg = 0;) which require compiled mode. Interpreted UDFs do not support static variables and will either fail or produce incorrect per-iteration debug counts.</w:t>
            </w:r>
          </w:p>
        </w:tc>
      </w:tr>
    </w:tbl>
    <w:p>
      <w:pPr>
        <w:spacing w:after="80" w:before="0"/>
      </w:pPr>
    </w:p>
    <w:p>
      <w:pPr>
        <w:pStyle w:val="Heading2"/>
        <w:spacing w:after="80" w:before="280"/>
      </w:pPr>
      <w:r>
        <w:rPr>
          <w:rFonts w:ascii="Calibri" w:cs="Calibri" w:eastAsia="Calibri" w:hAnsi="Calibri"/>
          <w:b/>
          <w:bCs/>
          <w:color w:val="1A1A1A"/>
          <w:sz w:val="26"/>
          <w:szCs w:val="26"/>
        </w:rPr>
        <w:t xml:space="preserve">6.5  Assigning UDF Sources via TUI</w:t>
      </w:r>
    </w:p>
    <w:p>
      <w:pPr>
        <w:spacing w:after="60" w:before="60"/>
      </w:pPr>
      <w:r>
        <w:rPr>
          <w:rFonts w:ascii="Calibri" w:cs="Calibri" w:eastAsia="Calibri" w:hAnsi="Calibri"/>
          <w:sz w:val="22"/>
          <w:szCs w:val="22"/>
        </w:rPr>
        <w:t xml:space="preserve">This step MUST be done through the TUI. GUI source assignments are silently dropped after a multiphase model switch in Fluent 2025 R2.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9B0000" w:sz="6"/>
              <w:bottom w:val="single" w:color="555555" w:sz="1"/>
              <w:right w:val="single" w:color="555555"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&gt; /define/boundary-conditions/fluid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First, assign to the OXYGEN phase fluid zone */</w:t>
            </w:r>
          </w:p>
          <w:p>
            <w:pPr>
              <w:spacing w:after="0" w:before="0"/>
            </w:pPr>
            <w:r>
              <w:rPr>
                <w:rFonts w:ascii="Courier New" w:cs="Courier New" w:eastAsia="Courier New" w:hAnsi="Courier New"/>
                <w:color w:val="D4D4D4"/>
                <w:sz w:val="18"/>
                <w:szCs w:val="18"/>
              </w:rPr>
              <w:t xml:space="preserve">  Zone name/id: [type your oxygen fluid zone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Specify source terms? [no] yes</w:t>
            </w:r>
          </w:p>
          <w:p>
            <w:pPr>
              <w:spacing w:after="0" w:before="0"/>
            </w:pPr>
            <w:r>
              <w:rPr>
                <w:rFonts w:ascii="Courier New" w:cs="Courier New" w:eastAsia="Courier New" w:hAnsi="Courier New"/>
                <w:color w:val="D4D4D4"/>
                <w:sz w:val="18"/>
                <w:szCs w:val="18"/>
              </w:rPr>
              <w:t xml:space="preserve">  Number of mass source terms [(0)] 1</w:t>
            </w:r>
          </w:p>
          <w:p>
            <w:pPr>
              <w:spacing w:after="0" w:before="0"/>
            </w:pPr>
            <w:r>
              <w:rPr>
                <w:rFonts w:ascii="Courier New" w:cs="Courier New" w:eastAsia="Courier New" w:hAnsi="Courier New"/>
                <w:color w:val="D4D4D4"/>
                <w:sz w:val="18"/>
                <w:szCs w:val="18"/>
              </w:rPr>
              <w:t xml:space="preserve">  Source term 0: o2_mass_source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Then, assign to the WATER phase fluid zone */</w:t>
            </w:r>
          </w:p>
          <w:p>
            <w:pPr>
              <w:spacing w:after="0" w:before="0"/>
            </w:pPr>
            <w:r>
              <w:rPr>
                <w:rFonts w:ascii="Courier New" w:cs="Courier New" w:eastAsia="Courier New" w:hAnsi="Courier New"/>
                <w:color w:val="D4D4D4"/>
                <w:sz w:val="18"/>
                <w:szCs w:val="18"/>
              </w:rPr>
              <w:t xml:space="preserve">  Zone name/id: [type your water fluid zone name]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Specify source terms? [no] yes</w:t>
            </w:r>
          </w:p>
          <w:p>
            <w:pPr>
              <w:spacing w:after="0" w:before="0"/>
            </w:pPr>
            <w:r>
              <w:rPr>
                <w:rFonts w:ascii="Courier New" w:cs="Courier New" w:eastAsia="Courier New" w:hAnsi="Courier New"/>
                <w:color w:val="D4D4D4"/>
                <w:sz w:val="18"/>
                <w:szCs w:val="18"/>
              </w:rPr>
              <w:t xml:space="preserve">  Number of mass source terms [(0)] 1</w:t>
            </w:r>
          </w:p>
          <w:p>
            <w:pPr>
              <w:spacing w:after="0" w:before="0"/>
            </w:pPr>
            <w:r>
              <w:rPr>
                <w:rFonts w:ascii="Courier New" w:cs="Courier New" w:eastAsia="Courier New" w:hAnsi="Courier New"/>
                <w:color w:val="D4D4D4"/>
                <w:sz w:val="18"/>
                <w:szCs w:val="18"/>
              </w:rPr>
              <w:t xml:space="preserve">  Source term 0: h2o_mass_sink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B0000"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r>
              <w:rPr>
                <w:rFonts w:ascii="Calibri" w:cs="Calibri" w:eastAsia="Calibri" w:hAnsi="Calibri"/>
                <w:b/>
                <w:bCs/>
                <w:color w:val="7B241C"/>
                <w:sz w:val="20"/>
                <w:szCs w:val="20"/>
              </w:rPr>
              <w:t xml:space="preserve">CRITICAL — </w:t>
            </w:r>
            <w:r>
              <w:rPr>
                <w:rFonts w:ascii="Calibri" w:cs="Calibri" w:eastAsia="Calibri" w:hAnsi="Calibri"/>
                <w:color w:val="7B241C"/>
                <w:sz w:val="20"/>
                <w:szCs w:val="20"/>
              </w:rPr>
              <w:t xml:space="preserve">o2_mass_source must be assigned to the OXYGEN phase zone. h2o_mass_sink must be assigned to the WATER phase zone. Assigning them to the wrong phases produces no error but generates gas in the wrong fluid field. Verify: after the first timestep, check the console for 'DBG o2_source:' messages. If you see them, the UDF is firing in the correct zone.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If the UDF fires but produces zero source (src=0.0 in DBG messages), ALPHA_CUT may be too high for your initial conditions. Set ALPHA_CUT = 0.0 in the source file, recompile, and retest. The source should then fire at nominal_o2_source magnitude = 16.58 kg/m³·s regardless of water VOF.</w:t>
            </w:r>
          </w:p>
        </w:tc>
      </w:tr>
    </w:tbl>
    <w:p>
      <w:pPr>
        <w:spacing w:after="80" w:before="0"/>
      </w:pPr>
    </w:p>
    <w:p>
      <w:pPr>
        <w:spacing w:after="0" w:before="0"/>
      </w:pPr>
      <w:r>
        <w:br w:type="page"/>
      </w:r>
    </w:p>
    <w:p>
      <w:pPr>
        <w:pStyle w:val="Heading1"/>
        <w:pBdr>
          <w:bottom w:val="single" w:color="9B0000" w:sz="4" w:space="4"/>
        </w:pBdr>
        <w:spacing w:after="120" w:before="400"/>
      </w:pPr>
      <w:r>
        <w:rPr>
          <w:rFonts w:ascii="Calibri" w:cs="Calibri" w:eastAsia="Calibri" w:hAnsi="Calibri"/>
          <w:b/>
          <w:bCs/>
          <w:color w:val="9B0000"/>
          <w:sz w:val="32"/>
          <w:szCs w:val="32"/>
        </w:rPr>
        <w:t xml:space="preserve">7. Two-Phase Eulerian Multiphase Workflow</w:t>
      </w:r>
    </w:p>
    <w:p>
      <w:pPr>
        <w:spacing w:after="60" w:before="60"/>
      </w:pPr>
      <w:r>
        <w:rPr>
          <w:rFonts w:ascii="Calibri" w:cs="Calibri" w:eastAsia="Calibri" w:hAnsi="Calibri"/>
          <w:sz w:val="22"/>
          <w:szCs w:val="22"/>
        </w:rPr>
        <w:t xml:space="preserve">The two-phase simulation adds O₂ generation on top of the single-phase setup. Use the Steady Multiphase Runs case as your starting point.</w:t>
      </w:r>
    </w:p>
    <w:p>
      <w:pPr>
        <w:spacing w:after="80" w:before="0"/>
      </w:pPr>
    </w:p>
    <w:p>
      <w:pPr>
        <w:pStyle w:val="Heading2"/>
        <w:spacing w:after="80" w:before="280"/>
      </w:pPr>
      <w:r>
        <w:rPr>
          <w:rFonts w:ascii="Calibri" w:cs="Calibri" w:eastAsia="Calibri" w:hAnsi="Calibri"/>
          <w:b/>
          <w:bCs/>
          <w:color w:val="1A1A1A"/>
          <w:sz w:val="26"/>
          <w:szCs w:val="26"/>
        </w:rPr>
        <w:t xml:space="preserve">7.1  Multiphase Model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Model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Eulerian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NOT VOF, NOT Mixture. Eulerian treats both phases as interpenetrating continua — appropriate for dispersed bubble flow.</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Number of phases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Phase 1 = water (primary), Phase 2 = oxygen (secondary)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Formulation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Implicit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Body Force Formulation</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Implicit Body Force</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Enables better pressure-velocity decoupling in multiphase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Interface Modeling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Dispersed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Appropriate for bubble flow; selects Schiller-Naumann drag</w:t>
            </w:r>
          </w:p>
        </w:tc>
      </w:tr>
    </w:tbl>
    <w:p>
      <w:pPr>
        <w:spacing w:after="80" w:before="0"/>
      </w:pPr>
    </w:p>
    <w:p>
      <w:pPr>
        <w:pStyle w:val="Heading2"/>
        <w:spacing w:after="80" w:before="280"/>
      </w:pPr>
      <w:r>
        <w:rPr>
          <w:rFonts w:ascii="Calibri" w:cs="Calibri" w:eastAsia="Calibri" w:hAnsi="Calibri"/>
          <w:b/>
          <w:bCs/>
          <w:color w:val="1A1A1A"/>
          <w:sz w:val="26"/>
          <w:szCs w:val="26"/>
        </w:rPr>
        <w:t xml:space="preserve">7.2  Phase and Interaction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Phase 1 (primary)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water-liquid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μ = 0.001 Pa·s, ρ = 1000 kg/m³</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Phase 2 (secondary)</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oxygen (gas)</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Create new material: μ = 1.919e-5 Pa·s, ρ = 1.2999 kg/m³</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Bubble diameter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5e-5 m (50 μm)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Constant prescribed diameter</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Drag law</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Schiller-Naumann</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Appropriate for Re &lt; 1000 dispersed bubbles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Surface tension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0.062 N/m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Water-oxygen at ~25°C</w:t>
            </w:r>
          </w:p>
        </w:tc>
      </w:tr>
    </w:tbl>
    <w:p>
      <w:pPr>
        <w:spacing w:after="80" w:before="0"/>
      </w:pPr>
    </w:p>
    <w:p>
      <w:pPr>
        <w:pStyle w:val="Heading2"/>
        <w:spacing w:after="80" w:before="280"/>
      </w:pPr>
      <w:r>
        <w:rPr>
          <w:rFonts w:ascii="Calibri" w:cs="Calibri" w:eastAsia="Calibri" w:hAnsi="Calibri"/>
          <w:b/>
          <w:bCs/>
          <w:color w:val="1A1A1A"/>
          <w:sz w:val="26"/>
          <w:szCs w:val="26"/>
        </w:rPr>
        <w:t xml:space="preserve">7.3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rPr>
          <w:tblHeader/>
        </w:trPr>
        <w:tc>
          <w:tcPr>
            <w:tcW w:type="dxa" w:w="26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46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Velocity Inlet — mixture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0.113 m/s normal</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Imposed to continuously supply water to the reaction zone</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Velocity Inlet — phase 1 water</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Volume fraction = 1.0</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100% water at inlet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Velocity Inlet — phase 2 oxygen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Volume fraction = 0.0</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No oxygen entering at inlet</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Pressure Outlet</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0 Pa gauge, backflow VOF_O2 = 0</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Lateral faces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Periodic (from Section 4)</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bl>
    <w:p>
      <w:pPr>
        <w:spacing w:after="80" w:before="0"/>
      </w:pPr>
    </w:p>
    <w:p>
      <w:pPr>
        <w:pStyle w:val="Heading2"/>
        <w:spacing w:after="80" w:before="280"/>
      </w:pPr>
      <w:r>
        <w:rPr>
          <w:rFonts w:ascii="Calibri" w:cs="Calibri" w:eastAsia="Calibri" w:hAnsi="Calibri"/>
          <w:b/>
          <w:bCs/>
          <w:color w:val="1A1A1A"/>
          <w:sz w:val="26"/>
          <w:szCs w:val="26"/>
        </w:rPr>
        <w:t xml:space="preserve">7.4  Solution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rPr>
          <w:tblHeader/>
        </w:trPr>
        <w:tc>
          <w:tcPr>
            <w:tcW w:type="dxa" w:w="26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Setting</w:t>
            </w:r>
          </w:p>
        </w:tc>
        <w:tc>
          <w:tcPr>
            <w:tcW w:type="dxa" w:w="216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c>
          <w:tcPr>
            <w:tcW w:type="dxa" w:w="46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Pressure-Velocity Coupling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Coupled</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SIMPLE caused oscillating residuals for Lidinoid. Switch to Coupled if SIMPLE oscillates after 500 timesteps.</w:t>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Pressure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PRESTO!</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Momentum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Second Order Upwind</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Volume Fraction</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First Order Upwind</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Time stepping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Fixed, Δt = 0.0005 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w:r>
          </w:p>
        </w:tc>
      </w:tr>
      <w:tr>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Max iterations / timestep</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20–40</w:t>
            </w:r>
          </w:p>
        </w:tc>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sz w:val="20"/>
                <w:szCs w:val="20"/>
              </w:rPr>
              <w:t xml:space="preserve">Increase to 60 if residuals don’t drop within timestep</w:t>
            </w:r>
          </w:p>
        </w:tc>
      </w:tr>
    </w:tbl>
    <w:p>
      <w:pPr>
        <w:spacing w:after="80" w:before="0"/>
      </w:pPr>
    </w:p>
    <w:p>
      <w:pPr>
        <w:pStyle w:val="Heading2"/>
        <w:spacing w:after="80" w:before="280"/>
      </w:pPr>
      <w:r>
        <w:rPr>
          <w:rFonts w:ascii="Calibri" w:cs="Calibri" w:eastAsia="Calibri" w:hAnsi="Calibri"/>
          <w:b/>
          <w:bCs/>
          <w:color w:val="1A1A1A"/>
          <w:sz w:val="26"/>
          <w:szCs w:val="26"/>
        </w:rPr>
        <w:t xml:space="preserve">7.5  Initialization, Monitors, and Running</w:t>
      </w:r>
    </w:p>
    <w:p>
      <w:pPr>
        <w:pStyle w:val="ListParagraph"/>
        <w:numPr>
          <w:ilvl w:val="0"/>
          <w:numId w:val="4"/>
        </w:numPr>
        <w:spacing w:after="60" w:before="60"/>
      </w:pPr>
      <w:r>
        <w:rPr>
          <w:rFonts w:ascii="Calibri" w:cs="Calibri" w:eastAsia="Calibri" w:hAnsi="Calibri"/>
          <w:sz w:val="22"/>
          <w:szCs w:val="22"/>
        </w:rPr>
        <w:t xml:space="preserve">Initialize: Solution → Initialization → Standard Initialize from inlet. Then Patch oxygen volume fraction = 0.0 everywhere (Solution → Initialization → Patch → select fluid zone → Volume Fraction = 0, phase = oxygen).</w:t>
      </w:r>
    </w:p>
    <w:p>
      <w:pPr>
        <w:pStyle w:val="ListParagraph"/>
        <w:numPr>
          <w:ilvl w:val="0"/>
          <w:numId w:val="4"/>
        </w:numPr>
        <w:spacing w:after="60" w:before="60"/>
      </w:pPr>
      <w:r>
        <w:rPr>
          <w:rFonts w:ascii="Calibri" w:cs="Calibri" w:eastAsia="Calibri" w:hAnsi="Calibri"/>
          <w:sz w:val="22"/>
          <w:szCs w:val="22"/>
        </w:rPr>
        <w:t xml:space="preserve">Enable surface monitors: (a) Mass Flow Rate at outlet, mixture; (b) Area-Weighted Average Static Pressure at inlet; (c) Volume Average O₂ Volume Fraction over the electrode-adjacent fluid zone.</w:t>
      </w:r>
    </w:p>
    <w:p>
      <w:pPr>
        <w:pStyle w:val="ListParagraph"/>
        <w:numPr>
          <w:ilvl w:val="0"/>
          <w:numId w:val="4"/>
        </w:numPr>
        <w:spacing w:after="60" w:before="60"/>
      </w:pPr>
      <w:r>
        <w:rPr>
          <w:rFonts w:ascii="Calibri" w:cs="Calibri" w:eastAsia="Calibri" w:hAnsi="Calibri"/>
          <w:sz w:val="22"/>
          <w:szCs w:val="22"/>
        </w:rPr>
        <w:t xml:space="preserve">Set Number of Time Steps = 2000 (Δt = 0.0005 s gives 1.0 s total). Click Calculate.</w:t>
      </w:r>
    </w:p>
    <w:p>
      <w:pPr>
        <w:pStyle w:val="ListParagraph"/>
        <w:numPr>
          <w:ilvl w:val="0"/>
          <w:numId w:val="4"/>
        </w:numPr>
        <w:spacing w:after="60" w:before="60"/>
      </w:pPr>
      <w:r>
        <w:rPr>
          <w:rFonts w:ascii="Calibri" w:cs="Calibri" w:eastAsia="Calibri" w:hAnsi="Calibri"/>
          <w:sz w:val="22"/>
          <w:szCs w:val="22"/>
        </w:rPr>
        <w:t xml:space="preserve">Run until all three monitors plateau. This typically occurs between t = 0.5–1.5 s. You do not need to run to physical steady state.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EA8" w:val="clear"/>
            <w:tcMar>
              <w:top w:type="dxa" w:w="80"/>
              <w:left w:type="dxa" w:w="60"/>
              <w:bottom w:type="dxa" w:w="80"/>
              <w:right w:type="dxa" w:w="60"/>
            </w:tcMar>
            <w:vAlign w:val="center"/>
          </w:tcPr>
          <w:p/>
        </w:tc>
        <w:tc>
          <w:tcPr>
            <w:tcW w:type="dxa" w:w="918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Calibri" w:cs="Calibri" w:eastAsia="Calibri" w:hAnsi="Calibri"/>
                <w:b/>
                <w:bCs/>
                <w:color w:val="1A3E5C"/>
                <w:sz w:val="20"/>
                <w:szCs w:val="20"/>
              </w:rPr>
              <w:t xml:space="preserve">NOTE — </w:t>
            </w:r>
            <w:r>
              <w:rPr>
                <w:rFonts w:ascii="Calibri" w:cs="Calibri" w:eastAsia="Calibri" w:hAnsi="Calibri"/>
                <w:color w:val="1A3E5C"/>
                <w:sz w:val="20"/>
                <w:szCs w:val="20"/>
              </w:rPr>
              <w:t xml:space="preserve">O₂ escape efficiency is NOT a valid comparison metric. At quasi-steady state, mass conservation forces O₂ generated = O₂ leaving the domain for any converged solution. This ratio is trivially ~100% regardless of geometry. Focus on local O₂ saturation and pressure distribution instead.</w:t>
            </w:r>
          </w:p>
        </w:tc>
      </w:tr>
    </w:tbl>
    <w:p>
      <w:pPr>
        <w:spacing w:after="80" w:before="0"/>
      </w:pPr>
    </w:p>
    <w:p>
      <w:pPr>
        <w:pStyle w:val="Heading2"/>
        <w:spacing w:after="80" w:before="280"/>
      </w:pPr>
      <w:r>
        <w:rPr>
          <w:rFonts w:ascii="Calibri" w:cs="Calibri" w:eastAsia="Calibri" w:hAnsi="Calibri"/>
          <w:b/>
          <w:bCs/>
          <w:color w:val="1A1A1A"/>
          <w:sz w:val="26"/>
          <w:szCs w:val="26"/>
        </w:rPr>
        <w:t xml:space="preserve">7.6  Extracting Results</w:t>
      </w:r>
    </w:p>
    <w:p>
      <w:pPr>
        <w:pStyle w:val="ListParagraph"/>
        <w:numPr>
          <w:ilvl w:val="0"/>
          <w:numId w:val="5"/>
        </w:numPr>
        <w:spacing w:after="60" w:before="60"/>
      </w:pPr>
      <w:r>
        <w:rPr>
          <w:rFonts w:ascii="Calibri" w:cs="Calibri" w:eastAsia="Calibri" w:hAnsi="Calibri"/>
          <w:sz w:val="22"/>
          <w:szCs w:val="22"/>
        </w:rPr>
        <w:t xml:space="preserve">Catalyst O₂ Saturation: Reports → Surface Integrals → Area-Weighted Average → Volume Fraction (oxygen) → select electrode wall or reaction band iso-surface. Record as %.</w:t>
      </w:r>
    </w:p>
    <w:p>
      <w:pPr>
        <w:pStyle w:val="ListParagraph"/>
        <w:numPr>
          <w:ilvl w:val="0"/>
          <w:numId w:val="5"/>
        </w:numPr>
        <w:spacing w:after="60" w:before="60"/>
      </w:pPr>
      <w:r>
        <w:rPr>
          <w:rFonts w:ascii="Calibri" w:cs="Calibri" w:eastAsia="Calibri" w:hAnsi="Calibri"/>
          <w:sz w:val="22"/>
          <w:szCs w:val="22"/>
        </w:rPr>
        <w:t xml:space="preserve">Inlet Pressure: Reports → Surface Integrals → Area-Weighted Average → Static Pressure → select inlet. Record [Pa].</w:t>
      </w:r>
    </w:p>
    <w:p>
      <w:pPr>
        <w:pStyle w:val="ListParagraph"/>
        <w:numPr>
          <w:ilvl w:val="0"/>
          <w:numId w:val="5"/>
        </w:numPr>
        <w:spacing w:after="60" w:before="60"/>
      </w:pPr>
      <w:r>
        <w:rPr>
          <w:rFonts w:ascii="Calibri" w:cs="Calibri" w:eastAsia="Calibri" w:hAnsi="Calibri"/>
          <w:sz w:val="22"/>
          <w:szCs w:val="22"/>
        </w:rPr>
        <w:t xml:space="preserve">ΔP Gradient Asymmetry: Create two iso-surfaces at 25% and 75% of PTL height. Measure area-weighted pressure at each. Calculate gradient [Pa/mm] for each half. Asymmetry ratio = lower gradient / upper gradient.</w:t>
      </w:r>
    </w:p>
    <w:p>
      <w:pPr>
        <w:spacing w:after="80" w:before="0"/>
      </w:pPr>
    </w:p>
    <w:p>
      <w:pPr>
        <w:spacing w:after="0" w:before="0"/>
      </w:pPr>
      <w:r>
        <w:br w:type="page"/>
      </w:r>
    </w:p>
    <w:p>
      <w:pPr>
        <w:pStyle w:val="Heading1"/>
        <w:pBdr>
          <w:bottom w:val="single" w:color="9B0000" w:sz="4" w:space="4"/>
        </w:pBdr>
        <w:spacing w:after="120" w:before="400"/>
      </w:pPr>
      <w:r>
        <w:rPr>
          <w:rFonts w:ascii="Calibri" w:cs="Calibri" w:eastAsia="Calibri" w:hAnsi="Calibri"/>
          <w:b/>
          <w:bCs/>
          <w:color w:val="9B0000"/>
          <w:sz w:val="32"/>
          <w:szCs w:val="32"/>
        </w:rPr>
        <w:t xml:space="preserve">8. Known Issues and Workarounds</w:t>
      </w:r>
    </w:p>
    <w:p>
      <w:pPr>
        <w:spacing w:after="80" w:before="0"/>
      </w:pPr>
    </w:p>
    <w:p>
      <w:pPr>
        <w:pStyle w:val="Heading2"/>
        <w:spacing w:after="80" w:before="280"/>
      </w:pPr>
      <w:r>
        <w:rPr>
          <w:rFonts w:ascii="Calibri" w:cs="Calibri" w:eastAsia="Calibri" w:hAnsi="Calibri"/>
          <w:b/>
          <w:bCs/>
          <w:color w:val="1A1A1A"/>
          <w:sz w:val="26"/>
          <w:szCs w:val="26"/>
        </w:rPr>
        <w:t xml:space="preserve">8.1  Periodic BC Setup Fails or Produces Errors</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'Changed zone X to type interface' message followed by errors, or solver runs but pressure gradients at lateral faces are non-physical.</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One-to-one pairing was not disabled before interface creation, or the offset vector is incorrect.</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Delete the failed interfaces (Domain → Mesh Interfaces → select → Delete). Run the TUI command to disable one-to-one pairing. Re-create interfaces with correct offset vector. See Section 4.</w:t>
      </w:r>
    </w:p>
    <w:p>
      <w:pPr>
        <w:spacing w:after="80" w:before="0"/>
      </w:pPr>
    </w:p>
    <w:p>
      <w:pPr>
        <w:pStyle w:val="Heading2"/>
        <w:spacing w:after="80" w:before="280"/>
      </w:pPr>
      <w:r>
        <w:rPr>
          <w:rFonts w:ascii="Calibri" w:cs="Calibri" w:eastAsia="Calibri" w:hAnsi="Calibri"/>
          <w:b/>
          <w:bCs/>
          <w:color w:val="1A1A1A"/>
          <w:sz w:val="26"/>
          <w:szCs w:val="26"/>
        </w:rPr>
        <w:t xml:space="preserve">8.2  UDF Not Firing (Zero Residuals from Iteration 1)</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All continuity and momentum residuals are exactly 0.0 from the first iteration. No DBG messages in console.</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GUI source term assignments are silently dropped after a multiphase model switch. The UDF is compiled and loaded but not actually connected to any zone.</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Reassign via TUI as described in Section 6.5. Confirm by checking for DBG o2_source: messages after the first timestep.</w:t>
      </w:r>
    </w:p>
    <w:p>
      <w:pPr>
        <w:spacing w:after="80" w:before="0"/>
      </w:pPr>
    </w:p>
    <w:p>
      <w:pPr>
        <w:pStyle w:val="Heading2"/>
        <w:spacing w:after="80" w:before="280"/>
      </w:pPr>
      <w:r>
        <w:rPr>
          <w:rFonts w:ascii="Calibri" w:cs="Calibri" w:eastAsia="Calibri" w:hAnsi="Calibri"/>
          <w:b/>
          <w:bCs/>
          <w:color w:val="1A1A1A"/>
          <w:sz w:val="26"/>
          <w:szCs w:val="26"/>
        </w:rPr>
        <w:t xml:space="preserve">8.3  Instant False Convergence</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Fluent reports Converged after 0–1 iterations.</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Check Convergence is enabled in Residual Monitors with a 1e-3 threshold. If initial residuals happen to be below this, Fluent stops immediately.</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Monitors → Residuals → uncheck ‘Check Convergence’ for all equations. Always validate convergence via mass flux imbalance (&lt; 0.01% of inlet mass flow).</w:t>
      </w:r>
    </w:p>
    <w:p>
      <w:pPr>
        <w:spacing w:after="80" w:before="0"/>
      </w:pPr>
    </w:p>
    <w:p>
      <w:pPr>
        <w:pStyle w:val="Heading2"/>
        <w:spacing w:after="80" w:before="280"/>
      </w:pPr>
      <w:r>
        <w:rPr>
          <w:rFonts w:ascii="Calibri" w:cs="Calibri" w:eastAsia="Calibri" w:hAnsi="Calibri"/>
          <w:b/>
          <w:bCs/>
          <w:color w:val="1A1A1A"/>
          <w:sz w:val="26"/>
          <w:szCs w:val="26"/>
        </w:rPr>
        <w:t xml:space="preserve">8.4  Oscillating Residuals in Two-Phase</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Residuals oscillate without decaying over hundreds of timesteps.</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SIMPLE solver is insufficiently robust for the coupled water-oxygen system in complex TPMS pore geometry.</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Switch to Coupled solver: Solution → Methods → Pressure-Velocity Coupling → Coupled. Required for Lidinoid2.21 in this project.</w:t>
      </w:r>
    </w:p>
    <w:p>
      <w:pPr>
        <w:spacing w:after="80" w:before="0"/>
      </w:pPr>
    </w:p>
    <w:p>
      <w:pPr>
        <w:pStyle w:val="Heading2"/>
        <w:spacing w:after="80" w:before="280"/>
      </w:pPr>
      <w:r>
        <w:rPr>
          <w:rFonts w:ascii="Calibri" w:cs="Calibri" w:eastAsia="Calibri" w:hAnsi="Calibri"/>
          <w:b/>
          <w:bCs/>
          <w:color w:val="1A1A1A"/>
          <w:sz w:val="26"/>
          <w:szCs w:val="26"/>
        </w:rPr>
        <w:t xml:space="preserve">8.5  UDF Firing Outside Reaction Band (Linear Monitor Trends)</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O₂ source fires throughout the entire domain. All monitor plots show linear trends from timestep 1.</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A bug where the early return in o2_mass_source references fac_t before it is declared, causing a nonzero Jacobian (dS[eqn]) to be written to all cells.</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Verify the FIRST check in o2_mass_source is 'if (fac_band &lt; 0.5) { dS[eqn] = 0.0; return 0.0; }' before ANY variable declarations. The current UDF file is correct — only recheck if you edited it.</w:t>
      </w:r>
    </w:p>
    <w:p>
      <w:pPr>
        <w:spacing w:after="80" w:before="0"/>
      </w:pPr>
    </w:p>
    <w:p>
      <w:pPr>
        <w:pStyle w:val="Heading2"/>
        <w:spacing w:after="80" w:before="280"/>
      </w:pPr>
      <w:r>
        <w:rPr>
          <w:rFonts w:ascii="Calibri" w:cs="Calibri" w:eastAsia="Calibri" w:hAnsi="Calibri"/>
          <w:b/>
          <w:bCs/>
          <w:color w:val="1A1A1A"/>
          <w:sz w:val="26"/>
          <w:szCs w:val="26"/>
        </w:rPr>
        <w:t xml:space="preserve">8.6  Courant Spikes in VOF / Transient Runs</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Courant &gt; 100 warnings, eventually crashing with floating point exception.</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One degenerate mesh cell in G10 geometry (OQ = 0.103, AR = 43.7) generates extreme velocity gradients during interface reconstruction.</w:t>
      </w:r>
    </w:p>
    <w:p>
      <w:pPr>
        <w:spacing w:after="60" w:before="60"/>
      </w:pPr>
      <w:r>
        <w:rPr>
          <w:rFonts w:ascii="Calibri" w:cs="Calibri" w:eastAsia="Calibri" w:hAnsi="Calibri"/>
          <w:b/>
          <w:bCs/>
          <w:sz w:val="22"/>
          <w:szCs w:val="22"/>
        </w:rPr>
        <w:t xml:space="preserve">Options: </w:t>
      </w:r>
      <w:r>
        <w:rPr>
          <w:rFonts w:ascii="Calibri" w:cs="Calibri" w:eastAsia="Calibri" w:hAnsi="Calibri"/>
          <w:sz w:val="22"/>
          <w:szCs w:val="22"/>
        </w:rPr>
        <w:t xml:space="preserve">(a) Reduce Δt to 1.5e-5 s. (b) Switch from Geo-Reconstruct to Compressive scheme (eliminates geometric Courant constraint). (c) Locally remesh the degenerate cell. Eulerian model is significantly less sensitive to this issue.</w:t>
      </w:r>
    </w:p>
    <w:p>
      <w:pPr>
        <w:spacing w:after="80" w:before="0"/>
      </w:pPr>
    </w:p>
    <w:p>
      <w:pPr>
        <w:pStyle w:val="Heading2"/>
        <w:spacing w:after="80" w:before="280"/>
      </w:pPr>
      <w:r>
        <w:rPr>
          <w:rFonts w:ascii="Calibri" w:cs="Calibri" w:eastAsia="Calibri" w:hAnsi="Calibri"/>
          <w:b/>
          <w:bCs/>
          <w:color w:val="1A1A1A"/>
          <w:sz w:val="26"/>
          <w:szCs w:val="26"/>
        </w:rPr>
        <w:t xml:space="preserve">8.7  Zone Names from nTop Are Misleading</w:t>
      </w:r>
    </w:p>
    <w:p>
      <w:pPr>
        <w:spacing w:after="60" w:before="60"/>
      </w:pPr>
      <w:r>
        <w:rPr>
          <w:rFonts w:ascii="Calibri" w:cs="Calibri" w:eastAsia="Calibri" w:hAnsi="Calibri"/>
          <w:b/>
          <w:bCs/>
          <w:sz w:val="22"/>
          <w:szCs w:val="22"/>
        </w:rPr>
        <w:t xml:space="preserve">Symptom: </w:t>
      </w:r>
      <w:r>
        <w:rPr>
          <w:rFonts w:ascii="Calibri" w:cs="Calibri" w:eastAsia="Calibri" w:hAnsi="Calibri"/>
          <w:sz w:val="22"/>
          <w:szCs w:val="22"/>
        </w:rPr>
        <w:t xml:space="preserve">The fluid zone is named something like 'lidinoidgyroidcomparison_solid'. This is not an error.</w:t>
      </w:r>
    </w:p>
    <w:p>
      <w:pPr>
        <w:spacing w:after="60" w:before="60"/>
      </w:pPr>
      <w:r>
        <w:rPr>
          <w:rFonts w:ascii="Calibri" w:cs="Calibri" w:eastAsia="Calibri" w:hAnsi="Calibri"/>
          <w:b/>
          <w:bCs/>
          <w:sz w:val="22"/>
          <w:szCs w:val="22"/>
        </w:rPr>
        <w:t xml:space="preserve">Cause: </w:t>
      </w:r>
      <w:r>
        <w:rPr>
          <w:rFonts w:ascii="Calibri" w:cs="Calibri" w:eastAsia="Calibri" w:hAnsi="Calibri"/>
          <w:sz w:val="22"/>
          <w:szCs w:val="22"/>
        </w:rPr>
        <w:t xml:space="preserve">nTop’s boolean subtraction workflow names the resulting fluid domain after the solid structure that was subtracted. The name is meaningless.</w:t>
      </w:r>
    </w:p>
    <w:p>
      <w:pPr>
        <w:spacing w:after="60" w:before="60"/>
      </w:pPr>
      <w:r>
        <w:rPr>
          <w:rFonts w:ascii="Calibri" w:cs="Calibri" w:eastAsia="Calibri" w:hAnsi="Calibri"/>
          <w:b/>
          <w:bCs/>
          <w:sz w:val="22"/>
          <w:szCs w:val="22"/>
        </w:rPr>
        <w:t xml:space="preserve">Fix: </w:t>
      </w:r>
      <w:r>
        <w:rPr>
          <w:rFonts w:ascii="Calibri" w:cs="Calibri" w:eastAsia="Calibri" w:hAnsi="Calibri"/>
          <w:sz w:val="22"/>
          <w:szCs w:val="22"/>
        </w:rPr>
        <w:t xml:space="preserve">Always verify zone identity by displaying the mesh and visually confirming which surface highlights when you select a zone, not by relying on the zone name.</w:t>
      </w:r>
    </w:p>
    <w:p>
      <w:pPr>
        <w:spacing w:after="80" w:before="0"/>
      </w:pPr>
    </w:p>
    <w:p>
      <w:pPr>
        <w:pStyle w:val="Heading1"/>
        <w:pBdr>
          <w:bottom w:val="single" w:color="9B0000" w:sz="4" w:space="4"/>
        </w:pBdr>
        <w:spacing w:after="120" w:before="400"/>
      </w:pPr>
      <w:r>
        <w:rPr>
          <w:rFonts w:ascii="Calibri" w:cs="Calibri" w:eastAsia="Calibri" w:hAnsi="Calibri"/>
          <w:b/>
          <w:bCs/>
          <w:color w:val="9B0000"/>
          <w:sz w:val="32"/>
          <w:szCs w:val="32"/>
        </w:rPr>
        <w:t xml:space="preserve">9. Validated Reference Results</w:t>
      </w:r>
    </w:p>
    <w:p>
      <w:pPr>
        <w:spacing w:after="60" w:before="60"/>
      </w:pPr>
      <w:r>
        <w:rPr>
          <w:rFonts w:ascii="Calibri" w:cs="Calibri" w:eastAsia="Calibri" w:hAnsi="Calibri"/>
          <w:sz w:val="22"/>
          <w:szCs w:val="22"/>
        </w:rPr>
        <w:t xml:space="preserve">Use these values as sanity checks. If your replicated runs differ by more than 5% on K, check zone assignments and unit conversions first.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20"/>
        <w:gridCol w:w="1200"/>
        <w:gridCol w:w="1200"/>
        <w:gridCol w:w="1320"/>
        <w:gridCol w:w="1120"/>
      </w:tblGrid>
      <w:tr>
        <w:trPr>
          <w:tblHeader/>
        </w:trPr>
        <w:tc>
          <w:tcPr>
            <w:tcW w:type="dxa" w:w="20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Design</w:t>
            </w:r>
          </w:p>
        </w:tc>
        <w:tc>
          <w:tcPr>
            <w:tcW w:type="dxa" w:w="12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Porosity</w:t>
            </w:r>
          </w:p>
        </w:tc>
        <w:tc>
          <w:tcPr>
            <w:tcW w:type="dxa" w:w="13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K [m²]</w:t>
            </w:r>
          </w:p>
        </w:tc>
        <w:tc>
          <w:tcPr>
            <w:tcW w:type="dxa" w:w="12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K/K_G10</w:t>
            </w:r>
          </w:p>
        </w:tc>
        <w:tc>
          <w:tcPr>
            <w:tcW w:type="dxa" w:w="120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ΔP [Pa]</w:t>
            </w:r>
          </w:p>
        </w:tc>
        <w:tc>
          <w:tcPr>
            <w:tcW w:type="dxa" w:w="13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τ</w:t>
            </w:r>
          </w:p>
        </w:tc>
        <w:tc>
          <w:tcPr>
            <w:tcW w:type="dxa" w:w="1120"/>
            <w:tcBorders>
              <w:top w:val="single" w:color="CCCCCC" w:sz="1"/>
              <w:left w:val="single" w:color="CCCCCC" w:sz="1"/>
              <w:bottom w:val="single" w:color="CCCCCC" w:sz="1"/>
              <w:right w:val="single" w:color="CCCCCC" w:sz="1"/>
            </w:tcBorders>
            <w:shd w:fill="9B0000" w:val="clear"/>
            <w:tcMar>
              <w:top w:type="dxa" w:w="100"/>
              <w:left w:type="dxa" w:w="140"/>
              <w:bottom w:type="dxa" w:w="100"/>
              <w:right w:type="dxa" w:w="140"/>
            </w:tcMar>
          </w:tcPr>
          <w:p>
            <w:r>
              <w:rPr>
                <w:rFonts w:ascii="Calibri" w:cs="Calibri" w:eastAsia="Calibri" w:hAnsi="Calibri"/>
                <w:b/>
                <w:bCs/>
                <w:color w:val="FFFFFF"/>
                <w:sz w:val="18"/>
                <w:szCs w:val="18"/>
              </w:rPr>
              <w:t xml:space="preserve">K [mD]</w:t>
            </w:r>
          </w:p>
        </w:tc>
      </w:tr>
      <w:tr>
        <w:tc>
          <w:tcPr>
            <w:tcW w:type="dxa" w:w="2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G10 (baseline)</w:t>
            </w:r>
          </w:p>
        </w:tc>
        <w:tc>
          <w:tcPr>
            <w:tcW w:type="dxa" w:w="1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23.41%</w:t>
            </w:r>
          </w:p>
        </w:tc>
        <w:tc>
          <w:tcPr>
            <w:tcW w:type="dxa" w:w="13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7.90e-11</w:t>
            </w:r>
          </w:p>
        </w:tc>
        <w:tc>
          <w:tcPr>
            <w:tcW w:type="dxa" w:w="1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1.00</w:t>
            </w:r>
          </w:p>
        </w:tc>
        <w:tc>
          <w:tcPr>
            <w:tcW w:type="dxa" w:w="1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126,556</w:t>
            </w:r>
          </w:p>
        </w:tc>
        <w:tc>
          <w:tcPr>
            <w:tcW w:type="dxa" w:w="13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2.087</w:t>
            </w:r>
          </w:p>
        </w:tc>
        <w:tc>
          <w:tcPr>
            <w:tcW w:type="dxa" w:w="112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tcPr>
          <w:p>
            <w:r>
              <w:rPr>
                <w:rFonts w:ascii="Calibri" w:cs="Calibri" w:eastAsia="Calibri" w:hAnsi="Calibri"/>
                <w:b/>
                <w:bCs/>
                <w:sz w:val="18"/>
                <w:szCs w:val="18"/>
              </w:rPr>
              <w:t xml:space="preserve">80,060</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Lidinoid1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25.03%</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1.20e-10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1.52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83,202</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1.349</w:t>
            </w:r>
          </w:p>
        </w:tc>
        <w:tc>
          <w:tcPr>
            <w:tcW w:type="dxa" w:w="1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121,652</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Lidinoid2.21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38.83%</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2.93e-10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3.71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34,090</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1.581</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296,838</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Lidinoid6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35.95%</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2.60e-10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3.29</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38,388</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1.575</w:t>
            </w:r>
          </w:p>
        </w:tc>
        <w:tc>
          <w:tcPr>
            <w:tcW w:type="dxa" w:w="1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263,397</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Lidinoid8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31.87%</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1.89e-10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2.39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52,891</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1.502</w:t>
            </w:r>
          </w:p>
        </w:tc>
        <w:tc>
          <w:tcPr>
            <w:tcW w:type="dxa" w:w="1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b w:val="false"/>
                <w:bCs w:val="false"/>
                <w:sz w:val="18"/>
                <w:szCs w:val="18"/>
              </w:rPr>
              <w:t xml:space="preserve">191,502</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Lidinoid10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27.62%</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1.28e-10</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1.62</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78,059</w:t>
            </w:r>
          </w:p>
        </w:tc>
        <w:tc>
          <w:tcPr>
            <w:tcW w:type="dxa" w:w="13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1.459</w:t>
            </w:r>
          </w:p>
        </w:tc>
        <w:tc>
          <w:tcPr>
            <w:tcW w:type="dxa" w:w="1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alibri" w:cs="Calibri" w:eastAsia="Calibri" w:hAnsi="Calibri"/>
                <w:b w:val="false"/>
                <w:bCs w:val="false"/>
                <w:sz w:val="18"/>
                <w:szCs w:val="18"/>
              </w:rPr>
              <w:t xml:space="preserve">129,665</w:t>
            </w:r>
          </w:p>
        </w:tc>
      </w:tr>
    </w:tbl>
    <w:p>
      <w:pPr>
        <w:spacing w:after="80" w:before="0"/>
      </w:pPr>
    </w:p>
    <w:p>
      <w:pPr>
        <w:spacing w:after="80" w:before="0"/>
      </w:pPr>
    </w:p>
    <w:p>
      <w:pPr>
        <w:pBdr>
          <w:top w:val="single" w:color="DDDDDD" w:sz="2" w:space="8"/>
        </w:pBdr>
        <w:spacing w:after="0" w:before="240"/>
        <w:jc w:val="center"/>
      </w:pPr>
      <w:r>
        <w:rPr>
          <w:rFonts w:ascii="Calibri" w:cs="Calibri" w:eastAsia="Calibri" w:hAnsi="Calibri"/>
          <w:i/>
          <w:iCs/>
          <w:color w:val="888888"/>
          <w:sz w:val="17"/>
          <w:szCs w:val="17"/>
        </w:rPr>
        <w:t xml:space="preserve">PTL CFD Handoff Guide  ·  ME 352 Senior Design  ·  UW-Madison Spring 2026  ·  ANSYS Fluent 2025 R2  ·  HERD Lab</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sz w:val="32"/>
      <w:szCs w:val="32"/>
    </w:rPr>
  </w:style>
  <w:style w:type="paragraph" w:styleId="Heading2">
    <w:name w:val="Heading 2"/>
    <w:basedOn w:val="Normal"/>
    <w:next w:val="Normal"/>
    <w:qFormat/>
    <w:pPr>
      <w:spacing w:after="80" w:before="280"/>
      <w:outlineLvl w:val="1"/>
    </w:pPr>
    <w:rPr>
      <w:rFonts w:ascii="Calibri" w:cs="Calibri" w:eastAsia="Calibri" w:hAnsi="Calibri"/>
      <w:b/>
      <w:bCs/>
      <w:sz w:val="26"/>
      <w:szCs w:val="26"/>
    </w:rPr>
  </w:style>
  <w:style w:type="paragraph" w:styleId="Heading3">
    <w:name w:val="Heading 3"/>
    <w:basedOn w:val="Normal"/>
    <w:next w:val="Normal"/>
    <w:qFormat/>
    <w:pPr>
      <w:spacing w:after="6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2026-05-07T18:03:49.907Z</dcterms:created>
  <dcterms:modified xsi:type="dcterms:W3CDTF">2026-05-07T18:03:49.907Z</dcterms:modified>
</cp:coreProperties>
</file>

<file path=docProps/custom.xml><?xml version="1.0" encoding="utf-8"?>
<Properties xmlns="http://schemas.openxmlformats.org/officeDocument/2006/custom-properties" xmlns:vt="http://schemas.openxmlformats.org/officeDocument/2006/docPropsVTypes"/>
</file>