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icjxqct3lwk" w:id="0"/>
      <w:bookmarkEnd w:id="0"/>
      <w:r w:rsidDel="00000000" w:rsidR="00000000" w:rsidRPr="00000000">
        <w:rPr>
          <w:rFonts w:ascii="Times New Roman" w:cs="Times New Roman" w:eastAsia="Times New Roman" w:hAnsi="Times New Roman"/>
          <w:b w:val="1"/>
          <w:bCs w:val="1"/>
          <w:sz w:val="46"/>
          <w:szCs w:val="46"/>
          <w:rtl w:val="0"/>
        </w:rPr>
        <w:t xml:space="preserve">Design Documentation: Cryptocurrency vs. Stock Market Analysis Dashboard</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we wanted to explore how cryptocurrency markets compare to traditional stock markets, specifically looking at SPY and five major cryptocurrencies. We wanted to see how volatile cryptocurrencies would be compared to the S&amp;P 500. Our research questions focused on comparing price movements, understanding volatility differences, exploring volume-price relationships, analyzing asset correlations, and identifying market drivers.</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cygbssqrelg" w:id="1"/>
      <w:bookmarkEnd w:id="1"/>
      <w:r w:rsidDel="00000000" w:rsidR="00000000" w:rsidRPr="00000000">
        <w:rPr>
          <w:rFonts w:ascii="Times New Roman" w:cs="Times New Roman" w:eastAsia="Times New Roman" w:hAnsi="Times New Roman"/>
          <w:b w:val="1"/>
          <w:bCs w:val="1"/>
          <w:sz w:val="34"/>
          <w:szCs w:val="34"/>
          <w:rtl w:val="0"/>
        </w:rPr>
        <w:t xml:space="preserve">Visualization Design Choices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Market Performance Over Time (Time Series):</w:t>
      </w:r>
      <w:r w:rsidDel="00000000" w:rsidR="00000000" w:rsidRPr="00000000">
        <w:rPr>
          <w:rFonts w:ascii="Times New Roman" w:cs="Times New Roman" w:eastAsia="Times New Roman" w:hAnsi="Times New Roman"/>
          <w:rtl w:val="0"/>
        </w:rPr>
        <w:t xml:space="preserve"> We used a multi-line time series chart showing normalized closing prices. Since these assets have wildly different price scales - SPY around $400 versus Bitcoin near $60,000 - we normalized everything to start at 1.0 for fair comparison. We used distinct colors for each asset, keeping SPY more muted to separate traditional markets from crypto. The result immediately shows the difference: SPY is a steady climb while crypto lines show massive volatility with dramatic bull runs and crashes. For interactions, users can click the legend to toggle assets on/off, drag on the chart to highlight specific time periods using brush selection, and hover for detailed tooltips showing exact values and dates.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Volatility Distribution (Box Plot):</w:t>
      </w:r>
      <w:r w:rsidDel="00000000" w:rsidR="00000000" w:rsidRPr="00000000">
        <w:rPr>
          <w:rFonts w:ascii="Times New Roman" w:cs="Times New Roman" w:eastAsia="Times New Roman" w:hAnsi="Times New Roman"/>
          <w:rtl w:val="0"/>
        </w:rPr>
        <w:t xml:space="preserve"> Our second visualization uses box plots with overlaid data points to compare volatility distributions. Box plots efficiently show medians, quartiles, and outliers all at once, while the individual points highlight extreme volatility events common in crypto. We maintained the same color scheme for consistency. What stands out is SPY clustering near 0.01 while crypto spreads way wider, quantifying that crypto volatility is orders of magnitude higher. We included interactive selection features and hover tooltips to let users explore specific volatility values.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Volume-Price Relationship (Scatter Plot):</w:t>
      </w:r>
      <w:r w:rsidDel="00000000" w:rsidR="00000000" w:rsidRPr="00000000">
        <w:rPr>
          <w:rFonts w:ascii="Times New Roman" w:cs="Times New Roman" w:eastAsia="Times New Roman" w:hAnsi="Times New Roman"/>
          <w:rtl w:val="0"/>
        </w:rPr>
        <w:t xml:space="preserve"> The third visualization is a scatter plot with regression lines exploring volume-price relationships. We used log-transformed volume to handle the huge value range. The patterns are revealing: SPY shows a tight, linear relationship indicating a mature market, while cryptocurrencies display dispersed patterns with steeper slopes. Those high-volume, high-price clusters likely correspond to bull runs or speculative trading periods. For interactions, users can drag to select and zoom into regions of interest, click the legend to filter specific assets, watch selected points enlarge for emphasis, see regression lines update dynamically based on selections, and access hover tooltips showing date, volume, and price metrics for each point.</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Asset Correlation Heatmap:</w:t>
      </w:r>
      <w:r w:rsidDel="00000000" w:rsidR="00000000" w:rsidRPr="00000000">
        <w:rPr>
          <w:rFonts w:ascii="Times New Roman" w:cs="Times New Roman" w:eastAsia="Times New Roman" w:hAnsi="Times New Roman"/>
          <w:rtl w:val="0"/>
        </w:rPr>
        <w:t xml:space="preserve"> We created a correlation heatmap using a diverging color scheme from red (positive) to blue (negative). The heatmap reveals that cryptocurrencies strongly correlate with each other, moving together as an asset class, while showing only moderate correlation with SPY. This indicates limited diversification within crypto but possible diversification across asset classes. We decided not to include interactive features here because the correlations are static comparisons that users can easily read directly from the visualization without needing filtering or dynamic updates.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Asset-Driver Network Graph:</w:t>
      </w:r>
      <w:r w:rsidDel="00000000" w:rsidR="00000000" w:rsidRPr="00000000">
        <w:rPr>
          <w:rFonts w:ascii="Times New Roman" w:cs="Times New Roman" w:eastAsia="Times New Roman" w:hAnsi="Times New Roman"/>
          <w:rtl w:val="0"/>
        </w:rPr>
        <w:t xml:space="preserve"> The fifth visualization is a force-directed network showing asset-driver relationships. Node size represents importance, color distinguishes assets from drivers, and the force simulation naturally clusters related elements. Users can click and drag nodes around to rearrange the layout for better viewing, and hover over nodes to highlight their connections, revealing which factors influence which assets and exposing the market's underlying structure.</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5qokkb0v8w8" w:id="2"/>
      <w:bookmarkEnd w:id="2"/>
      <w:r w:rsidDel="00000000" w:rsidR="00000000" w:rsidRPr="00000000">
        <w:rPr>
          <w:rFonts w:ascii="Times New Roman" w:cs="Times New Roman" w:eastAsia="Times New Roman" w:hAnsi="Times New Roman"/>
          <w:b w:val="1"/>
          <w:bCs w:val="1"/>
          <w:sz w:val="34"/>
          <w:szCs w:val="34"/>
          <w:rtl w:val="0"/>
        </w:rPr>
        <w:t xml:space="preserve">Overall Design Philosophy</w:t>
      </w:r>
    </w:p>
    <w:p w:rsidR="00000000" w:rsidDel="00000000" w:rsidP="00000000" w:rsidRDefault="00000000" w:rsidRPr="00000000" w14:paraId="0000000A">
      <w:pPr>
        <w:spacing w:after="240" w:before="240" w:lineRule="auto"/>
        <w:rPr/>
      </w:pPr>
      <w:r w:rsidDel="00000000" w:rsidR="00000000" w:rsidRPr="00000000">
        <w:rPr>
          <w:rFonts w:ascii="Times New Roman" w:cs="Times New Roman" w:eastAsia="Times New Roman" w:hAnsi="Times New Roman"/>
          <w:rtl w:val="0"/>
        </w:rPr>
        <w:t xml:space="preserve">We prioritized consistency across all visualizations, using the same color scheme to help track individual assets between views. We considered accessibility with sufficient contrast and colorblind-friendly choices. The narrative flow was intentional: the time series shows what happened, box plots quantify risk, the scatter plot explores mechanisms, the heatmap reveals connections, and the network explains drivers. Each visualization builds on the previous ones, creating a complete analytical story that supports data-driven investment decisions and risk assessment. Our interaction design focused on enabling exploration where it adds value - allowing users to filter, zoom, and highlight in the temporal and relational visualizations, while keeping the static correlation heatmap simple since the comparisons are straightforward to read.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