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pict>
          <v:shape id="Obrázek 12" style="width:123pt;height:123.75pt;visibility:visibl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96"/>
          <w:szCs w:val="96"/>
          <w:rtl w:val="0"/>
        </w:rPr>
        <w:t xml:space="preserve">Tech</w:t>
      </w: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rtl w:val="0"/>
        </w:rPr>
        <w:t xml:space="preserve">nická zpráva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{{ druh_vyrobku }}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vyrobni_cislo }}</w:t>
      </w:r>
    </w:p>
    <w:p w:rsidR="00000000" w:rsidDel="00000000" w:rsidP="00000000" w:rsidRDefault="00000000" w:rsidRPr="00000000" w14:paraId="0000000A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rok_vyroby }}</w:t>
      </w:r>
    </w:p>
    <w:p w:rsidR="00000000" w:rsidDel="00000000" w:rsidP="00000000" w:rsidRDefault="00000000" w:rsidRPr="00000000" w14:paraId="0000000B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misto_instalace }}</w:t>
      </w:r>
    </w:p>
    <w:p w:rsidR="00000000" w:rsidDel="00000000" w:rsidP="00000000" w:rsidRDefault="00000000" w:rsidRPr="00000000" w14:paraId="00000012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{{ objednatel_telefon }}</w:t>
      </w:r>
    </w:p>
    <w:p w:rsidR="00000000" w:rsidDel="00000000" w:rsidP="00000000" w:rsidRDefault="00000000" w:rsidRPr="00000000" w14:paraId="00000013">
      <w:pPr>
        <w:spacing w:after="120" w:lineRule="auto"/>
        <w:ind w:left="1416" w:firstLine="707.0000000000002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{{ objednatel_email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120" w:lineRule="auto"/>
        <w:rPr>
          <w:rFonts w:ascii="Arial" w:cs="Arial" w:eastAsia="Arial" w:hAnsi="Arial"/>
          <w:sz w:val="16"/>
          <w:szCs w:val="16"/>
        </w:rPr>
      </w:pPr>
      <w:bookmarkStart w:colFirst="0" w:colLast="0" w:name="_heading=h.yr9uyl9gzv4v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7">
      <w:pPr>
        <w:spacing w:after="60" w:lineRule="auto"/>
        <w:ind w:left="1416" w:firstLine="707.0000000000002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tel: 469 637 219-221</w:t>
      </w:r>
    </w:p>
    <w:p w:rsidR="00000000" w:rsidDel="00000000" w:rsidP="00000000" w:rsidRDefault="00000000" w:rsidRPr="00000000" w14:paraId="00000018">
      <w:pPr>
        <w:spacing w:after="120" w:lineRule="auto"/>
        <w:ind w:left="1416" w:firstLine="707.000000000000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after="120" w:lineRule="auto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96678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Číslo zakázky EL-VY: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{{ cislo_zakazky }}</w:t>
      </w:r>
    </w:p>
    <w:p w:rsidR="00000000" w:rsidDel="00000000" w:rsidP="00000000" w:rsidRDefault="00000000" w:rsidRPr="00000000" w14:paraId="0000001F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vypracoval_dokumentaci 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20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Schválil: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schvalil_dokumentaci }}</w:t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Obsah</w:t>
      </w:r>
    </w:p>
    <w:sdt>
      <w:sdtPr>
        <w:id w:val="-1308363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1. Úvod: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_heading=h.kqyga6dpw02g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"_heading=h.kqyga6dpw02g"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2. Technická data výtahu: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_heading=h.rx6cb0yzojok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"_heading=h.rx6cb0yzojok"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3. Předpisy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_heading=h.s5pra88huitj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"_heading=h.s5pra88huitj"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4. Technický popis výtahu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_heading=h.cqrc48osmw9e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"_heading=h.cqrc48osmw9e"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4.1 Strojovna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_heading=h.yt3lnlczyf3r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"_heading=h.yt3lnlczyf3r"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4.2 Šachta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_heading=h.l2i7gjdrpkzr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"_heading=h.l2i7gjdrpkzr"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4.3 Výtahová klec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_heading=h.ge8ae12uylsz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"_heading=h.ge8ae12uylsz"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4.4 Vedení klece a hydraulických pístů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_heading=h.yw11m2zfmy1m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"_heading=h.yw11m2zfmy1m"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4.5 Šachetní dveře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_heading=h.8ux0wbsai44f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"_heading=h.8ux0wbsai44f"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4.6 Elektrická instalace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_heading=h.tr9xmkl8x1ub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"_heading=h.tr9xmkl8x1ub"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5. Řízení výtahu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_heading=h.6ynhkr3jmvr0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"_heading=h.6ynhkr3jmvr0"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6. Základní požadavky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_heading=h.6ptf312b2wz8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"_heading=h.6ptf312b2wz8"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1. Všeobecně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_heading=h.94xlqbxu2ic5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"_heading=h.94xlqbxu2ic5"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2. Nebezpečí pro osoby nacházející se mimo klec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_heading=h.t1wjhdx95h5h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"_heading=h.t1wjhdx95h5h"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3. Nebezpečí pro osoby nacházející se v kleci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_heading=h.odtoi37i24b9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"_heading=h.odtoi37i24b9"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4. Jiná nebezpečí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_heading=h.2unu9pyhy2jp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"_heading=h.2unu9pyhy2jp"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5.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Značení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_heading=h.mlmwsspajtw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"_heading=h.mlmwsspajtw"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4"/>
              <w:tab w:val="right" w:leader="none" w:pos="9637"/>
            </w:tabs>
            <w:spacing w:line="360" w:lineRule="auto"/>
            <w:ind w:left="283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00000"/>
              <w:sz w:val="22"/>
              <w:szCs w:val="22"/>
              <w:rtl w:val="0"/>
            </w:rPr>
            <w:t xml:space="preserve">6. Návody na použití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_heading=h.3gidgsrdtvz1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"_heading=h.3gidgsrdtvz1"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7. Ostatní předpisy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_heading=h.q9ue0qeimlf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"_heading=h.q9ue0qeimlf"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637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8. Pokyny pro montáž a údržbu</w:t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_heading=h.4k8fjjrstydz \h </w:instrText>
            <w:fldChar w:fldCharType="separate"/>
          </w: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"_heading=h.4k8fjjrstydz"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Style w:val="Heading1"/>
            <w:numPr>
              <w:ilvl w:val="0"/>
              <w:numId w:val="1"/>
            </w:numPr>
            <w:spacing w:before="120" w:line="360" w:lineRule="auto"/>
            <w:ind w:left="432" w:hanging="432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kqyga6dpw02g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Úvod: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120"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bookmarkStart w:colFirst="0" w:colLast="0" w:name="_heading=h.jlsuqr35fdk1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 základě objednávky a zaměření na místě stavby je provedena dodávka výtahu.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Výtah je umístěný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v ocelové konstrukci výtahové šachty obložené z přední strany bezpečnostním izolačním sklem DITHERM a z boční a zadní strany je šachta obložena deskami Cetris </w:t>
      </w:r>
      <w:sdt>
        <w:sdtPr>
          <w:id w:val="-1943747949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 fasádním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omítkovým systémem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Výtah splňuje požadavky ČSN EN 81-20 ED.2:2021 (dále jen ČSN EN 81-20)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ČSN EN 81-73 ED.2:2022 (dále jen ČSN EN 81-73), ČSN EN 81-21 ED.2:2025 (dále jen ČSN EN 81-21)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Nařízení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vlády č. 122/2016 Sb. v platném znění, kterým se stanoví technické požadavky na výtahy a všem platným předpisům a harmonizovaným normám.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Stabilita ocelové konstrukce je zajištěna kotvením do jednotlivých podest domu po výšce budovy.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Servis zařízení se musí provádět pouze kvalifikovanou a oprávněnou organizací.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 případě jiného používání zařízení, než je zde uvedeno, nenese dodavatel zařízení odpovědnost za škody tímto používáním vzniklé.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 případě požáru se výtah nesmí používat!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before="120" w:line="36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rx6cb0yzojok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Technická data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Typ výtahu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model_vyrobku }}</w:t>
      </w:r>
    </w:p>
    <w:p w:rsidR="00000000" w:rsidDel="00000000" w:rsidP="00000000" w:rsidRDefault="00000000" w:rsidRPr="00000000" w14:paraId="00000041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Nosnost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max. {{ nosnost_kg }} kg / max.{{ nosnost_osob }} osoby</w:t>
      </w:r>
    </w:p>
    <w:p w:rsidR="00000000" w:rsidDel="00000000" w:rsidP="00000000" w:rsidRDefault="00000000" w:rsidRPr="00000000" w14:paraId="00000042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Jmenovitá rychlost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jmenovita_rychlost }}</w:t>
      </w:r>
    </w:p>
    <w:p w:rsidR="00000000" w:rsidDel="00000000" w:rsidP="00000000" w:rsidRDefault="00000000" w:rsidRPr="00000000" w14:paraId="00000043">
      <w:pPr>
        <w:tabs>
          <w:tab w:val="left" w:leader="none" w:pos="3402"/>
        </w:tabs>
        <w:spacing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Dopravní zdvih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dopravni_zdvih }}</w:t>
      </w:r>
    </w:p>
    <w:p w:rsidR="00000000" w:rsidDel="00000000" w:rsidP="00000000" w:rsidRDefault="00000000" w:rsidRPr="00000000" w14:paraId="00000044">
      <w:pPr>
        <w:tabs>
          <w:tab w:val="left" w:leader="none" w:pos="3402"/>
        </w:tabs>
        <w:spacing w:after="120" w:before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Hlava šachty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hlava_sachty }}</w:t>
      </w:r>
    </w:p>
    <w:p w:rsidR="00000000" w:rsidDel="00000000" w:rsidP="00000000" w:rsidRDefault="00000000" w:rsidRPr="00000000" w14:paraId="0000004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Prohlubeň šachty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{{ prohluben_sachty }}</w:t>
      </w:r>
    </w:p>
    <w:p w:rsidR="00000000" w:rsidDel="00000000" w:rsidP="00000000" w:rsidRDefault="00000000" w:rsidRPr="00000000" w14:paraId="0000004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Šířka šachty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sirka_sachty }}</w:t>
      </w:r>
    </w:p>
    <w:p w:rsidR="00000000" w:rsidDel="00000000" w:rsidP="00000000" w:rsidRDefault="00000000" w:rsidRPr="00000000" w14:paraId="00000047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Hloubka šachty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hloubka_sachty }}</w:t>
      </w:r>
    </w:p>
    <w:p w:rsidR="00000000" w:rsidDel="00000000" w:rsidP="00000000" w:rsidRDefault="00000000" w:rsidRPr="00000000" w14:paraId="00000048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Stanice / nástupiště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{{ stanice_nastupiste }}</w:t>
      </w:r>
    </w:p>
    <w:p w:rsidR="00000000" w:rsidDel="00000000" w:rsidP="00000000" w:rsidRDefault="00000000" w:rsidRPr="00000000" w14:paraId="00000049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popis_klec }}</w:t>
      </w:r>
    </w:p>
    <w:p w:rsidR="00000000" w:rsidDel="00000000" w:rsidP="00000000" w:rsidRDefault="00000000" w:rsidRPr="00000000" w14:paraId="0000004A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klece </w:t>
        <w:tab/>
        <w:t xml:space="preserve">- šířka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sirka_klece }}</w:t>
      </w:r>
    </w:p>
    <w:p w:rsidR="00000000" w:rsidDel="00000000" w:rsidP="00000000" w:rsidRDefault="00000000" w:rsidRPr="00000000" w14:paraId="0000004B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hloubka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hloubka_klece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vyska_klece }}</w:t>
      </w:r>
    </w:p>
    <w:p w:rsidR="00000000" w:rsidDel="00000000" w:rsidP="00000000" w:rsidRDefault="00000000" w:rsidRPr="00000000" w14:paraId="0000004D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701"/>
          <w:tab w:val="left" w:leader="none" w:pos="3402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Šachta výtahu</w:t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sachta_popis }}</w:t>
      </w:r>
    </w:p>
    <w:p w:rsidR="00000000" w:rsidDel="00000000" w:rsidP="00000000" w:rsidRDefault="00000000" w:rsidRPr="00000000" w14:paraId="00000050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Systém řízení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system_rizeni_popis }}</w:t>
      </w:r>
    </w:p>
    <w:p w:rsidR="00000000" w:rsidDel="00000000" w:rsidP="00000000" w:rsidRDefault="00000000" w:rsidRPr="00000000" w14:paraId="00000051">
      <w:pPr>
        <w:tabs>
          <w:tab w:val="left" w:leader="none" w:pos="3402"/>
        </w:tabs>
        <w:spacing w:line="48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Hydraulický agregát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hydraulicky_agregat }}</w:t>
      </w:r>
    </w:p>
    <w:p w:rsidR="00000000" w:rsidDel="00000000" w:rsidP="00000000" w:rsidRDefault="00000000" w:rsidRPr="00000000" w14:paraId="00000052">
      <w:pPr>
        <w:tabs>
          <w:tab w:val="left" w:leader="none" w:pos="3402"/>
        </w:tabs>
        <w:spacing w:line="480" w:lineRule="auto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bookmarkStart w:colFirst="0" w:colLast="0" w:name="_heading=h.5v85x0ca3rs6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Blokový ventil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blokovy_ventil }}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Výtahový stroj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vytahovy_stroj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Nosné prostředky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nosne_prostredky }}</w:t>
      </w:r>
    </w:p>
    <w:p w:rsidR="00000000" w:rsidDel="00000000" w:rsidP="00000000" w:rsidRDefault="00000000" w:rsidRPr="00000000" w14:paraId="00000054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Systém lanování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system_lanovani }}</w:t>
      </w:r>
    </w:p>
    <w:p w:rsidR="00000000" w:rsidDel="00000000" w:rsidP="00000000" w:rsidRDefault="00000000" w:rsidRPr="00000000" w14:paraId="0000005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bookmarkStart w:colFirst="0" w:colLast="0" w:name="_heading=h.7e89dslgpr5m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Vodítka klece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voditka_klece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Zachycovače - klec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zachycovace_klece }}</w:t>
      </w:r>
    </w:p>
    <w:p w:rsidR="00000000" w:rsidDel="00000000" w:rsidP="00000000" w:rsidRDefault="00000000" w:rsidRPr="00000000" w14:paraId="00000057">
      <w:pPr>
        <w:tabs>
          <w:tab w:val="left" w:leader="none" w:pos="3402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Nárazníky klece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nárazníky }} klece</w:t>
      </w:r>
    </w:p>
    <w:p w:rsidR="00000000" w:rsidDel="00000000" w:rsidP="00000000" w:rsidRDefault="00000000" w:rsidRPr="00000000" w14:paraId="00000058">
      <w:pPr>
        <w:tabs>
          <w:tab w:val="left" w:leader="none" w:pos="3402"/>
          <w:tab w:val="left" w:leader="none" w:pos="4253"/>
        </w:tabs>
        <w:spacing w:after="120" w:line="360" w:lineRule="auto"/>
        <w:ind w:left="3402" w:hanging="3402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Šachetní dveře 1. stanice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šachetní }} dveře 1. stanice</w:t>
      </w:r>
    </w:p>
    <w:p w:rsidR="00000000" w:rsidDel="00000000" w:rsidP="00000000" w:rsidRDefault="00000000" w:rsidRPr="00000000" w14:paraId="00000059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red"/>
        </w:rPr>
      </w:pPr>
      <w:bookmarkStart w:colFirst="0" w:colLast="0" w:name="_heading=h.u3zppk1ee4qx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{{ dverni_uzavera_1 }}.stanice_sachetni_dvere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dveří </w:t>
        <w:tab/>
        <w:t xml:space="preserve">- šířka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sirka_dveri_1 }}.stanice</w:t>
      </w:r>
    </w:p>
    <w:p w:rsidR="00000000" w:rsidDel="00000000" w:rsidP="00000000" w:rsidRDefault="00000000" w:rsidRPr="00000000" w14:paraId="0000005B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vyska_dveri_1 }}.stanice</w:t>
        <w:tab/>
      </w:r>
    </w:p>
    <w:p w:rsidR="00000000" w:rsidDel="00000000" w:rsidP="00000000" w:rsidRDefault="00000000" w:rsidRPr="00000000" w14:paraId="0000005C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klecove_dvere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6u354hg8ddn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dverni_uzavera_1 }}.stanice_klecove_dvere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Šachetní dveře 2.-5. st.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šachetní }} dveře 2.-5. stanice</w:t>
      </w:r>
    </w:p>
    <w:p w:rsidR="00000000" w:rsidDel="00000000" w:rsidP="00000000" w:rsidRDefault="00000000" w:rsidRPr="00000000" w14:paraId="0000005F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Rozměry dveří </w:t>
        <w:tab/>
        <w:t xml:space="preserve">- šířka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sirka_dveri_2 }}.-5. 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701"/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- výška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vyska_dveri_2 }}.-5. 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3402"/>
        </w:tabs>
        <w:spacing w:after="120" w:line="360" w:lineRule="auto"/>
        <w:ind w:left="3544" w:hanging="3544"/>
        <w:rPr>
          <w:rFonts w:ascii="Arial" w:cs="Arial" w:eastAsia="Arial" w:hAnsi="Arial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klecove_dvere_2 }}.-5..stanice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Dveřní uzávěra</w:t>
        <w:tab/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{{ dverni_uzavera_2 }}.-5._klecove_dvere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Prostředí výtahu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prostredi_vytahu_sachta }}</w:t>
      </w:r>
    </w:p>
    <w:p w:rsidR="00000000" w:rsidDel="00000000" w:rsidP="00000000" w:rsidRDefault="00000000" w:rsidRPr="00000000" w14:paraId="00000065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prostredi_vytahu_strojovna }}</w:t>
      </w:r>
    </w:p>
    <w:p w:rsidR="00000000" w:rsidDel="00000000" w:rsidP="00000000" w:rsidRDefault="00000000" w:rsidRPr="00000000" w14:paraId="00000066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Připojeno na soustavu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soustava }}</w:t>
      </w:r>
    </w:p>
    <w:p w:rsidR="00000000" w:rsidDel="00000000" w:rsidP="00000000" w:rsidRDefault="00000000" w:rsidRPr="00000000" w14:paraId="00000067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El. instalace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elektricka_instalace }}</w:t>
      </w:r>
    </w:p>
    <w:p w:rsidR="00000000" w:rsidDel="00000000" w:rsidP="00000000" w:rsidRDefault="00000000" w:rsidRPr="00000000" w14:paraId="00000068">
      <w:pPr>
        <w:tabs>
          <w:tab w:val="left" w:leader="none" w:pos="3402"/>
        </w:tabs>
        <w:spacing w:after="120" w:line="36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Rozvaděč výtahu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rozvadec_vytahu }}</w:t>
      </w:r>
    </w:p>
    <w:p w:rsidR="00000000" w:rsidDel="00000000" w:rsidP="00000000" w:rsidRDefault="00000000" w:rsidRPr="00000000" w14:paraId="00000069">
      <w:pPr>
        <w:spacing w:after="12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Systém řízení výtahu …………….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system_rizeni_vytahu }}</w:t>
      </w:r>
    </w:p>
    <w:p w:rsidR="00000000" w:rsidDel="00000000" w:rsidP="00000000" w:rsidRDefault="00000000" w:rsidRPr="00000000" w14:paraId="0000006A">
      <w:pPr>
        <w:spacing w:after="12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Ochrana před nebezpečným</w:t>
      </w:r>
    </w:p>
    <w:p w:rsidR="00000000" w:rsidDel="00000000" w:rsidP="00000000" w:rsidRDefault="00000000" w:rsidRPr="00000000" w14:paraId="0000006B">
      <w:pPr>
        <w:tabs>
          <w:tab w:val="left" w:leader="none" w:pos="3402"/>
        </w:tabs>
        <w:spacing w:after="120" w:line="360" w:lineRule="auto"/>
        <w:jc w:val="both"/>
        <w:rPr>
          <w:rFonts w:ascii="Arial" w:cs="Arial" w:eastAsia="Arial" w:hAnsi="Arial"/>
          <w:sz w:val="22"/>
          <w:szCs w:val="22"/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dotykovým napětím </w:t>
        <w:tab/>
        <w:t xml:space="preserve"> automatickým odpojením –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ČSN 33 2000-4-41 ed.2 čl. 411.3.2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3402"/>
        </w:tabs>
        <w:spacing w:after="120" w:line="360" w:lineRule="auto"/>
        <w:rPr>
          <w:highlight w:val="red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malým napětím –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PELV – ČSN 33 2000-4-41 ed.2 čl. 414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00.0" w:type="dxa"/>
        <w:tblLayout w:type="fixed"/>
        <w:tblLook w:val="0000"/>
      </w:tblPr>
      <w:tblGrid>
        <w:gridCol w:w="2775"/>
        <w:gridCol w:w="2595"/>
        <w:gridCol w:w="2850"/>
        <w:gridCol w:w="1590"/>
        <w:tblGridChange w:id="0">
          <w:tblGrid>
            <w:gridCol w:w="2775"/>
            <w:gridCol w:w="2595"/>
            <w:gridCol w:w="2850"/>
            <w:gridCol w:w="1590"/>
          </w:tblGrid>
        </w:tblGridChange>
      </w:tblGrid>
      <w:tr>
        <w:trPr>
          <w:cantSplit w:val="0"/>
          <w:trHeight w:val="66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2b2b2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Označení bezpečnostní komponenty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Číslo certifikátu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Certifikát vystavil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Dveřní uzávěrka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komponenta_dverni_uzavera_oznaceni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komponenta_dverni_uzavera_cislo_certifikatu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komponenta_dverni_uzavera_certifikat_vystavil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Dveřní uzávěrka VDJ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komponenta_dverni_uzaverka_vdj_d_oznaceni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komponenta_dverni_uzavera_vdj_cislo_certifikatu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ff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komponenta_zachycovac_klece_certifikat_vystavil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Zachycovače klece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komponenta_zachycovac_klece_oznaceni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komponenta_zachycovac_klece_cislo_certifikatu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komponenta_zachycovac_klece_certifikat_vystavil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Blokový ventil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komponenta_blokovy_ventil_oznaceni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komponenta_blokovy_ventil_cislo_certifikatu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120" w:lineRule="auto"/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20" w:lineRule="auto"/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komponenta_blokovy_ventil_certifikat_vystavil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Nárazníky klece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komponenta_naraznik_klece_oznaceni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komponenta_naraznik_klece_cislo_certifikatu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color w:val="00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komponenta_naraznik_klece_certifikat_vystavil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Bezpečnostní ventil (proti nekontrolovatelnému pohybu)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0"/>
                <w:szCs w:val="1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komponenta_bezp_ventil_oznaceni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komponenta_bezp_ventil_ucm_cislo_certifikatu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0"/>
                <w:szCs w:val="1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yellow"/>
                <w:rtl w:val="0"/>
              </w:rPr>
              <w:t xml:space="preserve">{{ komponenta_bezp_ventil_certifikat_vystavil }}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numPr>
          <w:ilvl w:val="0"/>
          <w:numId w:val="1"/>
        </w:numPr>
        <w:spacing w:before="240" w:line="360" w:lineRule="auto"/>
        <w:ind w:left="432" w:hanging="432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s5pra88huitj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Předpisy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cqrc48osmw9e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Zařízení odpovídá a je v souladu s NV č. 122/2016 Sb., ČSN EN 81-20, ČSN EN 81-21 ED.2:2025  a ostatním předpisům uvedeným v části základních požadavků. </w:t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Technický popis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určen ke svislé dopravě osob do celkové max. hmotnosti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nosnost_kg 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(max. počet osob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nosnost_osob 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Strojní technologická část výtahu je umístěna pouze do dvou prostorů – do strojovny výtahu umístěné vedle výtahové šachty (umístění dle dispozice)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v nejnižším podlaží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do výtahové šachty.</w:t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yt3lnlczyf3r" w:id="11"/>
      <w:bookmarkEnd w:id="1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4.1 Strojovna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ly6ofr30e13d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Strojovna výtahu je umístěná poblíž výtahové šachty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ve skříňové strojovně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(umístění dle dispozice)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v nejnižším podlaží v nově vybudované technické místnosti. Ve strojovně je umístěn hydraulický agregát, rozvaděč, vypínač osvětlení šachty, zásuvka 230V.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Rozvaděč je umístěný ve strojovně viz dispoziční výkres. Obslužný prostor před rozvaděčem musí být vždy volně přístupný, povrch podlahy musí být rovný, bezprašný a musí být bezpečný proti skluzu. Hlavní vypínač výtahu musí být uzamykatelný.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Osvětlení prostoru stroje a rozvaděče je trvale instalováno. Intenzita osvětlení strojovny činí min. 200 Ix, měřeno u podlahy před rozvaděčem a výtahovým strojem (agregátem). Vstup do strojovny je opatřen dveřmi.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Strojovna musí být dostatečně větrána a je nutné dodržet teplotu v rozsahu uvedeném </w:t>
        <w:br w:type="textWrapping"/>
        <w:t xml:space="preserve">v ČSN EN 81-20 (+5 °C až +35 °C).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Větrání strojovny je zajištěno pomocí samovolného větrání mřížkami v boční stěně strojovny.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120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vedení oleje a elektroinstalace je mezi strojovnou a výtahovou šachtou připraven spojovací otvor.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680"/>
        </w:tabs>
        <w:spacing w:line="360" w:lineRule="auto"/>
        <w:ind w:right="1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Prostor strojovny výtahu musí být větraný a nesmí v něm být umístěno žádné zařízení, které nesouvisí s provozem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1"/>
        </w:numPr>
        <w:spacing w:line="360" w:lineRule="auto"/>
        <w:ind w:left="576" w:hanging="576"/>
        <w:rPr/>
      </w:pPr>
      <w:bookmarkStart w:colFirst="0" w:colLast="0" w:name="_heading=h.l2i7gjdrpkzr" w:id="13"/>
      <w:bookmarkEnd w:id="1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4.2 Šachta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right" w:leader="none" w:pos="8953"/>
        </w:tabs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Výtahová šachta tvoří vlastní pracovní prostor výtahu spolu s nutnými bezpečnostními prostory.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360" w:lineRule="auto"/>
        <w:ind w:left="709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Osvětlení výtahové šachty odpovídá požadavkům ČSN EN 81-20, čl.5.2.1.4.1,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to: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nejméně 50 lx 1 metr nad střechou klece v její svislé projekci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nejméně 50 lx 1 metr nad podlahou prohlubně kdekoli může osoba stát, pracovat a/nebo se pohybovat na pracovních místech.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 nejméně 20 lx mimo prostory stanovené v bodě A) a B) s výjimkou stínů způsobených klecí nebo jejích komponent.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Osvětlení se ovládá třemi spínači, jeden je umístěn v šachtě u dveří do prohlubně, druhý ve strojovně a třetí na skříni revizní jízdy umístěné v prohlubni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Spodní část šachty – prohlubeň má takovou hloubku, která neumožňuje, že i při dosednutí klece na plně stlačený nárazník zůstane pod klecí volný bezpečnostní prostor 0,7 x 1 x 0,5 m dle ČSN EN 81-20, čl. 5.2.5.8.2. Nedostatečný prostor je řešen dle ČSN EN 81-21, čl. 5.5.2.2 zarážkou na vodítka pro malé prohlubně od firmy GMV – viz. příloha „komponenty pro malou hlavu a prohlubeň“. Přístup do prohlubně výtahové šachty je výtahovými dveřmi z nejnižší stanice, bez nutnosti použití žebříku (malá prohlubeň 150 mm).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Spodní část šachty – prohlubeň má takovou hloubku, která neumožňuje instalaci podprahového plechu dle ČSN EN 81-20, čl. 5.4.5.2 je řešeno dle analýzi rizik v bodě č.1.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green"/>
          <w:rtl w:val="0"/>
        </w:rPr>
        <w:t xml:space="preserve">Vstup povolen do prohlubně jen jedné osobě.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 V dosahu dveří je v prohlubni umístěn (dle ČSN EN 81-20, čl. 5.2.1.5.1.) ovladač pro vyřazení zařízení z provozu STOP, ovladač pro osvětlení šachty, tlačítko ALARM, elektrická zásuvka na 230 V a ovladač revizní jízdy.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Horní část šachty – hlava má takovou výšku, která neumožňuje, že i při dojetí klece na koncový vypínač v horní poloze zůstane nad klecí volný bezpečnostní prostor 0,5 x 0,7 x 1 m dle ČSN EN 81-20, čl.5.2.5.7.2. Nedostatečný prostor je řešen dle ČSN EN 81-21, čl. 5.5.2.2 Zarážkou na vodítka pro malou hlavu od firmy GMV. – viz. příloha „komponenty pro malou hlavu a prohlubeň“. Na střeše klece je jízda povolena jen jedné osobě.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 střeše klece je jízda povolena jen jedné osobě.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Stabilita ocelové konstrukce je zajištěna kotvením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do obvodové stěny budovy po celé její výšce.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Ocelová konstrukce šachty je tvořena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vzájemně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šroubovými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ocelovými profily.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120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Ocelová šachta je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opláštěná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z přední strany DITHERM bezpečnostním sklem CONNEX a z boční a zadní strany je šachta obložena deskami Cetris s fasádním omítkovým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systémem, skleněné tabule jsou přidělané k ocelové konstrukci pomocí terčových příchytek na vodorovných stranách skleněných tabulí.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Ve stěně šachty jsou usazeny automatické a ruční šachetní dveře.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V šachtě jsou rovněž instalovány vodítka klece.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Šachta je odvětrána mřížkou v horní části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 výtahové šachtě nesmí být umístěno žádné zařízení, které nesouvisí s provozem výtahu.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"/>
        </w:numPr>
        <w:spacing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ge8ae12uylsz" w:id="14"/>
      <w:bookmarkEnd w:id="1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4.3 Výtahová klec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Konstrukce klece se skládá z nosného rámu a vlastní klece pro dopravu osob.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Rám je tvořen nosníky se závěsem nosných lan, bočními táhly a nosníky rámu podlahy.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vodicích čelistí je rám a s ním i vlastní klec vedena ocelovými vodítky v šachtě výtahu. Proti pádu je klec jištěna zachycovači. Zachycovače splňují požadavky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ČSN EN 81-20.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Nosný rám je tvořen ocelovými profily spojenými převážně svary a šrouby.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Klec je průchozí přes roh o 90°, z nehořlavých plechových lamel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Její prostor je ohrazen stropem, podlahou a výplněmi stěn. </w:t>
      </w:r>
    </w:p>
    <w:p w:rsidR="00000000" w:rsidDel="00000000" w:rsidP="00000000" w:rsidRDefault="00000000" w:rsidRPr="00000000" w14:paraId="000000BA">
      <w:pPr>
        <w:spacing w:line="360" w:lineRule="auto"/>
        <w:ind w:left="720" w:firstLine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Klec je vybavena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 automatickými teleskopickými dvoulistými a třílistými klecovými dveřmi.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Klec je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 v nehořlavém provedení, strop je ocelový / bílý a je osazen LED osvětlením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s podhledem. Na zadní stěně je umístěné nerezové kulaté madlo a nad ním zrcadlo. Ovládací tablo na boční stěně. Na podlaze je položené ALTRO.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Uvnitř klece je ovladačová kombinace pro volbu stanic se signalizací polohy klece.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V ovládacím panelu je dále instalováno dorozumívací zařízení pro vyproštění osob dle ČSN EN 81-20 čl. 5.12.3.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Odvětrání klece je řešeno mezerami kolem dveří, větracími otvory ve stěnách klece a dále ventilátorem na stropu klece, který se aktivuje tlačítkem na ovládacím panelu.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Na střeše klece je jízda povolena jen jedné osobě. </w:t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yw11m2zfmy1m" w:id="15"/>
      <w:bookmarkEnd w:id="1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4.4 Vedení klece a hydraulických pístů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57" w:line="360" w:lineRule="auto"/>
        <w:ind w:left="851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Konzoly vodítek klece, pístů a podpěr pístů budou přišroubovány svorníky k nosné konstrukci šachty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re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Převáděcí kladka na hydraulickém válci je v horní části vedena vodícími čelistm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yellow"/>
          <w:rtl w:val="0"/>
        </w:rPr>
        <w:t xml:space="preserve">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8ux0wbsai44f" w:id="16"/>
      <w:bookmarkEnd w:id="1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4.5 Šachetní dveře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Jsou použity automatické a ruční dveře.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 musí být provedena důsledně dle návodu výrobce.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tr9xmkl8x1ub" w:id="17"/>
      <w:bookmarkEnd w:id="1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4.6 Elektrická 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obvody musí být provedeny dle dodaných schémat. Instalace je vedena kabely v instalačních žlabech v přední části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numPr>
          <w:ilvl w:val="0"/>
          <w:numId w:val="1"/>
        </w:numPr>
        <w:tabs>
          <w:tab w:val="left" w:leader="none" w:pos="0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6ynhkr3jmvr0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Řízení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tabs>
          <w:tab w:val="left" w:leader="none" w:pos="0"/>
        </w:tabs>
        <w:spacing w:line="360" w:lineRule="auto"/>
        <w:ind w:left="714" w:hanging="357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6ptf312b2wz8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ovládání výtahu slouží mikroprocesorové řízení. Pro přivolání výtahu jsou ve stanicích osazeny ovladačové kombinace. V kleci je umístěna ovladačová kombinace pro volbu stanic, nouzové osvětlení a nouzová signalizace s instalovaným komunikačním zařízením dle ČSN EN 81-20 čl. 5.12.3 a čl. 5.12.4.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</w:tabs>
        <w:spacing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Základní požadavky</w:t>
      </w:r>
    </w:p>
    <w:p w:rsidR="00000000" w:rsidDel="00000000" w:rsidP="00000000" w:rsidRDefault="00000000" w:rsidRPr="00000000" w14:paraId="000000C9">
      <w:pPr>
        <w:tabs>
          <w:tab w:val="left" w:leader="none" w:pos="284"/>
        </w:tabs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Splnění základních požadavků pro ochranu zdraví a bezpečnost vztahující se na konstrukci a výrobu výtahu dle nařízení vlády č. 122/2016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284"/>
        </w:tabs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tabs>
          <w:tab w:val="left" w:leader="none" w:pos="284"/>
        </w:tabs>
        <w:spacing w:line="360" w:lineRule="auto"/>
        <w:ind w:left="720" w:hanging="36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splňuje všechny základní požadavky vztahující se na uvedený typ výtahu </w:t>
        <w:br w:type="textWrapping"/>
        <w:t xml:space="preserve">(podle NV č. 122/2016 Sb.) a splňuje požadavky harmonizované české technické normy </w:t>
        <w:br w:type="textWrapping"/>
        <w:t xml:space="preserve">ČSN EN 81-20, ČSN EN 81-73 a ČSN EN 81-21.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284"/>
        </w:tabs>
        <w:spacing w:after="120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Základní požadavky pro ochranu zdraví a bezpečnosti vztahující se na konstrukci a výrobu zařízení a bezpečnostních komponent.</w:t>
      </w:r>
    </w:p>
    <w:p w:rsidR="00000000" w:rsidDel="00000000" w:rsidP="00000000" w:rsidRDefault="00000000" w:rsidRPr="00000000" w14:paraId="000000CD">
      <w:pPr>
        <w:tabs>
          <w:tab w:val="left" w:leader="none" w:pos="284"/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Číslování – viz NV č. 122/2016 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spacing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94xlqbxu2ic5" w:id="20"/>
      <w:bookmarkEnd w:id="2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1. Všeobecně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</w:t>
        <w:tab/>
        <w:t xml:space="preserve">Výtah a bezpečnostní komponenty jsou navrženy dle NV č. 122/2016 Sb., elektrická část je navržena v souladu s ČSN EN 81-20, čl.5.10</w:t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výtahu je navržena podle ČSN EN 81-20, čl. 5.4.2 – užitná plocha klece, nosnost a počet osob.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Konstrukční řešení splňuje ČSN EN 81-20, čl. 5.5 a výpočet výtahu.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zatížení </w:t>
      </w:r>
    </w:p>
    <w:p w:rsidR="00000000" w:rsidDel="00000000" w:rsidP="00000000" w:rsidRDefault="00000000" w:rsidRPr="00000000" w14:paraId="000000D3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1.4.1</w:t>
        <w:tab/>
        <w:t xml:space="preserve">Zabránění provozu přetíženého výtahu je řešeno pomocí tlakového snímače přetížení (seřízení provádí montér při montážní zkoušce výtahu). </w:t>
      </w:r>
    </w:p>
    <w:p w:rsidR="00000000" w:rsidDel="00000000" w:rsidP="00000000" w:rsidRDefault="00000000" w:rsidRPr="00000000" w14:paraId="000000D4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1.4.2</w:t>
        <w:tab/>
        <w:t xml:space="preserve">Hydraulický výtah – konstrukce pohonu zabraňuje překročení rychlosti</w:t>
      </w:r>
    </w:p>
    <w:p w:rsidR="00000000" w:rsidDel="00000000" w:rsidP="00000000" w:rsidRDefault="00000000" w:rsidRPr="00000000" w14:paraId="000000D5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</w:t>
        <w:tab/>
        <w:t xml:space="preserve">Výtahový stroj (splňuje ČSN EN 81-20 čl. 5.9.2)</w:t>
      </w:r>
    </w:p>
    <w:p w:rsidR="00000000" w:rsidDel="00000000" w:rsidP="00000000" w:rsidRDefault="00000000" w:rsidRPr="00000000" w14:paraId="000000D6">
      <w:pPr>
        <w:tabs>
          <w:tab w:val="left" w:leader="none" w:pos="567"/>
        </w:tabs>
        <w:spacing w:line="360" w:lineRule="auto"/>
        <w:ind w:left="564" w:hanging="564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1.5.1</w:t>
        <w:tab/>
        <w:t xml:space="preserve">Výtah je poháněný hydraulickým agregátem, který je umístěn ve strojovně v nejnižším podlaží (umístění dle dispozice) (dle ČSN EN 81-20, čl. 5.2.6.3)</w:t>
      </w:r>
    </w:p>
    <w:p w:rsidR="00000000" w:rsidDel="00000000" w:rsidP="00000000" w:rsidRDefault="00000000" w:rsidRPr="00000000" w14:paraId="000000D7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1.5.2</w:t>
        <w:tab/>
        <w:t xml:space="preserve">Hydraulický agregát je umístěný v samostatné, uzamykatelné strojovně – odpovídá požadavkům, viz ČSN EN 81-20, čl.5.2.2.</w:t>
      </w:r>
    </w:p>
    <w:p w:rsidR="00000000" w:rsidDel="00000000" w:rsidP="00000000" w:rsidRDefault="00000000" w:rsidRPr="00000000" w14:paraId="000000D8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</w:t>
        <w:tab/>
        <w:t xml:space="preserve">Ovládání</w:t>
      </w:r>
    </w:p>
    <w:p w:rsidR="00000000" w:rsidDel="00000000" w:rsidP="00000000" w:rsidRDefault="00000000" w:rsidRPr="00000000" w14:paraId="000000D9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1.6.1</w:t>
        <w:tab/>
        <w:t xml:space="preserve">Ovládací prvky jsou umístěny dle ČSN ISO 4190-5:2013 </w:t>
      </w:r>
    </w:p>
    <w:p w:rsidR="00000000" w:rsidDel="00000000" w:rsidP="00000000" w:rsidRDefault="00000000" w:rsidRPr="00000000" w14:paraId="000000DA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1.6.2</w:t>
        <w:tab/>
        <w:t xml:space="preserve">Symbolika značení je provedena ve smyslu ČSN EN 81-20, čl. 5.4.2.3.2</w:t>
      </w:r>
    </w:p>
    <w:p w:rsidR="00000000" w:rsidDel="00000000" w:rsidP="00000000" w:rsidRDefault="00000000" w:rsidRPr="00000000" w14:paraId="000000DB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1.6.3</w:t>
        <w:tab/>
        <w:t xml:space="preserve">a) splněno dle ČSN EN 81-20, čl. 5.10.6</w:t>
      </w:r>
    </w:p>
    <w:p w:rsidR="00000000" w:rsidDel="00000000" w:rsidP="00000000" w:rsidRDefault="00000000" w:rsidRPr="00000000" w14:paraId="000000DC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b) splněno dle ČSN EN 81-20, čl. 5.10.5</w:t>
      </w:r>
    </w:p>
    <w:p w:rsidR="00000000" w:rsidDel="00000000" w:rsidP="00000000" w:rsidRDefault="00000000" w:rsidRPr="00000000" w14:paraId="000000DD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c) splněno dle ČSN EN 81-20, čl. 5.11.1.</w:t>
      </w:r>
    </w:p>
    <w:p w:rsidR="00000000" w:rsidDel="00000000" w:rsidP="00000000" w:rsidRDefault="00000000" w:rsidRPr="00000000" w14:paraId="000000DE">
      <w:pPr>
        <w:pStyle w:val="Heading2"/>
        <w:numPr>
          <w:ilvl w:val="0"/>
          <w:numId w:val="1"/>
        </w:numPr>
        <w:spacing w:line="360" w:lineRule="auto"/>
        <w:ind w:left="431" w:hanging="431"/>
        <w:rPr>
          <w:rFonts w:ascii="Arial" w:cs="Arial" w:eastAsia="Arial" w:hAnsi="Arial"/>
          <w:sz w:val="22"/>
          <w:szCs w:val="22"/>
        </w:rPr>
      </w:pPr>
      <w:bookmarkStart w:colFirst="0" w:colLast="0" w:name="_heading=h.t1wjhdx95h5h" w:id="21"/>
      <w:bookmarkEnd w:id="2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2. Nebezpečí pro osoby nacházející se mimo klec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2.1.</w:t>
        <w:tab/>
        <w:t xml:space="preserve">Výtah je umístěn v uzavřené šachtě výtahu bez možnosti přístupu nepovolaným osobám. V případě vstupu osob do šachty dojde k přerušení bezpečnostního obvodu, který vyřadí zařízení z normálního provozu.</w:t>
      </w:r>
    </w:p>
    <w:p w:rsidR="00000000" w:rsidDel="00000000" w:rsidP="00000000" w:rsidRDefault="00000000" w:rsidRPr="00000000" w14:paraId="000000E0">
      <w:pPr>
        <w:tabs>
          <w:tab w:val="left" w:leader="none" w:pos="567"/>
        </w:tabs>
        <w:spacing w:line="360" w:lineRule="auto"/>
        <w:ind w:left="56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Klecové dveře nejsou vybaveny podprahovým plechem dle ČSN EN 81-20, čl. 5.4.5.2. Riziko pádu do šachty při nouzové situaci je řešeno v analýze rizik p.č. 1</w:t>
      </w:r>
    </w:p>
    <w:p w:rsidR="00000000" w:rsidDel="00000000" w:rsidP="00000000" w:rsidRDefault="00000000" w:rsidRPr="00000000" w14:paraId="000000E1">
      <w:pPr>
        <w:tabs>
          <w:tab w:val="left" w:leader="none" w:pos="567"/>
        </w:tabs>
        <w:spacing w:after="120"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567"/>
        </w:tabs>
        <w:spacing w:line="360" w:lineRule="auto"/>
        <w:ind w:left="564" w:hanging="564"/>
        <w:rPr>
          <w:rFonts w:ascii="Arial" w:cs="Arial" w:eastAsia="Arial" w:hAnsi="Arial"/>
          <w:sz w:val="22"/>
          <w:szCs w:val="22"/>
          <w:highlight w:val="magenta"/>
        </w:rPr>
      </w:pPr>
      <w:bookmarkStart w:colFirst="0" w:colLast="0" w:name="_heading=h.fl35c6obll7w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 xml:space="preserve">Horní bezpečnostní prostor v šachtě neodpovídá ČSN EN 81-20, čl.5.2.5.7.2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magenta"/>
          <w:rtl w:val="0"/>
        </w:rPr>
        <w:t xml:space="preserve">– je řešeno dle ČSN EN 81-21, čl. 5.5.2.2</w:t>
      </w:r>
    </w:p>
    <w:p w:rsidR="00000000" w:rsidDel="00000000" w:rsidP="00000000" w:rsidRDefault="00000000" w:rsidRPr="00000000" w14:paraId="000000E3">
      <w:pPr>
        <w:tabs>
          <w:tab w:val="left" w:leader="none" w:pos="567"/>
        </w:tabs>
        <w:spacing w:line="360" w:lineRule="auto"/>
        <w:ind w:left="564" w:firstLine="0"/>
        <w:rPr>
          <w:rFonts w:ascii="Arial" w:cs="Arial" w:eastAsia="Arial" w:hAnsi="Arial"/>
          <w:color w:val="000000"/>
          <w:sz w:val="22"/>
          <w:szCs w:val="22"/>
          <w:highlight w:val="magenta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magenta"/>
          <w:rtl w:val="0"/>
        </w:rPr>
        <w:tab/>
        <w:t xml:space="preserve">Dolní bezpečnostní prostor v šachtě neodpovídá ČSN EN 81-20, čl. 5.2.5.8.2. – je řešeno dle ČSN EN 81-21, čl. 5.5.2.2 </w:t>
      </w:r>
    </w:p>
    <w:p w:rsidR="00000000" w:rsidDel="00000000" w:rsidP="00000000" w:rsidRDefault="00000000" w:rsidRPr="00000000" w14:paraId="000000E4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2.3</w:t>
        <w:tab/>
        <w:t xml:space="preserve">Splněno dle ČSN EN 81-20, čl. 5.2.1.8; čl. 5.3.2 – 5.3.15.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odtoi37i24b9" w:id="23"/>
      <w:bookmarkEnd w:id="2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 Nebezpečí pro osoby nacházející se v kleci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3.1.</w:t>
        <w:tab/>
        <w:t xml:space="preserve">Splněno dle ČSN EN 81-20, kapitola 5.3.</w:t>
      </w:r>
    </w:p>
    <w:p w:rsidR="00000000" w:rsidDel="00000000" w:rsidP="00000000" w:rsidRDefault="00000000" w:rsidRPr="00000000" w14:paraId="000000E7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3.2.</w:t>
        <w:tab/>
        <w:t xml:space="preserve">Splněno dle ČSN EN 81-20, zvolený způsob viz oddíl 3. této Technické zprávy.</w:t>
      </w:r>
    </w:p>
    <w:p w:rsidR="00000000" w:rsidDel="00000000" w:rsidP="00000000" w:rsidRDefault="00000000" w:rsidRPr="00000000" w14:paraId="000000E8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3.3.</w:t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Splněno dle ČSN EN 81-20, kapitola 5.8.1 – zvolený typ nárazníku viz výpočet výtahu ověřující použitelnost výtahových částí.</w:t>
      </w:r>
    </w:p>
    <w:p w:rsidR="00000000" w:rsidDel="00000000" w:rsidP="00000000" w:rsidRDefault="00000000" w:rsidRPr="00000000" w14:paraId="000000E9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</w:t>
        <w:tab/>
        <w:t xml:space="preserve">Splněno dle ČSN EN 81-20</w:t>
      </w:r>
    </w:p>
    <w:p w:rsidR="00000000" w:rsidDel="00000000" w:rsidP="00000000" w:rsidRDefault="00000000" w:rsidRPr="00000000" w14:paraId="000000EA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Zachycovače – vybaveny bezpečnostním spínačem dle ČSN EN 81-20, čl. 5.11.2.</w:t>
      </w:r>
    </w:p>
    <w:p w:rsidR="00000000" w:rsidDel="00000000" w:rsidP="00000000" w:rsidRDefault="00000000" w:rsidRPr="00000000" w14:paraId="000000EB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Kontrola zatížení – tlakový spínač a vyhodnocovací elektronika (nastavení na hodnotu o 10% převyšující jmenovitou nosnost výtahu, nejméně o 15 kg).</w:t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1"/>
        </w:numPr>
        <w:spacing w:before="120"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2unu9pyhy2jp" w:id="24"/>
      <w:bookmarkEnd w:id="2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4. Jiná nebezpečí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567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</w:t>
        <w:tab/>
        <w:t xml:space="preserve"> Splněno dle ČSN EN 81-20, kapitola 5.3.9.1 – šachetní dveře, kapitola 5.3.1.2 – klecové dveře.</w:t>
      </w:r>
    </w:p>
    <w:p w:rsidR="00000000" w:rsidDel="00000000" w:rsidP="00000000" w:rsidRDefault="00000000" w:rsidRPr="00000000" w14:paraId="000000EE">
      <w:pPr>
        <w:tabs>
          <w:tab w:val="left" w:leader="none" w:pos="567"/>
        </w:tabs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</w:t>
        <w:tab/>
        <w:t xml:space="preserve">Požární odolnost dle ČSN EN 81-58 ed.2:2025 – viz tabulka Díl 1, kapitola A 1.3.5 šachetní dveře.</w:t>
      </w:r>
    </w:p>
    <w:p w:rsidR="00000000" w:rsidDel="00000000" w:rsidP="00000000" w:rsidRDefault="00000000" w:rsidRPr="00000000" w14:paraId="000000EF">
      <w:pPr>
        <w:tabs>
          <w:tab w:val="left" w:leader="none" w:pos="567"/>
        </w:tabs>
        <w:spacing w:line="360" w:lineRule="auto"/>
        <w:ind w:left="567" w:hanging="56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</w:t>
        <w:tab/>
        <w:t xml:space="preserve">Netýká se.</w:t>
      </w:r>
    </w:p>
    <w:p w:rsidR="00000000" w:rsidDel="00000000" w:rsidP="00000000" w:rsidRDefault="00000000" w:rsidRPr="00000000" w14:paraId="000000F0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</w:t>
        <w:tab/>
        <w:t xml:space="preserve">Splněno dle ČSN EN 81-20, kapitola 5.9.2.3</w:t>
      </w:r>
    </w:p>
    <w:p w:rsidR="00000000" w:rsidDel="00000000" w:rsidP="00000000" w:rsidRDefault="00000000" w:rsidRPr="00000000" w14:paraId="000000F1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4.5</w:t>
        <w:tab/>
        <w:t xml:space="preserve">Splněno dle ČSN EN 81-20, čl. 5.12.3 a čl. 5.12.4.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dle ČSN EN 81-28+AC:2019.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4.6</w:t>
        <w:tab/>
        <w:t xml:space="preserve">Splněno dle ČSN EN 81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-20, čl. 5.10.4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4.7</w:t>
        <w:tab/>
        <w:t xml:space="preserve">Splněno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dle ČSN EN 81-20, čl. 5.4.10.1 – čl.5.4.10.4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4.8</w:t>
        <w:tab/>
        <w:t xml:space="preserve">Splněno dle ČSN EN 81-20, kapitola 5.4.10.</w:t>
      </w:r>
    </w:p>
    <w:p w:rsidR="00000000" w:rsidDel="00000000" w:rsidP="00000000" w:rsidRDefault="00000000" w:rsidRPr="00000000" w14:paraId="000000F5">
      <w:pPr>
        <w:tabs>
          <w:tab w:val="left" w:leader="none" w:pos="567"/>
        </w:tabs>
        <w:spacing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4.9</w:t>
        <w:tab/>
        <w:t xml:space="preserve">Splněno dle ČSN EN 81-20, čl. 5.12.3</w:t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mlmwsspajtw" w:id="25"/>
      <w:bookmarkEnd w:id="2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Značení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F7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5.1.</w:t>
        <w:tab/>
        <w:t xml:space="preserve">Splněno dle NV č. 122/2016 Sb. a ČSN EN 81-20.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1"/>
          <w:numId w:val="1"/>
        </w:numPr>
        <w:spacing w:before="120" w:line="360" w:lineRule="auto"/>
        <w:ind w:left="57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3gidgsrdtvz1" w:id="26"/>
      <w:bookmarkEnd w:id="2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6. Návody na použití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567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6.1</w:t>
        <w:tab/>
        <w:t xml:space="preserve">Viz část Návody, splněno dle ČSN EN 13015+A1:2009.</w:t>
      </w:r>
    </w:p>
    <w:p w:rsidR="00000000" w:rsidDel="00000000" w:rsidP="00000000" w:rsidRDefault="00000000" w:rsidRPr="00000000" w14:paraId="000000FA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9ue0qeimlf" w:id="27"/>
      <w:bookmarkEnd w:id="2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6.2 </w:t>
        <w:tab/>
        <w:t xml:space="preserve">Viz část Návody, splněno dle ČSN EN 13015+A1:2009.</w:t>
      </w:r>
    </w:p>
    <w:p w:rsidR="00000000" w:rsidDel="00000000" w:rsidP="00000000" w:rsidRDefault="00000000" w:rsidRPr="00000000" w14:paraId="000000FB">
      <w:pPr>
        <w:tabs>
          <w:tab w:val="left" w:leader="none" w:pos="567"/>
        </w:tabs>
        <w:spacing w:after="12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Ostatní předpisy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tabs>
          <w:tab w:val="left" w:leader="none" w:pos="567"/>
        </w:tabs>
        <w:spacing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ČSN EN 81-71:2024: Výtahy odolné vandalům – kategorie 0.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tabs>
          <w:tab w:val="left" w:leader="none" w:pos="567"/>
        </w:tabs>
        <w:spacing w:after="120" w:line="360" w:lineRule="auto"/>
        <w:ind w:left="709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ČSN 27 4210:2004: Nejvyšší povolené hodnoty hladin emisního hluku – ve strojovně a v šachtě max. 85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numPr>
          <w:ilvl w:val="0"/>
          <w:numId w:val="1"/>
        </w:numPr>
        <w:spacing w:line="360" w:lineRule="auto"/>
        <w:ind w:left="43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4k8fjjrstydz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Pokyny pro montáž a údržbu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práce musí být provedeny v souladu s platnými ČSN, vyhláškami a projektovou dokumentací. Je nutné dodržovat bezpečnostní předpisy při montáži výtahu a příslušné bezpečnostní předpisy pro práci na elektrických zařízeních.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Údržbu a zkoušky výtahu smí provádět pouze oprávněná organizace dle vyhlášky </w:t>
      </w:r>
    </w:p>
    <w:p w:rsidR="00000000" w:rsidDel="00000000" w:rsidP="00000000" w:rsidRDefault="00000000" w:rsidRPr="00000000" w14:paraId="00000101">
      <w:pPr>
        <w:spacing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č. 394/2003 Sb. ve znění vyhlášky číslo 552/1990 Sb. Návody, pokyny a mazací plán jsou součástí technické dokumentace tohoto výtahu. 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 montážní zkouškou provést seřízení všech montážních uzlů, technologických částí výtahu a promazání celého zařízení.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Zkouška před uvedením do provozu bude provedena podle ČSN EN 81-20,</w:t>
        <w:br w:type="textWrapping"/>
        <w:t xml:space="preserve">a ČSN 27 4002:2018 v platném znění.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9"/>
        </w:numPr>
        <w:spacing w:line="360" w:lineRule="auto"/>
        <w:ind w:left="709" w:hanging="283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Periodické prohlídky a zkoušky budou prováděny dle ČSN 27 4002:2018 a ČSN 27 4007:2021 v platném znění a jsou zpracovány v návodu k obsluze a údržbě.</w:t>
      </w:r>
    </w:p>
    <w:p w:rsidR="00000000" w:rsidDel="00000000" w:rsidP="00000000" w:rsidRDefault="00000000" w:rsidRPr="00000000" w14:paraId="0000010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418" w:right="851" w:header="720" w:footer="708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o Příkaský" w:id="0" w:date="2026-02-14T08:46:53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pridat proměnnou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center" w:leader="none" w:pos="4818"/>
        <w:tab w:val="right" w:leader="none" w:pos="9637"/>
      </w:tabs>
      <w:ind w:right="360"/>
      <w:jc w:val="center"/>
      <w:rPr>
        <w:rFonts w:ascii="Arial" w:cs="Arial" w:eastAsia="Arial" w:hAnsi="Arial"/>
        <w:b w:val="1"/>
        <w:bCs w:val="1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EL-VY spol. s.r.o.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Technická zpráva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32" w:hanging="432"/>
    </w:pPr>
    <w:rPr>
      <w:color w:val="00000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576" w:hanging="576"/>
    </w:pPr>
    <w:rPr>
      <w:color w:val="00000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720" w:hanging="720"/>
    </w:pPr>
    <w:rPr>
      <w:color w:val="00000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864" w:hanging="864"/>
    </w:pPr>
    <w:rPr>
      <w:color w:val="00000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008" w:hanging="1008"/>
    </w:pPr>
    <w:rPr>
      <w:color w:val="00000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152" w:hanging="1152"/>
    </w:pPr>
    <w:rPr>
      <w:color w:val="000000"/>
    </w:rPr>
  </w:style>
  <w:style w:type="paragraph" w:styleId="Title">
    <w:name w:val="Title"/>
    <w:basedOn w:val="Normal"/>
    <w:next w:val="Normal"/>
    <w:pPr>
      <w:tabs>
        <w:tab w:val="left" w:leader="none" w:pos="0"/>
        <w:tab w:val="right" w:leader="none" w:pos="8953"/>
      </w:tabs>
      <w:jc w:val="center"/>
    </w:pPr>
    <w:rPr>
      <w:rFonts w:ascii="Arial" w:cs="Arial" w:eastAsia="Arial" w:hAnsi="Arial"/>
      <w:sz w:val="24"/>
      <w:szCs w:val="24"/>
    </w:rPr>
  </w:style>
  <w:style w:type="paragraph" w:styleId="Nadpis7">
    <w:name w:val="heading 7"/>
    <w:qFormat w:val="1"/>
    <w:pPr>
      <w:numPr>
        <w:ilvl w:val="6"/>
        <w:numId w:val="1"/>
      </w:numPr>
      <w:suppressAutoHyphens w:val="1"/>
      <w:outlineLvl w:val="6"/>
    </w:pPr>
    <w:rPr>
      <w:lang w:eastAsia="ar-SA"/>
    </w:rPr>
  </w:style>
  <w:style w:type="paragraph" w:styleId="Nadpis8">
    <w:name w:val="heading 8"/>
    <w:qFormat w:val="1"/>
    <w:pPr>
      <w:numPr>
        <w:ilvl w:val="7"/>
        <w:numId w:val="1"/>
      </w:numPr>
      <w:suppressAutoHyphens w:val="1"/>
      <w:outlineLvl w:val="7"/>
    </w:pPr>
    <w:rPr>
      <w:lang w:eastAsia="ar-SA"/>
    </w:rPr>
  </w:style>
  <w:style w:type="paragraph" w:styleId="Nadpis9">
    <w:name w:val="heading 9"/>
    <w:qFormat w:val="1"/>
    <w:pPr>
      <w:numPr>
        <w:ilvl w:val="8"/>
        <w:numId w:val="1"/>
      </w:numPr>
      <w:suppressAutoHyphens w:val="1"/>
      <w:outlineLvl w:val="8"/>
    </w:pPr>
    <w:rPr>
      <w:lang w:eastAsia="ar-SA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WW8Num1z0" w:customStyle="1">
    <w:name w:val="WW8Num1z0"/>
    <w:rPr>
      <w:rFonts w:hint="default"/>
    </w:rPr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hint="default"/>
    </w:rPr>
  </w:style>
  <w:style w:type="character" w:styleId="WW8Num2z1" w:customStyle="1">
    <w:name w:val="WW8Num2z1"/>
  </w:style>
  <w:style w:type="character" w:styleId="WW8Num2z2" w:customStyle="1">
    <w:name w:val="WW8Num2z2"/>
  </w:style>
  <w:style w:type="character" w:styleId="WW8Num2z3" w:customStyle="1">
    <w:name w:val="WW8Num2z3"/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  <w:rPr>
      <w:rFonts w:ascii="Arial" w:cs="Arial" w:hAnsi="Arial" w:hint="default"/>
      <w:b w:val="1"/>
      <w:sz w:val="24"/>
      <w:lang w:val="cs-CZ"/>
    </w:rPr>
  </w:style>
  <w:style w:type="character" w:styleId="WW8Num3z1" w:customStyle="1">
    <w:name w:val="WW8Num3z1"/>
    <w:rPr>
      <w:rFonts w:ascii="Arial" w:cs="Arial" w:hAnsi="Arial"/>
      <w:sz w:val="22"/>
      <w:szCs w:val="22"/>
    </w:rPr>
  </w:style>
  <w:style w:type="character" w:styleId="WW8Num3z2" w:customStyle="1">
    <w:name w:val="WW8Num3z2"/>
  </w:style>
  <w:style w:type="character" w:styleId="WW8Num3z3" w:customStyle="1">
    <w:name w:val="WW8Num3z3"/>
  </w:style>
  <w:style w:type="character" w:styleId="WW8Num3z4" w:customStyle="1">
    <w:name w:val="WW8Num3z4"/>
  </w:style>
  <w:style w:type="character" w:styleId="WW8Num3z5" w:customStyle="1">
    <w:name w:val="WW8Num3z5"/>
  </w:style>
  <w:style w:type="character" w:styleId="WW8Num3z6" w:customStyle="1">
    <w:name w:val="WW8Num3z6"/>
  </w:style>
  <w:style w:type="character" w:styleId="WW8Num3z7" w:customStyle="1">
    <w:name w:val="WW8Num3z7"/>
  </w:style>
  <w:style w:type="character" w:styleId="WW8Num3z8" w:customStyle="1">
    <w:name w:val="WW8Num3z8"/>
  </w:style>
  <w:style w:type="character" w:styleId="WW8Num4z0" w:customStyle="1">
    <w:name w:val="WW8Num4z0"/>
    <w:rPr>
      <w:rFonts w:ascii="Arial" w:cs="Arial" w:hAnsi="Arial"/>
      <w:sz w:val="22"/>
    </w:rPr>
  </w:style>
  <w:style w:type="character" w:styleId="WW8Num5z0" w:customStyle="1">
    <w:name w:val="WW8Num5z0"/>
    <w:rPr>
      <w:rFonts w:ascii="Arial" w:cs="Arial" w:hAnsi="Arial" w:hint="default"/>
      <w:sz w:val="22"/>
    </w:rPr>
  </w:style>
  <w:style w:type="character" w:styleId="WW8Num6z0" w:customStyle="1">
    <w:name w:val="WW8Num6z0"/>
    <w:rPr>
      <w:rFonts w:ascii="Arial" w:cs="Arial" w:hAnsi="Arial" w:hint="default"/>
      <w:sz w:val="22"/>
    </w:rPr>
  </w:style>
  <w:style w:type="character" w:styleId="WW8Num7z0" w:customStyle="1">
    <w:name w:val="WW8Num7z0"/>
    <w:rPr>
      <w:rFonts w:ascii="Arial" w:cs="Arial" w:hAnsi="Arial" w:hint="default"/>
      <w:sz w:val="22"/>
    </w:rPr>
  </w:style>
  <w:style w:type="character" w:styleId="WW8Num8z0" w:customStyle="1">
    <w:name w:val="WW8Num8z0"/>
    <w:rPr>
      <w:rFonts w:ascii="Arial" w:cs="Arial" w:hAnsi="Arial" w:hint="default"/>
      <w:sz w:val="22"/>
    </w:rPr>
  </w:style>
  <w:style w:type="character" w:styleId="WW8Num9z0" w:customStyle="1">
    <w:name w:val="WW8Num9z0"/>
    <w:rPr>
      <w:rFonts w:cs="Arial" w:hint="default"/>
      <w:szCs w:val="22"/>
    </w:rPr>
  </w:style>
  <w:style w:type="character" w:styleId="WW8Num10z0" w:customStyle="1">
    <w:name w:val="WW8Num10z0"/>
    <w:rPr>
      <w:rFonts w:cs="Arial" w:hint="default"/>
    </w:rPr>
  </w:style>
  <w:style w:type="character" w:styleId="WW8Num11z0" w:customStyle="1">
    <w:name w:val="WW8Num11z0"/>
    <w:rPr>
      <w:rFonts w:cs="Arial" w:hint="default"/>
    </w:rPr>
  </w:style>
  <w:style w:type="character" w:styleId="WW8Num4z1" w:customStyle="1">
    <w:name w:val="WW8Num4z1"/>
    <w:rPr>
      <w:rFonts w:ascii="Courier New" w:cs="Courier New" w:hAnsi="Courier New" w:hint="default"/>
    </w:rPr>
  </w:style>
  <w:style w:type="character" w:styleId="WW8Num4z2" w:customStyle="1">
    <w:name w:val="WW8Num4z2"/>
    <w:rPr>
      <w:rFonts w:ascii="Wingdings" w:cs="Wingdings" w:hAnsi="Wingdings" w:hint="default"/>
    </w:rPr>
  </w:style>
  <w:style w:type="character" w:styleId="WW8Num5z1" w:customStyle="1">
    <w:name w:val="WW8Num5z1"/>
  </w:style>
  <w:style w:type="character" w:styleId="WW8Num5z2" w:customStyle="1">
    <w:name w:val="WW8Num5z2"/>
  </w:style>
  <w:style w:type="character" w:styleId="WW8Num6z1" w:customStyle="1">
    <w:name w:val="WW8Num6z1"/>
    <w:rPr>
      <w:rFonts w:ascii="Courier New" w:cs="Courier New" w:hAnsi="Courier New" w:hint="default"/>
    </w:rPr>
  </w:style>
  <w:style w:type="character" w:styleId="WW8Num6z2" w:customStyle="1">
    <w:name w:val="WW8Num6z2"/>
    <w:rPr>
      <w:rFonts w:ascii="Wingdings" w:cs="Wingdings" w:hAnsi="Wingdings" w:hint="default"/>
    </w:rPr>
  </w:style>
  <w:style w:type="character" w:styleId="WW8Num7z1" w:customStyle="1">
    <w:name w:val="WW8Num7z1"/>
    <w:rPr>
      <w:rFonts w:ascii="Courier New" w:cs="Courier New" w:hAnsi="Courier New" w:hint="default"/>
    </w:rPr>
  </w:style>
  <w:style w:type="character" w:styleId="WW8Num7z2" w:customStyle="1">
    <w:name w:val="WW8Num7z2"/>
    <w:rPr>
      <w:rFonts w:ascii="Wingdings" w:cs="Wingdings" w:hAnsi="Wingdings" w:hint="default"/>
    </w:rPr>
  </w:style>
  <w:style w:type="character" w:styleId="WW8Num8z1" w:customStyle="1">
    <w:name w:val="WW8Num8z1"/>
    <w:rPr>
      <w:rFonts w:ascii="Courier New" w:cs="Courier New" w:hAnsi="Courier New" w:hint="default"/>
    </w:rPr>
  </w:style>
  <w:style w:type="character" w:styleId="WW8Num8z2" w:customStyle="1">
    <w:name w:val="WW8Num8z2"/>
    <w:rPr>
      <w:rFonts w:ascii="Wingdings" w:cs="Wingdings" w:hAnsi="Wingdings" w:hint="default"/>
    </w:rPr>
  </w:style>
  <w:style w:type="character" w:styleId="WW8Num9z1" w:customStyle="1">
    <w:name w:val="WW8Num9z1"/>
    <w:rPr>
      <w:rFonts w:ascii="Courier New" w:cs="Courier New" w:hAnsi="Courier New" w:hint="default"/>
    </w:rPr>
  </w:style>
  <w:style w:type="character" w:styleId="WW8Num9z2" w:customStyle="1">
    <w:name w:val="WW8Num9z2"/>
    <w:rPr>
      <w:rFonts w:ascii="Wingdings" w:cs="Wingdings" w:hAnsi="Wingdings" w:hint="default"/>
    </w:rPr>
  </w:style>
  <w:style w:type="character" w:styleId="WW8Num10z1" w:customStyle="1">
    <w:name w:val="WW8Num10z1"/>
    <w:rPr>
      <w:rFonts w:ascii="Courier New" w:cs="Courier New" w:hAnsi="Courier New" w:hint="default"/>
    </w:rPr>
  </w:style>
  <w:style w:type="character" w:styleId="WW8Num10z2" w:customStyle="1">
    <w:name w:val="WW8Num10z2"/>
    <w:rPr>
      <w:rFonts w:ascii="Wingdings" w:cs="Wingdings" w:hAnsi="Wingdings" w:hint="default"/>
    </w:rPr>
  </w:style>
  <w:style w:type="character" w:styleId="WW8Num11z1" w:customStyle="1">
    <w:name w:val="WW8Num11z1"/>
    <w:rPr>
      <w:rFonts w:ascii="Courier New" w:cs="Courier New" w:hAnsi="Courier New" w:hint="default"/>
    </w:rPr>
  </w:style>
  <w:style w:type="character" w:styleId="WW8Num11z2" w:customStyle="1">
    <w:name w:val="WW8Num11z2"/>
    <w:rPr>
      <w:rFonts w:ascii="Wingdings" w:cs="Wingdings" w:hAnsi="Wingdings" w:hint="default"/>
    </w:rPr>
  </w:style>
  <w:style w:type="character" w:styleId="WW8Num11z3" w:customStyle="1">
    <w:name w:val="WW8Num11z3"/>
    <w:rPr>
      <w:rFonts w:ascii="Symbol" w:cs="Symbol" w:hAnsi="Symbol" w:hint="default"/>
    </w:rPr>
  </w:style>
  <w:style w:type="character" w:styleId="WW8Num12z0" w:customStyle="1">
    <w:name w:val="WW8Num12z0"/>
    <w:rPr>
      <w:rFonts w:hint="default"/>
    </w:rPr>
  </w:style>
  <w:style w:type="character" w:styleId="WW8Num12z1" w:customStyle="1">
    <w:name w:val="WW8Num12z1"/>
    <w:rPr>
      <w:rFonts w:ascii="Courier New" w:cs="Courier New" w:hAnsi="Courier New" w:hint="default"/>
    </w:rPr>
  </w:style>
  <w:style w:type="character" w:styleId="WW8Num12z2" w:customStyle="1">
    <w:name w:val="WW8Num12z2"/>
    <w:rPr>
      <w:rFonts w:ascii="Wingdings" w:cs="Wingdings" w:hAnsi="Wingdings" w:hint="default"/>
    </w:rPr>
  </w:style>
  <w:style w:type="character" w:styleId="WW8Num13z0" w:customStyle="1">
    <w:name w:val="WW8Num13z0"/>
    <w:rPr>
      <w:rFonts w:ascii="Times New Roman" w:cs="Times New Roman" w:hAnsi="Times New Roman" w:hint="default"/>
    </w:rPr>
  </w:style>
  <w:style w:type="character" w:styleId="WW8Num13z1" w:customStyle="1">
    <w:name w:val="WW8Num13z1"/>
    <w:rPr>
      <w:rFonts w:ascii="Courier New" w:cs="Courier New" w:hAnsi="Courier New" w:hint="default"/>
    </w:rPr>
  </w:style>
  <w:style w:type="character" w:styleId="WW8Num13z2" w:customStyle="1">
    <w:name w:val="WW8Num13z2"/>
    <w:rPr>
      <w:rFonts w:ascii="Wingdings" w:cs="Wingdings" w:hAnsi="Wingdings" w:hint="default"/>
    </w:rPr>
  </w:style>
  <w:style w:type="character" w:styleId="Standardnpsmoodstavce2" w:customStyle="1">
    <w:name w:val="Standardní písmo odstavce2"/>
  </w:style>
  <w:style w:type="character" w:styleId="WW8Num5z3" w:customStyle="1">
    <w:name w:val="WW8Num5z3"/>
  </w:style>
  <w:style w:type="character" w:styleId="WW8Num5z4" w:customStyle="1">
    <w:name w:val="WW8Num5z4"/>
  </w:style>
  <w:style w:type="character" w:styleId="WW8Num5z5" w:customStyle="1">
    <w:name w:val="WW8Num5z5"/>
  </w:style>
  <w:style w:type="character" w:styleId="WW8Num5z6" w:customStyle="1">
    <w:name w:val="WW8Num5z6"/>
  </w:style>
  <w:style w:type="character" w:styleId="WW8Num5z7" w:customStyle="1">
    <w:name w:val="WW8Num5z7"/>
  </w:style>
  <w:style w:type="character" w:styleId="WW8Num5z8" w:customStyle="1">
    <w:name w:val="WW8Num5z8"/>
  </w:style>
  <w:style w:type="character" w:styleId="WW8Num14z0" w:customStyle="1">
    <w:name w:val="WW8Num14z0"/>
    <w:rPr>
      <w:rFonts w:hint="default"/>
    </w:rPr>
  </w:style>
  <w:style w:type="character" w:styleId="WW8Num15z0" w:customStyle="1">
    <w:name w:val="WW8Num15z0"/>
    <w:rPr>
      <w:rFonts w:hint="default"/>
    </w:rPr>
  </w:style>
  <w:style w:type="character" w:styleId="WW8Num16z0" w:customStyle="1">
    <w:name w:val="WW8Num16z0"/>
    <w:rPr>
      <w:rFonts w:hint="default"/>
    </w:rPr>
  </w:style>
  <w:style w:type="character" w:styleId="WW8Num17z0" w:customStyle="1">
    <w:name w:val="WW8Num17z0"/>
    <w:rPr>
      <w:rFonts w:hint="default"/>
    </w:rPr>
  </w:style>
  <w:style w:type="character" w:styleId="WW8Num18z0" w:customStyle="1">
    <w:name w:val="WW8Num18z0"/>
    <w:rPr>
      <w:rFonts w:hint="default"/>
    </w:rPr>
  </w:style>
  <w:style w:type="character" w:styleId="WW8Num19z0" w:customStyle="1">
    <w:name w:val="WW8Num19z0"/>
    <w:rPr>
      <w:rFonts w:hint="default"/>
    </w:rPr>
  </w:style>
  <w:style w:type="character" w:styleId="WW8Num20z0" w:customStyle="1">
    <w:name w:val="WW8Num20z0"/>
    <w:rPr>
      <w:rFonts w:hint="default"/>
    </w:rPr>
  </w:style>
  <w:style w:type="character" w:styleId="WW8Num21z0" w:customStyle="1">
    <w:name w:val="WW8Num21z0"/>
    <w:rPr>
      <w:rFonts w:hint="default"/>
    </w:rPr>
  </w:style>
  <w:style w:type="character" w:styleId="WW8Num22z0" w:customStyle="1">
    <w:name w:val="WW8Num22z0"/>
    <w:rPr>
      <w:rFonts w:hint="default"/>
    </w:rPr>
  </w:style>
  <w:style w:type="character" w:styleId="WW8Num23z0" w:customStyle="1">
    <w:name w:val="WW8Num23z0"/>
    <w:rPr>
      <w:rFonts w:hint="default"/>
    </w:rPr>
  </w:style>
  <w:style w:type="character" w:styleId="WW8Num24z0" w:customStyle="1">
    <w:name w:val="WW8Num24z0"/>
    <w:rPr>
      <w:rFonts w:ascii="Times New Roman" w:cs="Times New Roman" w:hAnsi="Times New Roman" w:hint="default"/>
    </w:rPr>
  </w:style>
  <w:style w:type="character" w:styleId="WW8Num25z0" w:customStyle="1">
    <w:name w:val="WW8Num25z0"/>
    <w:rPr>
      <w:rFonts w:hint="default"/>
    </w:rPr>
  </w:style>
  <w:style w:type="character" w:styleId="WW8Num26z0" w:customStyle="1">
    <w:name w:val="WW8Num26z0"/>
    <w:rPr>
      <w:rFonts w:hint="default"/>
    </w:rPr>
  </w:style>
  <w:style w:type="character" w:styleId="WW8Num27z0" w:customStyle="1">
    <w:name w:val="WW8Num27z0"/>
    <w:rPr>
      <w:rFonts w:hint="default"/>
    </w:rPr>
  </w:style>
  <w:style w:type="character" w:styleId="WW8Num28z0" w:customStyle="1">
    <w:name w:val="WW8Num28z0"/>
    <w:rPr>
      <w:rFonts w:hint="default"/>
    </w:rPr>
  </w:style>
  <w:style w:type="character" w:styleId="WW8Num29z0" w:customStyle="1">
    <w:name w:val="WW8Num29z0"/>
    <w:rPr>
      <w:rFonts w:hint="default"/>
    </w:rPr>
  </w:style>
  <w:style w:type="character" w:styleId="WW8Num30z0" w:customStyle="1">
    <w:name w:val="WW8Num30z0"/>
    <w:rPr>
      <w:rFonts w:hint="default"/>
    </w:rPr>
  </w:style>
  <w:style w:type="character" w:styleId="WW8Num31z0" w:customStyle="1">
    <w:name w:val="WW8Num31z0"/>
    <w:rPr>
      <w:rFonts w:hint="default"/>
    </w:rPr>
  </w:style>
  <w:style w:type="character" w:styleId="WW8Num32z0" w:customStyle="1">
    <w:name w:val="WW8Num32z0"/>
    <w:rPr>
      <w:rFonts w:hint="default"/>
    </w:rPr>
  </w:style>
  <w:style w:type="character" w:styleId="WW8Num33z0" w:customStyle="1">
    <w:name w:val="WW8Num33z0"/>
    <w:rPr>
      <w:rFonts w:hint="default"/>
    </w:rPr>
  </w:style>
  <w:style w:type="character" w:styleId="WW8Num34z0" w:customStyle="1">
    <w:name w:val="WW8Num34z0"/>
    <w:rPr>
      <w:rFonts w:hint="default"/>
    </w:rPr>
  </w:style>
  <w:style w:type="character" w:styleId="WW8Num35z0" w:customStyle="1">
    <w:name w:val="WW8Num35z0"/>
    <w:rPr>
      <w:rFonts w:hint="default"/>
    </w:rPr>
  </w:style>
  <w:style w:type="character" w:styleId="WW8Num36z0" w:customStyle="1">
    <w:name w:val="WW8Num36z0"/>
    <w:rPr>
      <w:rFonts w:hint="default"/>
    </w:rPr>
  </w:style>
  <w:style w:type="character" w:styleId="WW8Num37z0" w:customStyle="1">
    <w:name w:val="WW8Num37z0"/>
    <w:rPr>
      <w:rFonts w:hint="default"/>
    </w:rPr>
  </w:style>
  <w:style w:type="character" w:styleId="WW8Num38z0" w:customStyle="1">
    <w:name w:val="WW8Num38z0"/>
    <w:rPr>
      <w:rFonts w:hint="default"/>
    </w:rPr>
  </w:style>
  <w:style w:type="character" w:styleId="WW8Num39z0" w:customStyle="1">
    <w:name w:val="WW8Num39z0"/>
    <w:rPr>
      <w:rFonts w:ascii="Arial" w:cs="Times New Roman" w:eastAsia="Times New Roman" w:hAnsi="Arial"/>
    </w:rPr>
  </w:style>
  <w:style w:type="character" w:styleId="WW8Num40z0" w:customStyle="1">
    <w:name w:val="WW8Num40z0"/>
    <w:rPr>
      <w:rFonts w:hint="default"/>
    </w:rPr>
  </w:style>
  <w:style w:type="character" w:styleId="WW8Num41z0" w:customStyle="1">
    <w:name w:val="WW8Num41z0"/>
    <w:rPr>
      <w:rFonts w:hint="default"/>
    </w:rPr>
  </w:style>
  <w:style w:type="character" w:styleId="WW8Num42z0" w:customStyle="1">
    <w:name w:val="WW8Num42z0"/>
    <w:rPr>
      <w:rFonts w:hint="default"/>
    </w:rPr>
  </w:style>
  <w:style w:type="character" w:styleId="Standardnpsmoodstavce1" w:customStyle="1">
    <w:name w:val="Standardní písmo odstavce1"/>
  </w:style>
  <w:style w:type="character" w:styleId="slostrnky">
    <w:name w:val="page number"/>
    <w:basedOn w:val="Standardnpsmoodstavce1"/>
  </w:style>
  <w:style w:type="character" w:styleId="TextbublinyChar" w:customStyle="1">
    <w:name w:val="Text bubliny Char"/>
    <w:rPr>
      <w:rFonts w:ascii="Tahoma" w:cs="Tahoma" w:hAnsi="Tahoma"/>
      <w:sz w:val="16"/>
      <w:szCs w:val="16"/>
      <w:lang w:val="cs-CZ"/>
    </w:rPr>
  </w:style>
  <w:style w:type="character" w:styleId="Symbolyproslovn" w:customStyle="1">
    <w:name w:val="Symboly pro číslování"/>
  </w:style>
  <w:style w:type="character" w:styleId="Hypertextovodkaz">
    <w:name w:val="Hyperlink"/>
    <w:rPr>
      <w:color w:val="000080"/>
      <w:u w:val="single"/>
    </w:rPr>
  </w:style>
  <w:style w:type="paragraph" w:styleId="Nadpis" w:customStyle="1">
    <w:name w:val="Nadpis"/>
    <w:next w:val="Zkladn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Zkladntext">
    <w:name w:val="Body Text"/>
    <w:pPr>
      <w:tabs>
        <w:tab w:val="left" w:pos="0"/>
        <w:tab w:val="right" w:pos="8953"/>
      </w:tabs>
      <w:jc w:val="both"/>
    </w:pPr>
    <w:rPr>
      <w:rFonts w:ascii="Arial" w:cs="Arial" w:hAnsi="Arial"/>
      <w:sz w:val="22"/>
    </w:rPr>
  </w:style>
  <w:style w:type="paragraph" w:styleId="Seznam">
    <w:name w:val="List"/>
    <w:basedOn w:val="Zkladntext"/>
    <w:rPr>
      <w:rFonts w:cs="Mangal"/>
    </w:rPr>
  </w:style>
  <w:style w:type="paragraph" w:styleId="Popisek" w:customStyle="1">
    <w:name w:val="Popisek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Rejstk" w:customStyle="1">
    <w:name w:val="Rejstřík"/>
    <w:pPr>
      <w:suppressLineNumbers w:val="1"/>
    </w:pPr>
    <w:rPr>
      <w:rFonts w:cs="Mangal"/>
    </w:rPr>
  </w:style>
  <w:style w:type="paragraph" w:styleId="Zkladntextodsazen">
    <w:name w:val="Body Text Indent"/>
    <w:pPr>
      <w:tabs>
        <w:tab w:val="left" w:pos="715"/>
        <w:tab w:val="right" w:pos="8445"/>
      </w:tabs>
      <w:ind w:left="715" w:hanging="706"/>
      <w:jc w:val="both"/>
    </w:pPr>
    <w:rPr>
      <w:rFonts w:ascii="Arial" w:cs="Arial" w:hAnsi="Arial"/>
      <w:sz w:val="22"/>
    </w:rPr>
  </w:style>
  <w:style w:type="paragraph" w:styleId="Zpat">
    <w:name w:val="footer"/>
    <w:pPr>
      <w:tabs>
        <w:tab w:val="center" w:pos="4536"/>
        <w:tab w:val="right" w:pos="9072"/>
      </w:tabs>
    </w:pPr>
  </w:style>
  <w:style w:type="paragraph" w:styleId="Zkladntext21" w:customStyle="1">
    <w:name w:val="Základní text 21"/>
    <w:pPr>
      <w:tabs>
        <w:tab w:val="left" w:pos="0"/>
        <w:tab w:val="left" w:pos="567"/>
        <w:tab w:val="right" w:pos="8953"/>
      </w:tabs>
      <w:spacing w:line="240" w:lineRule="atLeast"/>
      <w:jc w:val="both"/>
    </w:pPr>
    <w:rPr>
      <w:rFonts w:ascii="Arial" w:cs="Arial" w:hAnsi="Arial"/>
      <w:b w:val="1"/>
      <w:sz w:val="22"/>
    </w:rPr>
  </w:style>
  <w:style w:type="paragraph" w:styleId="Textbubliny">
    <w:name w:val="Balloon Text"/>
    <w:rPr>
      <w:rFonts w:ascii="Tahoma" w:cs="Tahoma" w:hAnsi="Tahoma"/>
      <w:sz w:val="16"/>
      <w:szCs w:val="16"/>
    </w:rPr>
  </w:style>
  <w:style w:type="paragraph" w:styleId="Obsahrmce" w:customStyle="1">
    <w:name w:val="Obsah rámce"/>
    <w:basedOn w:val="Zkladntext"/>
  </w:style>
  <w:style w:type="paragraph" w:styleId="Zhlav">
    <w:name w:val="header"/>
    <w:pPr>
      <w:suppressLineNumbers w:val="1"/>
      <w:tabs>
        <w:tab w:val="center" w:pos="4819"/>
        <w:tab w:val="right" w:pos="9638"/>
      </w:tabs>
    </w:pPr>
  </w:style>
  <w:style w:type="paragraph" w:styleId="Nadpisobsahu">
    <w:name w:val="TOC Heading"/>
    <w:basedOn w:val="Nadpis"/>
    <w:qFormat w:val="1"/>
    <w:pPr>
      <w:suppressLineNumbers w:val="1"/>
    </w:pPr>
    <w:rPr>
      <w:b w:val="1"/>
      <w:bCs w:val="1"/>
      <w:sz w:val="32"/>
      <w:szCs w:val="32"/>
    </w:rPr>
  </w:style>
  <w:style w:type="paragraph" w:styleId="Obsah1">
    <w:name w:val="toc 1"/>
    <w:basedOn w:val="Rejstk"/>
    <w:uiPriority w:val="39"/>
    <w:pPr>
      <w:tabs>
        <w:tab w:val="right" w:leader="dot" w:pos="9637"/>
      </w:tabs>
    </w:pPr>
  </w:style>
  <w:style w:type="paragraph" w:styleId="Obsah2">
    <w:name w:val="toc 2"/>
    <w:basedOn w:val="Rejstk"/>
    <w:uiPriority w:val="39"/>
    <w:pPr>
      <w:tabs>
        <w:tab w:val="right" w:leader="dot" w:pos="9354"/>
      </w:tabs>
      <w:ind w:left="283"/>
    </w:pPr>
  </w:style>
  <w:style w:type="paragraph" w:styleId="Nadpis10" w:customStyle="1">
    <w:name w:val="Nadpis 10"/>
    <w:basedOn w:val="Nadpis"/>
    <w:next w:val="Zkladntext"/>
    <w:pPr>
      <w:numPr>
        <w:numId w:val="2"/>
      </w:numPr>
    </w:pPr>
    <w:rPr>
      <w:b w:val="1"/>
      <w:bCs w:val="1"/>
      <w:sz w:val="21"/>
      <w:szCs w:val="21"/>
    </w:rPr>
  </w:style>
  <w:style w:type="paragraph" w:styleId="Obsah3">
    <w:name w:val="toc 3"/>
    <w:basedOn w:val="Rejstk"/>
    <w:pPr>
      <w:tabs>
        <w:tab w:val="right" w:leader="dot" w:pos="9071"/>
      </w:tabs>
      <w:ind w:left="566"/>
    </w:pPr>
  </w:style>
  <w:style w:type="paragraph" w:styleId="Obsah4">
    <w:name w:val="toc 4"/>
    <w:basedOn w:val="Rejstk"/>
    <w:pPr>
      <w:tabs>
        <w:tab w:val="right" w:leader="dot" w:pos="8789"/>
      </w:tabs>
      <w:ind w:left="849"/>
    </w:pPr>
  </w:style>
  <w:style w:type="paragraph" w:styleId="Obsah5">
    <w:name w:val="toc 5"/>
    <w:basedOn w:val="Rejstk"/>
    <w:pPr>
      <w:tabs>
        <w:tab w:val="right" w:leader="dot" w:pos="8506"/>
      </w:tabs>
      <w:ind w:left="1132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styleId="Obsah10" w:customStyle="1">
    <w:name w:val="Obsah 10"/>
    <w:basedOn w:val="Rejstk"/>
    <w:pPr>
      <w:tabs>
        <w:tab w:val="right" w:leader="dot" w:pos="7091"/>
      </w:tabs>
      <w:ind w:left="2547"/>
    </w:pPr>
  </w:style>
  <w:style w:type="paragraph" w:styleId="Obsahtabulky" w:customStyle="1">
    <w:name w:val="Obsah tabulky"/>
    <w:pPr>
      <w:suppressLineNumbers w:val="1"/>
    </w:pPr>
  </w:style>
  <w:style w:type="paragraph" w:styleId="Nadpistabulky" w:customStyle="1">
    <w:name w:val="Nadpis tabulky"/>
    <w:basedOn w:val="Obsahtabulky"/>
    <w:pPr>
      <w:jc w:val="center"/>
    </w:pPr>
    <w:rPr>
      <w:b w:val="1"/>
      <w:bCs w:val="1"/>
    </w:rPr>
  </w:style>
  <w:style w:type="table" w:styleId="Mkatabulky">
    <w:name w:val="Table Grid"/>
    <w:basedOn w:val="Normlntabulka"/>
    <w:uiPriority w:val="39"/>
    <w:rsid w:val="00C8053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Zkltext2" w:customStyle="1">
    <w:name w:val="Zákl. text 2"/>
    <w:rsid w:val="00C247CA"/>
    <w:pPr>
      <w:keepLines w:val="1"/>
      <w:widowControl w:val="0"/>
      <w:ind w:left="1418"/>
    </w:pPr>
    <w:rPr>
      <w:rFonts w:ascii="Arial" w:hAnsi="Arial"/>
      <w:snapToGrid w:val="0"/>
      <w:color w:val="000000"/>
    </w:rPr>
  </w:style>
  <w:style w:type="character" w:styleId="spelle" w:customStyle="1">
    <w:name w:val="spelle"/>
    <w:rsid w:val="00C247CA"/>
  </w:style>
  <w:style w:type="paragraph" w:styleId="Standard" w:customStyle="1">
    <w:name w:val="Standard"/>
    <w:rsid w:val="003C0FE9"/>
    <w:pPr>
      <w:suppressAutoHyphens w:val="1"/>
      <w:autoSpaceDN w:val="0"/>
      <w:textAlignment w:val="baseline"/>
    </w:pPr>
    <w:rPr>
      <w:kern w:val="3"/>
      <w:lang w:eastAsia="zh-CN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comments" Target="comments.xml"/><Relationship Id="rId4" Type="http://schemas.openxmlformats.org/officeDocument/2006/relationships/settings" Target="settings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microsoft.com/office/2011/relationships/commentsExtended" Target="commentsExtended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WLPlXz+UYcZuTqBl8HR1xBfeg==">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2025-10-02T09:20:00Z</dcterms:created>
  <dc:creator>Dolezal</dc:creator>
</cp:coreProperties>
</file>