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784B3" w14:textId="77777777" w:rsidR="00A97F42" w:rsidRPr="00D7531A" w:rsidRDefault="009404BA" w:rsidP="009404BA">
      <w:pPr>
        <w:tabs>
          <w:tab w:val="left" w:pos="1762"/>
        </w:tabs>
      </w:pPr>
      <w:bookmarkStart w:id="0" w:name="_Toc345067495"/>
      <w:r w:rsidRPr="00D7531A">
        <w:rPr>
          <w:noProof/>
          <w:lang w:val="uk-UA" w:eastAsia="uk-UA"/>
        </w:rPr>
        <w:drawing>
          <wp:inline distT="0" distB="0" distL="0" distR="0" wp14:anchorId="6294F92A" wp14:editId="0827BE4A">
            <wp:extent cx="3949353" cy="435935"/>
            <wp:effectExtent l="0" t="0" r="0" b="2540"/>
            <wp:docPr id="5"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7233" cy="451154"/>
                    </a:xfrm>
                    <a:prstGeom prst="rect">
                      <a:avLst/>
                    </a:prstGeom>
                  </pic:spPr>
                </pic:pic>
              </a:graphicData>
            </a:graphic>
          </wp:inline>
        </w:drawing>
      </w:r>
    </w:p>
    <w:p w14:paraId="106ABA0C" w14:textId="77777777" w:rsidR="00A97F42" w:rsidRPr="00D7531A" w:rsidRDefault="00A97F42" w:rsidP="00A97F42">
      <w:pPr>
        <w:tabs>
          <w:tab w:val="left" w:pos="1762"/>
        </w:tabs>
      </w:pPr>
    </w:p>
    <w:p w14:paraId="69700AF1" w14:textId="77777777" w:rsidR="00A97F42" w:rsidRPr="00D7531A" w:rsidRDefault="00A97F42" w:rsidP="00A97F42">
      <w:pPr>
        <w:tabs>
          <w:tab w:val="left" w:pos="1762"/>
        </w:tabs>
      </w:pPr>
    </w:p>
    <w:p w14:paraId="0A609C51" w14:textId="77777777" w:rsidR="00A97F42" w:rsidRPr="00D7531A" w:rsidRDefault="00A97F42" w:rsidP="00A97F42">
      <w:pPr>
        <w:tabs>
          <w:tab w:val="left" w:pos="1762"/>
        </w:tabs>
      </w:pPr>
    </w:p>
    <w:p w14:paraId="37597DF5" w14:textId="77777777" w:rsidR="00A97F42" w:rsidRPr="00D7531A" w:rsidRDefault="00A97F42" w:rsidP="00A97F42">
      <w:pPr>
        <w:tabs>
          <w:tab w:val="left" w:pos="1762"/>
        </w:tabs>
      </w:pPr>
    </w:p>
    <w:p w14:paraId="7F41F21F" w14:textId="77777777" w:rsidR="00A97F42" w:rsidRPr="00D7531A" w:rsidRDefault="00A97F42" w:rsidP="00A97F42">
      <w:pPr>
        <w:tabs>
          <w:tab w:val="left" w:pos="1762"/>
        </w:tabs>
      </w:pPr>
    </w:p>
    <w:p w14:paraId="1FF29277" w14:textId="77777777" w:rsidR="00A97F42" w:rsidRPr="00D7531A" w:rsidRDefault="00A97F42" w:rsidP="00A97F42">
      <w:pPr>
        <w:tabs>
          <w:tab w:val="left" w:pos="1762"/>
        </w:tabs>
      </w:pPr>
    </w:p>
    <w:p w14:paraId="37E994CE" w14:textId="77777777" w:rsidR="00A97F42" w:rsidRPr="00D7531A" w:rsidRDefault="00A97F42" w:rsidP="00A97F42">
      <w:pPr>
        <w:tabs>
          <w:tab w:val="left" w:pos="1762"/>
        </w:tabs>
      </w:pPr>
    </w:p>
    <w:p w14:paraId="16FE77CF" w14:textId="77777777" w:rsidR="00A97F42" w:rsidRPr="00D7531A" w:rsidRDefault="00A97F42" w:rsidP="00A97F42">
      <w:pPr>
        <w:tabs>
          <w:tab w:val="left" w:pos="1762"/>
        </w:tabs>
      </w:pPr>
    </w:p>
    <w:sdt>
      <w:sdtPr>
        <w:alias w:val="Title"/>
        <w:id w:val="116424667"/>
        <w:dataBinding w:prefixMappings="xmlns:ns0='http://schemas.openxmlformats.org/package/2006/metadata/core-properties' xmlns:ns1='http://purl.org/dc/elements/1.1/'" w:xpath="/ns0:coreProperties[1]/ns1:title[1]" w:storeItemID="{6C3C8BC8-F283-45AE-878A-BAB7291924A1}"/>
        <w:text/>
      </w:sdtPr>
      <w:sdtEndPr/>
      <w:sdtContent>
        <w:p w14:paraId="2BE246D0" w14:textId="051C2166" w:rsidR="00A97F42" w:rsidRPr="00D7531A" w:rsidRDefault="00342B81" w:rsidP="00CE7BAB">
          <w:pPr>
            <w:pStyle w:val="Titlepage1"/>
          </w:pPr>
          <w:proofErr w:type="spellStart"/>
          <w:r w:rsidRPr="00CE7BAB">
            <w:t>CalcPartner</w:t>
          </w:r>
          <w:proofErr w:type="spellEnd"/>
        </w:p>
      </w:sdtContent>
    </w:sdt>
    <w:p w14:paraId="22C375CD" w14:textId="77777777" w:rsidR="00A97F42" w:rsidRPr="00D7531A" w:rsidRDefault="00A97F42" w:rsidP="00A97F42">
      <w:pPr>
        <w:tabs>
          <w:tab w:val="left" w:pos="1762"/>
        </w:tabs>
      </w:pPr>
    </w:p>
    <w:sdt>
      <w:sdtPr>
        <w:id w:val="1833647067"/>
        <w:docPartObj>
          <w:docPartGallery w:val="Cover Pages"/>
          <w:docPartUnique/>
        </w:docPartObj>
      </w:sdtPr>
      <w:sdtEndPr/>
      <w:sdtContent>
        <w:p w14:paraId="3F8B03F4" w14:textId="4A6E454B" w:rsidR="00A97F42" w:rsidRPr="00D7531A" w:rsidRDefault="00644449" w:rsidP="00644449">
          <w:pPr>
            <w:tabs>
              <w:tab w:val="right" w:pos="9973"/>
            </w:tabs>
            <w:spacing w:after="200" w:line="276" w:lineRule="auto"/>
          </w:pPr>
          <w:r w:rsidRPr="00D7531A">
            <w:tab/>
          </w:r>
        </w:p>
        <w:p w14:paraId="5323703F" w14:textId="77777777" w:rsidR="00A97F42" w:rsidRPr="00D7531A" w:rsidRDefault="00A97F42" w:rsidP="00A97F42">
          <w:pPr>
            <w:spacing w:after="200" w:line="276" w:lineRule="auto"/>
          </w:pPr>
        </w:p>
        <w:sdt>
          <w:sdtPr>
            <w:alias w:val="Subtitle"/>
            <w:id w:val="1628890334"/>
            <w:dataBinding w:prefixMappings="xmlns:ns0='http://schemas.openxmlformats.org/package/2006/metadata/core-properties' xmlns:ns1='http://purl.org/dc/elements/1.1/'" w:xpath="/ns0:coreProperties[1]/ns1:subject[1]" w:storeItemID="{6C3C8BC8-F283-45AE-878A-BAB7291924A1}"/>
            <w:text/>
          </w:sdtPr>
          <w:sdtEndPr/>
          <w:sdtContent>
            <w:p w14:paraId="1195FB1B" w14:textId="3F75D715" w:rsidR="00A97F42" w:rsidRPr="00D7531A" w:rsidRDefault="00195AE6" w:rsidP="00CE7BAB">
              <w:pPr>
                <w:pStyle w:val="Titlepage2"/>
              </w:pPr>
              <w:r w:rsidRPr="00CE7BAB">
                <w:t>Functional Overview</w:t>
              </w:r>
              <w:r w:rsidR="00CE7BAB">
                <w:t xml:space="preserve"> v1.0</w:t>
              </w:r>
            </w:p>
          </w:sdtContent>
        </w:sdt>
        <w:sdt>
          <w:sdtPr>
            <w:alias w:val="Company"/>
            <w:id w:val="2018180652"/>
            <w:dataBinding w:prefixMappings="xmlns:ns0='http://schemas.openxmlformats.org/officeDocument/2006/extended-properties'" w:xpath="/ns0:Properties[1]/ns0:Company[1]" w:storeItemID="{6668398D-A668-4E3E-A5EB-62B293D839F1}"/>
            <w:text/>
          </w:sdtPr>
          <w:sdtEndPr/>
          <w:sdtContent>
            <w:p w14:paraId="41CEE299" w14:textId="373BC8B3" w:rsidR="00A97F42" w:rsidRPr="00D7531A" w:rsidRDefault="00434494" w:rsidP="008E2DD0">
              <w:pPr>
                <w:pStyle w:val="Titlepage3"/>
              </w:pPr>
              <w:r w:rsidRPr="00434494">
                <w:t>CIS - Deloitte</w:t>
              </w:r>
            </w:p>
          </w:sdtContent>
        </w:sdt>
        <w:p w14:paraId="38D7CC5E" w14:textId="77777777" w:rsidR="00A97F42" w:rsidRPr="00D7531A" w:rsidRDefault="00A97F42" w:rsidP="00A97F42">
          <w:pPr>
            <w:spacing w:after="200" w:line="276" w:lineRule="auto"/>
          </w:pPr>
        </w:p>
        <w:p w14:paraId="49C8023F" w14:textId="77777777" w:rsidR="00A97F42" w:rsidRPr="00D7531A" w:rsidRDefault="00A97F42" w:rsidP="00A97F42">
          <w:pPr>
            <w:spacing w:after="200" w:line="276" w:lineRule="auto"/>
          </w:pPr>
        </w:p>
        <w:p w14:paraId="190B0B66" w14:textId="30742999" w:rsidR="00176090" w:rsidRPr="00D7531A" w:rsidRDefault="00176090" w:rsidP="00A97F42">
          <w:pPr>
            <w:spacing w:after="200" w:line="276" w:lineRule="auto"/>
          </w:pPr>
          <w:r w:rsidRPr="00D7531A">
            <w:br w:type="page"/>
          </w:r>
        </w:p>
      </w:sdtContent>
    </w:sdt>
    <w:sdt>
      <w:sdtPr>
        <w:rPr>
          <w:rFonts w:ascii="Segoe UI" w:eastAsiaTheme="minorEastAsia" w:hAnsi="Segoe UI" w:cstheme="minorBidi"/>
          <w:b/>
          <w:bCs w:val="0"/>
          <w:color w:val="auto"/>
          <w:sz w:val="20"/>
          <w:szCs w:val="22"/>
        </w:rPr>
        <w:id w:val="-1945990908"/>
        <w:docPartObj>
          <w:docPartGallery w:val="Table of Contents"/>
          <w:docPartUnique/>
        </w:docPartObj>
      </w:sdtPr>
      <w:sdtEndPr>
        <w:rPr>
          <w:b w:val="0"/>
          <w:noProof/>
        </w:rPr>
      </w:sdtEndPr>
      <w:sdtContent>
        <w:p w14:paraId="57C0F9BB" w14:textId="77777777" w:rsidR="0079433B" w:rsidRPr="00D7531A" w:rsidRDefault="0079433B" w:rsidP="00C70BF7">
          <w:pPr>
            <w:pStyle w:val="TOCHeading"/>
          </w:pPr>
          <w:r w:rsidRPr="00D7531A">
            <w:t>Contents</w:t>
          </w:r>
        </w:p>
        <w:p w14:paraId="1B66FEF3" w14:textId="77777777" w:rsidR="00285244" w:rsidRDefault="00F41B0E">
          <w:pPr>
            <w:pStyle w:val="TOC1"/>
            <w:rPr>
              <w:rFonts w:asciiTheme="minorHAnsi" w:hAnsiTheme="minorHAnsi"/>
              <w:color w:val="auto"/>
              <w:sz w:val="22"/>
              <w:lang w:val="uk-UA" w:eastAsia="uk-UA"/>
            </w:rPr>
          </w:pPr>
          <w:r w:rsidRPr="00D7531A">
            <w:fldChar w:fldCharType="begin"/>
          </w:r>
          <w:r w:rsidR="0079433B" w:rsidRPr="00D7531A">
            <w:instrText xml:space="preserve"> TOC \o "1-3" \h \z \u </w:instrText>
          </w:r>
          <w:r w:rsidRPr="00D7531A">
            <w:fldChar w:fldCharType="separate"/>
          </w:r>
          <w:hyperlink w:anchor="_Toc425334241" w:history="1">
            <w:r w:rsidR="00285244" w:rsidRPr="00107C9F">
              <w:rPr>
                <w:rStyle w:val="Hyperlink"/>
              </w:rPr>
              <w:t>Overview</w:t>
            </w:r>
            <w:r w:rsidR="00285244">
              <w:rPr>
                <w:webHidden/>
              </w:rPr>
              <w:tab/>
            </w:r>
            <w:r w:rsidR="00285244">
              <w:rPr>
                <w:webHidden/>
              </w:rPr>
              <w:fldChar w:fldCharType="begin"/>
            </w:r>
            <w:r w:rsidR="00285244">
              <w:rPr>
                <w:webHidden/>
              </w:rPr>
              <w:instrText xml:space="preserve"> PAGEREF _Toc425334241 \h </w:instrText>
            </w:r>
            <w:r w:rsidR="00285244">
              <w:rPr>
                <w:webHidden/>
              </w:rPr>
            </w:r>
            <w:r w:rsidR="00285244">
              <w:rPr>
                <w:webHidden/>
              </w:rPr>
              <w:fldChar w:fldCharType="separate"/>
            </w:r>
            <w:r w:rsidR="00285244">
              <w:rPr>
                <w:webHidden/>
              </w:rPr>
              <w:t>3</w:t>
            </w:r>
            <w:r w:rsidR="00285244">
              <w:rPr>
                <w:webHidden/>
              </w:rPr>
              <w:fldChar w:fldCharType="end"/>
            </w:r>
          </w:hyperlink>
        </w:p>
        <w:p w14:paraId="594F615B" w14:textId="77777777" w:rsidR="00285244" w:rsidRDefault="0052607A">
          <w:pPr>
            <w:pStyle w:val="TOC2"/>
            <w:rPr>
              <w:rFonts w:asciiTheme="minorHAnsi" w:hAnsiTheme="minorHAnsi"/>
              <w:sz w:val="22"/>
              <w:lang w:val="uk-UA" w:eastAsia="uk-UA"/>
            </w:rPr>
          </w:pPr>
          <w:hyperlink w:anchor="_Toc425334242" w:history="1">
            <w:r w:rsidR="00285244" w:rsidRPr="00107C9F">
              <w:rPr>
                <w:rStyle w:val="Hyperlink"/>
              </w:rPr>
              <w:t>Terminology</w:t>
            </w:r>
            <w:r w:rsidR="00285244">
              <w:rPr>
                <w:webHidden/>
              </w:rPr>
              <w:tab/>
            </w:r>
            <w:r w:rsidR="00285244">
              <w:rPr>
                <w:webHidden/>
              </w:rPr>
              <w:fldChar w:fldCharType="begin"/>
            </w:r>
            <w:r w:rsidR="00285244">
              <w:rPr>
                <w:webHidden/>
              </w:rPr>
              <w:instrText xml:space="preserve"> PAGEREF _Toc425334242 \h </w:instrText>
            </w:r>
            <w:r w:rsidR="00285244">
              <w:rPr>
                <w:webHidden/>
              </w:rPr>
            </w:r>
            <w:r w:rsidR="00285244">
              <w:rPr>
                <w:webHidden/>
              </w:rPr>
              <w:fldChar w:fldCharType="separate"/>
            </w:r>
            <w:r w:rsidR="00285244">
              <w:rPr>
                <w:webHidden/>
              </w:rPr>
              <w:t>3</w:t>
            </w:r>
            <w:r w:rsidR="00285244">
              <w:rPr>
                <w:webHidden/>
              </w:rPr>
              <w:fldChar w:fldCharType="end"/>
            </w:r>
          </w:hyperlink>
        </w:p>
        <w:p w14:paraId="5556B8EC" w14:textId="77777777" w:rsidR="00285244" w:rsidRDefault="0052607A">
          <w:pPr>
            <w:pStyle w:val="TOC2"/>
            <w:rPr>
              <w:rFonts w:asciiTheme="minorHAnsi" w:hAnsiTheme="minorHAnsi"/>
              <w:sz w:val="22"/>
              <w:lang w:val="uk-UA" w:eastAsia="uk-UA"/>
            </w:rPr>
          </w:pPr>
          <w:hyperlink w:anchor="_Toc425334243" w:history="1">
            <w:r w:rsidR="00285244" w:rsidRPr="00107C9F">
              <w:rPr>
                <w:rStyle w:val="Hyperlink"/>
              </w:rPr>
              <w:t>CalcPartner User Roles</w:t>
            </w:r>
            <w:r w:rsidR="00285244">
              <w:rPr>
                <w:webHidden/>
              </w:rPr>
              <w:tab/>
            </w:r>
            <w:r w:rsidR="00285244">
              <w:rPr>
                <w:webHidden/>
              </w:rPr>
              <w:fldChar w:fldCharType="begin"/>
            </w:r>
            <w:r w:rsidR="00285244">
              <w:rPr>
                <w:webHidden/>
              </w:rPr>
              <w:instrText xml:space="preserve"> PAGEREF _Toc425334243 \h </w:instrText>
            </w:r>
            <w:r w:rsidR="00285244">
              <w:rPr>
                <w:webHidden/>
              </w:rPr>
            </w:r>
            <w:r w:rsidR="00285244">
              <w:rPr>
                <w:webHidden/>
              </w:rPr>
              <w:fldChar w:fldCharType="separate"/>
            </w:r>
            <w:r w:rsidR="00285244">
              <w:rPr>
                <w:webHidden/>
              </w:rPr>
              <w:t>6</w:t>
            </w:r>
            <w:r w:rsidR="00285244">
              <w:rPr>
                <w:webHidden/>
              </w:rPr>
              <w:fldChar w:fldCharType="end"/>
            </w:r>
          </w:hyperlink>
        </w:p>
        <w:p w14:paraId="7B011FE8" w14:textId="77777777" w:rsidR="00285244" w:rsidRDefault="0052607A">
          <w:pPr>
            <w:pStyle w:val="TOC1"/>
            <w:rPr>
              <w:rFonts w:asciiTheme="minorHAnsi" w:hAnsiTheme="minorHAnsi"/>
              <w:color w:val="auto"/>
              <w:sz w:val="22"/>
              <w:lang w:val="uk-UA" w:eastAsia="uk-UA"/>
            </w:rPr>
          </w:pPr>
          <w:hyperlink w:anchor="_Toc425334244" w:history="1">
            <w:r w:rsidR="00285244" w:rsidRPr="00107C9F">
              <w:rPr>
                <w:rStyle w:val="Hyperlink"/>
              </w:rPr>
              <w:t>User Interface</w:t>
            </w:r>
            <w:r w:rsidR="00285244">
              <w:rPr>
                <w:webHidden/>
              </w:rPr>
              <w:tab/>
            </w:r>
            <w:r w:rsidR="00285244">
              <w:rPr>
                <w:webHidden/>
              </w:rPr>
              <w:fldChar w:fldCharType="begin"/>
            </w:r>
            <w:r w:rsidR="00285244">
              <w:rPr>
                <w:webHidden/>
              </w:rPr>
              <w:instrText xml:space="preserve"> PAGEREF _Toc425334244 \h </w:instrText>
            </w:r>
            <w:r w:rsidR="00285244">
              <w:rPr>
                <w:webHidden/>
              </w:rPr>
            </w:r>
            <w:r w:rsidR="00285244">
              <w:rPr>
                <w:webHidden/>
              </w:rPr>
              <w:fldChar w:fldCharType="separate"/>
            </w:r>
            <w:r w:rsidR="00285244">
              <w:rPr>
                <w:webHidden/>
              </w:rPr>
              <w:t>6</w:t>
            </w:r>
            <w:r w:rsidR="00285244">
              <w:rPr>
                <w:webHidden/>
              </w:rPr>
              <w:fldChar w:fldCharType="end"/>
            </w:r>
          </w:hyperlink>
        </w:p>
        <w:p w14:paraId="7531EFE1" w14:textId="77777777" w:rsidR="00285244" w:rsidRDefault="0052607A">
          <w:pPr>
            <w:pStyle w:val="TOC1"/>
            <w:rPr>
              <w:rFonts w:asciiTheme="minorHAnsi" w:hAnsiTheme="minorHAnsi"/>
              <w:color w:val="auto"/>
              <w:sz w:val="22"/>
              <w:lang w:val="uk-UA" w:eastAsia="uk-UA"/>
            </w:rPr>
          </w:pPr>
          <w:hyperlink w:anchor="_Toc425334245" w:history="1">
            <w:r w:rsidR="00285244" w:rsidRPr="00107C9F">
              <w:rPr>
                <w:rStyle w:val="Hyperlink"/>
              </w:rPr>
              <w:t>Workflow</w:t>
            </w:r>
            <w:r w:rsidR="00285244">
              <w:rPr>
                <w:webHidden/>
              </w:rPr>
              <w:tab/>
            </w:r>
            <w:r w:rsidR="00285244">
              <w:rPr>
                <w:webHidden/>
              </w:rPr>
              <w:fldChar w:fldCharType="begin"/>
            </w:r>
            <w:r w:rsidR="00285244">
              <w:rPr>
                <w:webHidden/>
              </w:rPr>
              <w:instrText xml:space="preserve"> PAGEREF _Toc425334245 \h </w:instrText>
            </w:r>
            <w:r w:rsidR="00285244">
              <w:rPr>
                <w:webHidden/>
              </w:rPr>
            </w:r>
            <w:r w:rsidR="00285244">
              <w:rPr>
                <w:webHidden/>
              </w:rPr>
              <w:fldChar w:fldCharType="separate"/>
            </w:r>
            <w:r w:rsidR="00285244">
              <w:rPr>
                <w:webHidden/>
              </w:rPr>
              <w:t>7</w:t>
            </w:r>
            <w:r w:rsidR="00285244">
              <w:rPr>
                <w:webHidden/>
              </w:rPr>
              <w:fldChar w:fldCharType="end"/>
            </w:r>
          </w:hyperlink>
        </w:p>
        <w:p w14:paraId="17CC7A76" w14:textId="77777777" w:rsidR="00285244" w:rsidRDefault="0052607A">
          <w:pPr>
            <w:pStyle w:val="TOC2"/>
            <w:rPr>
              <w:rFonts w:asciiTheme="minorHAnsi" w:hAnsiTheme="minorHAnsi"/>
              <w:sz w:val="22"/>
              <w:lang w:val="uk-UA" w:eastAsia="uk-UA"/>
            </w:rPr>
          </w:pPr>
          <w:hyperlink w:anchor="_Toc425334246" w:history="1">
            <w:r w:rsidR="00285244" w:rsidRPr="00107C9F">
              <w:rPr>
                <w:rStyle w:val="Hyperlink"/>
              </w:rPr>
              <w:t>Data Format</w:t>
            </w:r>
            <w:r w:rsidR="00285244">
              <w:rPr>
                <w:webHidden/>
              </w:rPr>
              <w:tab/>
            </w:r>
            <w:r w:rsidR="00285244">
              <w:rPr>
                <w:webHidden/>
              </w:rPr>
              <w:fldChar w:fldCharType="begin"/>
            </w:r>
            <w:r w:rsidR="00285244">
              <w:rPr>
                <w:webHidden/>
              </w:rPr>
              <w:instrText xml:space="preserve"> PAGEREF _Toc425334246 \h </w:instrText>
            </w:r>
            <w:r w:rsidR="00285244">
              <w:rPr>
                <w:webHidden/>
              </w:rPr>
            </w:r>
            <w:r w:rsidR="00285244">
              <w:rPr>
                <w:webHidden/>
              </w:rPr>
              <w:fldChar w:fldCharType="separate"/>
            </w:r>
            <w:r w:rsidR="00285244">
              <w:rPr>
                <w:webHidden/>
              </w:rPr>
              <w:t>7</w:t>
            </w:r>
            <w:r w:rsidR="00285244">
              <w:rPr>
                <w:webHidden/>
              </w:rPr>
              <w:fldChar w:fldCharType="end"/>
            </w:r>
          </w:hyperlink>
        </w:p>
        <w:p w14:paraId="1A82ADC0" w14:textId="77777777" w:rsidR="00285244" w:rsidRDefault="0052607A">
          <w:pPr>
            <w:pStyle w:val="TOC2"/>
            <w:rPr>
              <w:rFonts w:asciiTheme="minorHAnsi" w:hAnsiTheme="minorHAnsi"/>
              <w:sz w:val="22"/>
              <w:lang w:val="uk-UA" w:eastAsia="uk-UA"/>
            </w:rPr>
          </w:pPr>
          <w:hyperlink w:anchor="_Toc425334247" w:history="1">
            <w:r w:rsidR="00285244" w:rsidRPr="00107C9F">
              <w:rPr>
                <w:rStyle w:val="Hyperlink"/>
              </w:rPr>
              <w:t>Data Loading</w:t>
            </w:r>
            <w:r w:rsidR="00285244">
              <w:rPr>
                <w:webHidden/>
              </w:rPr>
              <w:tab/>
            </w:r>
            <w:r w:rsidR="00285244">
              <w:rPr>
                <w:webHidden/>
              </w:rPr>
              <w:fldChar w:fldCharType="begin"/>
            </w:r>
            <w:r w:rsidR="00285244">
              <w:rPr>
                <w:webHidden/>
              </w:rPr>
              <w:instrText xml:space="preserve"> PAGEREF _Toc425334247 \h </w:instrText>
            </w:r>
            <w:r w:rsidR="00285244">
              <w:rPr>
                <w:webHidden/>
              </w:rPr>
            </w:r>
            <w:r w:rsidR="00285244">
              <w:rPr>
                <w:webHidden/>
              </w:rPr>
              <w:fldChar w:fldCharType="separate"/>
            </w:r>
            <w:r w:rsidR="00285244">
              <w:rPr>
                <w:webHidden/>
              </w:rPr>
              <w:t>8</w:t>
            </w:r>
            <w:r w:rsidR="00285244">
              <w:rPr>
                <w:webHidden/>
              </w:rPr>
              <w:fldChar w:fldCharType="end"/>
            </w:r>
          </w:hyperlink>
        </w:p>
        <w:p w14:paraId="22507106" w14:textId="77777777" w:rsidR="00285244" w:rsidRDefault="0052607A">
          <w:pPr>
            <w:pStyle w:val="TOC2"/>
            <w:rPr>
              <w:rFonts w:asciiTheme="minorHAnsi" w:hAnsiTheme="minorHAnsi"/>
              <w:sz w:val="22"/>
              <w:lang w:val="uk-UA" w:eastAsia="uk-UA"/>
            </w:rPr>
          </w:pPr>
          <w:hyperlink w:anchor="_Toc425334248" w:history="1">
            <w:r w:rsidR="00285244" w:rsidRPr="00107C9F">
              <w:rPr>
                <w:rStyle w:val="Hyperlink"/>
              </w:rPr>
              <w:t>Run As Date concept</w:t>
            </w:r>
            <w:r w:rsidR="00285244">
              <w:rPr>
                <w:webHidden/>
              </w:rPr>
              <w:tab/>
            </w:r>
            <w:r w:rsidR="00285244">
              <w:rPr>
                <w:webHidden/>
              </w:rPr>
              <w:fldChar w:fldCharType="begin"/>
            </w:r>
            <w:r w:rsidR="00285244">
              <w:rPr>
                <w:webHidden/>
              </w:rPr>
              <w:instrText xml:space="preserve"> PAGEREF _Toc425334248 \h </w:instrText>
            </w:r>
            <w:r w:rsidR="00285244">
              <w:rPr>
                <w:webHidden/>
              </w:rPr>
            </w:r>
            <w:r w:rsidR="00285244">
              <w:rPr>
                <w:webHidden/>
              </w:rPr>
              <w:fldChar w:fldCharType="separate"/>
            </w:r>
            <w:r w:rsidR="00285244">
              <w:rPr>
                <w:webHidden/>
              </w:rPr>
              <w:t>10</w:t>
            </w:r>
            <w:r w:rsidR="00285244">
              <w:rPr>
                <w:webHidden/>
              </w:rPr>
              <w:fldChar w:fldCharType="end"/>
            </w:r>
          </w:hyperlink>
        </w:p>
        <w:p w14:paraId="030CB798" w14:textId="77777777" w:rsidR="00285244" w:rsidRDefault="0052607A">
          <w:pPr>
            <w:pStyle w:val="TOC2"/>
            <w:rPr>
              <w:rFonts w:asciiTheme="minorHAnsi" w:hAnsiTheme="minorHAnsi"/>
              <w:sz w:val="22"/>
              <w:lang w:val="uk-UA" w:eastAsia="uk-UA"/>
            </w:rPr>
          </w:pPr>
          <w:hyperlink w:anchor="_Toc425334249" w:history="1">
            <w:r w:rsidR="00285244" w:rsidRPr="00107C9F">
              <w:rPr>
                <w:rStyle w:val="Hyperlink"/>
              </w:rPr>
              <w:t>Integrations</w:t>
            </w:r>
            <w:r w:rsidR="00285244">
              <w:rPr>
                <w:webHidden/>
              </w:rPr>
              <w:tab/>
            </w:r>
            <w:r w:rsidR="00285244">
              <w:rPr>
                <w:webHidden/>
              </w:rPr>
              <w:fldChar w:fldCharType="begin"/>
            </w:r>
            <w:r w:rsidR="00285244">
              <w:rPr>
                <w:webHidden/>
              </w:rPr>
              <w:instrText xml:space="preserve"> PAGEREF _Toc425334249 \h </w:instrText>
            </w:r>
            <w:r w:rsidR="00285244">
              <w:rPr>
                <w:webHidden/>
              </w:rPr>
            </w:r>
            <w:r w:rsidR="00285244">
              <w:rPr>
                <w:webHidden/>
              </w:rPr>
              <w:fldChar w:fldCharType="separate"/>
            </w:r>
            <w:r w:rsidR="00285244">
              <w:rPr>
                <w:webHidden/>
              </w:rPr>
              <w:t>10</w:t>
            </w:r>
            <w:r w:rsidR="00285244">
              <w:rPr>
                <w:webHidden/>
              </w:rPr>
              <w:fldChar w:fldCharType="end"/>
            </w:r>
          </w:hyperlink>
        </w:p>
        <w:p w14:paraId="19EBEF7A" w14:textId="77777777" w:rsidR="00285244" w:rsidRDefault="0052607A">
          <w:pPr>
            <w:pStyle w:val="TOC2"/>
            <w:rPr>
              <w:rFonts w:asciiTheme="minorHAnsi" w:hAnsiTheme="minorHAnsi"/>
              <w:sz w:val="22"/>
              <w:lang w:val="uk-UA" w:eastAsia="uk-UA"/>
            </w:rPr>
          </w:pPr>
          <w:hyperlink w:anchor="_Toc425334250" w:history="1">
            <w:r w:rsidR="00285244" w:rsidRPr="00107C9F">
              <w:rPr>
                <w:rStyle w:val="Hyperlink"/>
              </w:rPr>
              <w:t>Calculations</w:t>
            </w:r>
            <w:r w:rsidR="00285244">
              <w:rPr>
                <w:webHidden/>
              </w:rPr>
              <w:tab/>
            </w:r>
            <w:r w:rsidR="00285244">
              <w:rPr>
                <w:webHidden/>
              </w:rPr>
              <w:fldChar w:fldCharType="begin"/>
            </w:r>
            <w:r w:rsidR="00285244">
              <w:rPr>
                <w:webHidden/>
              </w:rPr>
              <w:instrText xml:space="preserve"> PAGEREF _Toc425334250 \h </w:instrText>
            </w:r>
            <w:r w:rsidR="00285244">
              <w:rPr>
                <w:webHidden/>
              </w:rPr>
            </w:r>
            <w:r w:rsidR="00285244">
              <w:rPr>
                <w:webHidden/>
              </w:rPr>
              <w:fldChar w:fldCharType="separate"/>
            </w:r>
            <w:r w:rsidR="00285244">
              <w:rPr>
                <w:webHidden/>
              </w:rPr>
              <w:t>10</w:t>
            </w:r>
            <w:r w:rsidR="00285244">
              <w:rPr>
                <w:webHidden/>
              </w:rPr>
              <w:fldChar w:fldCharType="end"/>
            </w:r>
          </w:hyperlink>
        </w:p>
        <w:p w14:paraId="0B4EEA13" w14:textId="77777777" w:rsidR="00285244" w:rsidRDefault="0052607A">
          <w:pPr>
            <w:pStyle w:val="TOC1"/>
            <w:rPr>
              <w:rFonts w:asciiTheme="minorHAnsi" w:hAnsiTheme="minorHAnsi"/>
              <w:color w:val="auto"/>
              <w:sz w:val="22"/>
              <w:lang w:val="uk-UA" w:eastAsia="uk-UA"/>
            </w:rPr>
          </w:pPr>
          <w:hyperlink w:anchor="_Toc425334251" w:history="1">
            <w:r w:rsidR="00285244" w:rsidRPr="00107C9F">
              <w:rPr>
                <w:rStyle w:val="Hyperlink"/>
              </w:rPr>
              <w:t>What If Scenario</w:t>
            </w:r>
            <w:r w:rsidR="00285244">
              <w:rPr>
                <w:webHidden/>
              </w:rPr>
              <w:tab/>
            </w:r>
            <w:r w:rsidR="00285244">
              <w:rPr>
                <w:webHidden/>
              </w:rPr>
              <w:fldChar w:fldCharType="begin"/>
            </w:r>
            <w:r w:rsidR="00285244">
              <w:rPr>
                <w:webHidden/>
              </w:rPr>
              <w:instrText xml:space="preserve"> PAGEREF _Toc425334251 \h </w:instrText>
            </w:r>
            <w:r w:rsidR="00285244">
              <w:rPr>
                <w:webHidden/>
              </w:rPr>
            </w:r>
            <w:r w:rsidR="00285244">
              <w:rPr>
                <w:webHidden/>
              </w:rPr>
              <w:fldChar w:fldCharType="separate"/>
            </w:r>
            <w:r w:rsidR="00285244">
              <w:rPr>
                <w:webHidden/>
              </w:rPr>
              <w:t>12</w:t>
            </w:r>
            <w:r w:rsidR="00285244">
              <w:rPr>
                <w:webHidden/>
              </w:rPr>
              <w:fldChar w:fldCharType="end"/>
            </w:r>
          </w:hyperlink>
        </w:p>
        <w:p w14:paraId="6D76A1B5" w14:textId="77777777" w:rsidR="00285244" w:rsidRDefault="0052607A">
          <w:pPr>
            <w:pStyle w:val="TOC2"/>
            <w:rPr>
              <w:rFonts w:asciiTheme="minorHAnsi" w:hAnsiTheme="minorHAnsi"/>
              <w:sz w:val="22"/>
              <w:lang w:val="uk-UA" w:eastAsia="uk-UA"/>
            </w:rPr>
          </w:pPr>
          <w:hyperlink w:anchor="_Toc425334252" w:history="1">
            <w:r w:rsidR="00285244" w:rsidRPr="00107C9F">
              <w:rPr>
                <w:rStyle w:val="Hyperlink"/>
              </w:rPr>
              <w:t>Reports</w:t>
            </w:r>
            <w:r w:rsidR="00285244">
              <w:rPr>
                <w:webHidden/>
              </w:rPr>
              <w:tab/>
            </w:r>
            <w:r w:rsidR="00285244">
              <w:rPr>
                <w:webHidden/>
              </w:rPr>
              <w:fldChar w:fldCharType="begin"/>
            </w:r>
            <w:r w:rsidR="00285244">
              <w:rPr>
                <w:webHidden/>
              </w:rPr>
              <w:instrText xml:space="preserve"> PAGEREF _Toc425334252 \h </w:instrText>
            </w:r>
            <w:r w:rsidR="00285244">
              <w:rPr>
                <w:webHidden/>
              </w:rPr>
            </w:r>
            <w:r w:rsidR="00285244">
              <w:rPr>
                <w:webHidden/>
              </w:rPr>
              <w:fldChar w:fldCharType="separate"/>
            </w:r>
            <w:r w:rsidR="00285244">
              <w:rPr>
                <w:webHidden/>
              </w:rPr>
              <w:t>12</w:t>
            </w:r>
            <w:r w:rsidR="00285244">
              <w:rPr>
                <w:webHidden/>
              </w:rPr>
              <w:fldChar w:fldCharType="end"/>
            </w:r>
          </w:hyperlink>
        </w:p>
        <w:p w14:paraId="7B268F8A" w14:textId="77777777" w:rsidR="00285244" w:rsidRDefault="0052607A">
          <w:pPr>
            <w:pStyle w:val="TOC2"/>
            <w:rPr>
              <w:rFonts w:asciiTheme="minorHAnsi" w:hAnsiTheme="minorHAnsi"/>
              <w:sz w:val="22"/>
              <w:lang w:val="uk-UA" w:eastAsia="uk-UA"/>
            </w:rPr>
          </w:pPr>
          <w:hyperlink w:anchor="_Toc425334253" w:history="1">
            <w:r w:rsidR="00285244" w:rsidRPr="00107C9F">
              <w:rPr>
                <w:rStyle w:val="Hyperlink"/>
              </w:rPr>
              <w:t>Data tables attributes</w:t>
            </w:r>
            <w:r w:rsidR="00285244">
              <w:rPr>
                <w:webHidden/>
              </w:rPr>
              <w:tab/>
            </w:r>
            <w:r w:rsidR="00285244">
              <w:rPr>
                <w:webHidden/>
              </w:rPr>
              <w:fldChar w:fldCharType="begin"/>
            </w:r>
            <w:r w:rsidR="00285244">
              <w:rPr>
                <w:webHidden/>
              </w:rPr>
              <w:instrText xml:space="preserve"> PAGEREF _Toc425334253 \h </w:instrText>
            </w:r>
            <w:r w:rsidR="00285244">
              <w:rPr>
                <w:webHidden/>
              </w:rPr>
            </w:r>
            <w:r w:rsidR="00285244">
              <w:rPr>
                <w:webHidden/>
              </w:rPr>
              <w:fldChar w:fldCharType="separate"/>
            </w:r>
            <w:r w:rsidR="00285244">
              <w:rPr>
                <w:webHidden/>
              </w:rPr>
              <w:t>12</w:t>
            </w:r>
            <w:r w:rsidR="00285244">
              <w:rPr>
                <w:webHidden/>
              </w:rPr>
              <w:fldChar w:fldCharType="end"/>
            </w:r>
          </w:hyperlink>
        </w:p>
        <w:p w14:paraId="115DABD4" w14:textId="77777777" w:rsidR="00285244" w:rsidRDefault="0052607A">
          <w:pPr>
            <w:pStyle w:val="TOC1"/>
            <w:rPr>
              <w:rFonts w:asciiTheme="minorHAnsi" w:hAnsiTheme="minorHAnsi"/>
              <w:color w:val="auto"/>
              <w:sz w:val="22"/>
              <w:lang w:val="uk-UA" w:eastAsia="uk-UA"/>
            </w:rPr>
          </w:pPr>
          <w:hyperlink w:anchor="_Toc425334254" w:history="1">
            <w:r w:rsidR="00285244" w:rsidRPr="00107C9F">
              <w:rPr>
                <w:rStyle w:val="Hyperlink"/>
              </w:rPr>
              <w:t>Admin User</w:t>
            </w:r>
            <w:r w:rsidR="00285244">
              <w:rPr>
                <w:webHidden/>
              </w:rPr>
              <w:tab/>
            </w:r>
            <w:r w:rsidR="00285244">
              <w:rPr>
                <w:webHidden/>
              </w:rPr>
              <w:fldChar w:fldCharType="begin"/>
            </w:r>
            <w:r w:rsidR="00285244">
              <w:rPr>
                <w:webHidden/>
              </w:rPr>
              <w:instrText xml:space="preserve"> PAGEREF _Toc425334254 \h </w:instrText>
            </w:r>
            <w:r w:rsidR="00285244">
              <w:rPr>
                <w:webHidden/>
              </w:rPr>
            </w:r>
            <w:r w:rsidR="00285244">
              <w:rPr>
                <w:webHidden/>
              </w:rPr>
              <w:fldChar w:fldCharType="separate"/>
            </w:r>
            <w:r w:rsidR="00285244">
              <w:rPr>
                <w:webHidden/>
              </w:rPr>
              <w:t>12</w:t>
            </w:r>
            <w:r w:rsidR="00285244">
              <w:rPr>
                <w:webHidden/>
              </w:rPr>
              <w:fldChar w:fldCharType="end"/>
            </w:r>
          </w:hyperlink>
        </w:p>
        <w:p w14:paraId="51959FE2" w14:textId="77777777" w:rsidR="00285244" w:rsidRDefault="0052607A">
          <w:pPr>
            <w:pStyle w:val="TOC1"/>
            <w:rPr>
              <w:rFonts w:asciiTheme="minorHAnsi" w:hAnsiTheme="minorHAnsi"/>
              <w:color w:val="auto"/>
              <w:sz w:val="22"/>
              <w:lang w:val="uk-UA" w:eastAsia="uk-UA"/>
            </w:rPr>
          </w:pPr>
          <w:hyperlink w:anchor="_Toc425334255" w:history="1">
            <w:r w:rsidR="00285244" w:rsidRPr="00107C9F">
              <w:rPr>
                <w:rStyle w:val="Hyperlink"/>
              </w:rPr>
              <w:t>Report Submission Dates</w:t>
            </w:r>
            <w:r w:rsidR="00285244">
              <w:rPr>
                <w:webHidden/>
              </w:rPr>
              <w:tab/>
            </w:r>
            <w:r w:rsidR="00285244">
              <w:rPr>
                <w:webHidden/>
              </w:rPr>
              <w:fldChar w:fldCharType="begin"/>
            </w:r>
            <w:r w:rsidR="00285244">
              <w:rPr>
                <w:webHidden/>
              </w:rPr>
              <w:instrText xml:space="preserve"> PAGEREF _Toc425334255 \h </w:instrText>
            </w:r>
            <w:r w:rsidR="00285244">
              <w:rPr>
                <w:webHidden/>
              </w:rPr>
            </w:r>
            <w:r w:rsidR="00285244">
              <w:rPr>
                <w:webHidden/>
              </w:rPr>
              <w:fldChar w:fldCharType="separate"/>
            </w:r>
            <w:r w:rsidR="00285244">
              <w:rPr>
                <w:webHidden/>
              </w:rPr>
              <w:t>13</w:t>
            </w:r>
            <w:r w:rsidR="00285244">
              <w:rPr>
                <w:webHidden/>
              </w:rPr>
              <w:fldChar w:fldCharType="end"/>
            </w:r>
          </w:hyperlink>
        </w:p>
        <w:p w14:paraId="143629D0" w14:textId="77777777" w:rsidR="0079433B" w:rsidRPr="00D7531A" w:rsidRDefault="00F41B0E">
          <w:r w:rsidRPr="00D7531A">
            <w:rPr>
              <w:b/>
              <w:bCs/>
              <w:noProof/>
            </w:rPr>
            <w:fldChar w:fldCharType="end"/>
          </w:r>
        </w:p>
      </w:sdtContent>
    </w:sdt>
    <w:p w14:paraId="7CEEBAAB" w14:textId="77777777" w:rsidR="0079433B" w:rsidRPr="00D7531A" w:rsidRDefault="0079433B" w:rsidP="00F62C55">
      <w:pPr>
        <w:rPr>
          <w:rFonts w:eastAsiaTheme="majorEastAsia"/>
        </w:rPr>
      </w:pPr>
      <w:r w:rsidRPr="00D7531A">
        <w:br w:type="page"/>
      </w:r>
    </w:p>
    <w:p w14:paraId="6D7C3578" w14:textId="2211AE30" w:rsidR="00965890" w:rsidRPr="00D7531A" w:rsidRDefault="002D56CE" w:rsidP="001B1168">
      <w:pPr>
        <w:pStyle w:val="Title"/>
      </w:pPr>
      <w:bookmarkStart w:id="1" w:name="_Toc285014297"/>
      <w:r>
        <w:lastRenderedPageBreak/>
        <w:t>Revision H</w:t>
      </w:r>
      <w:r w:rsidR="00965890" w:rsidRPr="00D7531A">
        <w:t>istory</w:t>
      </w:r>
    </w:p>
    <w:tbl>
      <w:tblPr>
        <w:tblW w:w="9990" w:type="dxa"/>
        <w:tblInd w:w="-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43" w:type="dxa"/>
          <w:left w:w="43" w:type="dxa"/>
          <w:bottom w:w="43" w:type="dxa"/>
          <w:right w:w="43" w:type="dxa"/>
        </w:tblCellMar>
        <w:tblLook w:val="0000" w:firstRow="0" w:lastRow="0" w:firstColumn="0" w:lastColumn="0" w:noHBand="0" w:noVBand="0"/>
      </w:tblPr>
      <w:tblGrid>
        <w:gridCol w:w="1980"/>
        <w:gridCol w:w="1170"/>
        <w:gridCol w:w="4320"/>
        <w:gridCol w:w="2520"/>
      </w:tblGrid>
      <w:tr w:rsidR="00965890" w:rsidRPr="00D7531A" w14:paraId="2069A17D" w14:textId="77777777" w:rsidTr="00DB0692">
        <w:tc>
          <w:tcPr>
            <w:tcW w:w="1980" w:type="dxa"/>
            <w:shd w:val="clear" w:color="auto" w:fill="F2F2F2" w:themeFill="background1" w:themeFillShade="F2"/>
          </w:tcPr>
          <w:p w14:paraId="511C2677" w14:textId="77777777" w:rsidR="00965890" w:rsidRPr="00D7531A" w:rsidRDefault="00965890" w:rsidP="00411594">
            <w:pPr>
              <w:pStyle w:val="TableHeader"/>
              <w:jc w:val="center"/>
            </w:pPr>
            <w:r w:rsidRPr="00D7531A">
              <w:t>Date</w:t>
            </w:r>
          </w:p>
        </w:tc>
        <w:tc>
          <w:tcPr>
            <w:tcW w:w="1170" w:type="dxa"/>
            <w:shd w:val="clear" w:color="auto" w:fill="F2F2F2" w:themeFill="background1" w:themeFillShade="F2"/>
          </w:tcPr>
          <w:p w14:paraId="3FFC9665" w14:textId="77777777" w:rsidR="00965890" w:rsidRPr="00D7531A" w:rsidRDefault="00965890" w:rsidP="00411594">
            <w:pPr>
              <w:pStyle w:val="TableHeader"/>
              <w:jc w:val="center"/>
            </w:pPr>
            <w:r w:rsidRPr="00D7531A">
              <w:t>Version</w:t>
            </w:r>
          </w:p>
        </w:tc>
        <w:tc>
          <w:tcPr>
            <w:tcW w:w="4320" w:type="dxa"/>
            <w:shd w:val="clear" w:color="auto" w:fill="F2F2F2" w:themeFill="background1" w:themeFillShade="F2"/>
          </w:tcPr>
          <w:p w14:paraId="5822817F" w14:textId="77777777" w:rsidR="00965890" w:rsidRPr="00D7531A" w:rsidRDefault="00965890" w:rsidP="00411594">
            <w:pPr>
              <w:pStyle w:val="TableHeader"/>
              <w:jc w:val="center"/>
            </w:pPr>
            <w:r w:rsidRPr="00D7531A">
              <w:t>Description</w:t>
            </w:r>
          </w:p>
        </w:tc>
        <w:tc>
          <w:tcPr>
            <w:tcW w:w="2520" w:type="dxa"/>
            <w:shd w:val="clear" w:color="auto" w:fill="F2F2F2" w:themeFill="background1" w:themeFillShade="F2"/>
          </w:tcPr>
          <w:p w14:paraId="3ECED90D" w14:textId="77777777" w:rsidR="00965890" w:rsidRPr="00D7531A" w:rsidRDefault="00965890" w:rsidP="00411594">
            <w:pPr>
              <w:pStyle w:val="TableHeader"/>
              <w:jc w:val="center"/>
            </w:pPr>
            <w:r w:rsidRPr="00D7531A">
              <w:t>Author</w:t>
            </w:r>
          </w:p>
        </w:tc>
      </w:tr>
      <w:tr w:rsidR="0051462D" w:rsidRPr="00D7531A" w14:paraId="0946046A" w14:textId="77777777" w:rsidTr="00DB0692">
        <w:tc>
          <w:tcPr>
            <w:tcW w:w="1980" w:type="dxa"/>
          </w:tcPr>
          <w:sdt>
            <w:sdtPr>
              <w:alias w:val="Date"/>
              <w:id w:val="282776223"/>
              <w:dataBinding w:prefixMappings="xmlns:ns0='http://schemas.microsoft.com/office/2006/coverPageProps'" w:xpath="/ns0:CoverPageProperties[1]/ns0:PublishDate[1]" w:storeItemID="{55AF091B-3C7A-41E3-B477-F2FDAA23CFDA}"/>
              <w:date w:fullDate="2015-07-24T00:00:00Z">
                <w:dateFormat w:val="M/d/yyyy"/>
                <w:lid w:val="en-US"/>
                <w:storeMappedDataAs w:val="dateTime"/>
                <w:calendar w:val="gregorian"/>
              </w:date>
            </w:sdtPr>
            <w:sdtEndPr/>
            <w:sdtContent>
              <w:p w14:paraId="0F65031E" w14:textId="12EC3000" w:rsidR="0051462D" w:rsidRPr="00D7531A" w:rsidRDefault="00A71EAB" w:rsidP="00411594">
                <w:pPr>
                  <w:pStyle w:val="BodyText"/>
                  <w:jc w:val="center"/>
                </w:pPr>
                <w:r>
                  <w:t>7/24/2015</w:t>
                </w:r>
              </w:p>
            </w:sdtContent>
          </w:sdt>
        </w:tc>
        <w:tc>
          <w:tcPr>
            <w:tcW w:w="1170" w:type="dxa"/>
          </w:tcPr>
          <w:p w14:paraId="31354D0C" w14:textId="2BE03E07" w:rsidR="0051462D" w:rsidRPr="00D7531A" w:rsidRDefault="00411594" w:rsidP="00411594">
            <w:pPr>
              <w:pStyle w:val="BodyText"/>
              <w:jc w:val="center"/>
            </w:pPr>
            <w:r>
              <w:t>1.0</w:t>
            </w:r>
          </w:p>
        </w:tc>
        <w:tc>
          <w:tcPr>
            <w:tcW w:w="4320" w:type="dxa"/>
          </w:tcPr>
          <w:p w14:paraId="64D99335" w14:textId="5AEBE6CA" w:rsidR="0051462D" w:rsidRPr="00D7531A" w:rsidRDefault="002D56CE" w:rsidP="00411594">
            <w:pPr>
              <w:pStyle w:val="BodyText"/>
              <w:jc w:val="center"/>
            </w:pPr>
            <w:r>
              <w:t>Created</w:t>
            </w:r>
          </w:p>
        </w:tc>
        <w:tc>
          <w:tcPr>
            <w:tcW w:w="2520" w:type="dxa"/>
          </w:tcPr>
          <w:p w14:paraId="09F14DE5" w14:textId="5256A199" w:rsidR="0051462D" w:rsidRPr="00D7531A" w:rsidRDefault="002D56CE" w:rsidP="00411594">
            <w:pPr>
              <w:pStyle w:val="BodyText"/>
              <w:jc w:val="center"/>
            </w:pPr>
            <w:r w:rsidRPr="002D56CE">
              <w:t>Andrii Bereziuk</w:t>
            </w:r>
          </w:p>
        </w:tc>
      </w:tr>
      <w:tr w:rsidR="0051462D" w:rsidRPr="00D7531A" w14:paraId="229EE5F8" w14:textId="77777777" w:rsidTr="00DB0692">
        <w:trPr>
          <w:trHeight w:val="310"/>
        </w:trPr>
        <w:tc>
          <w:tcPr>
            <w:tcW w:w="1980" w:type="dxa"/>
          </w:tcPr>
          <w:p w14:paraId="5E240F27" w14:textId="42541F16" w:rsidR="0051462D" w:rsidRPr="00D7531A" w:rsidRDefault="0051462D" w:rsidP="002D56CE">
            <w:pPr>
              <w:pStyle w:val="Titlepagedate"/>
              <w:jc w:val="left"/>
              <w:rPr>
                <w:rFonts w:ascii="Segoe UI" w:hAnsi="Segoe UI"/>
                <w:color w:val="auto"/>
                <w:sz w:val="20"/>
              </w:rPr>
            </w:pPr>
          </w:p>
        </w:tc>
        <w:tc>
          <w:tcPr>
            <w:tcW w:w="1170" w:type="dxa"/>
          </w:tcPr>
          <w:p w14:paraId="2866314C" w14:textId="251D030A" w:rsidR="0051462D" w:rsidRPr="00D7531A" w:rsidRDefault="0051462D" w:rsidP="0051462D">
            <w:pPr>
              <w:pStyle w:val="TableText"/>
            </w:pPr>
          </w:p>
        </w:tc>
        <w:tc>
          <w:tcPr>
            <w:tcW w:w="4320" w:type="dxa"/>
          </w:tcPr>
          <w:p w14:paraId="737DFA30" w14:textId="06D7EFF3" w:rsidR="0051462D" w:rsidRPr="00D7531A" w:rsidRDefault="0051462D" w:rsidP="0051462D">
            <w:pPr>
              <w:pStyle w:val="TableText"/>
            </w:pPr>
          </w:p>
        </w:tc>
        <w:tc>
          <w:tcPr>
            <w:tcW w:w="2520" w:type="dxa"/>
          </w:tcPr>
          <w:p w14:paraId="42F3EB83" w14:textId="2701B05F" w:rsidR="0051462D" w:rsidRPr="00D7531A" w:rsidRDefault="0051462D" w:rsidP="0051462D">
            <w:pPr>
              <w:pStyle w:val="TableText"/>
            </w:pPr>
          </w:p>
        </w:tc>
      </w:tr>
      <w:tr w:rsidR="0051462D" w:rsidRPr="00D7531A" w14:paraId="051D3470" w14:textId="77777777" w:rsidTr="00DB0692">
        <w:tc>
          <w:tcPr>
            <w:tcW w:w="1980" w:type="dxa"/>
          </w:tcPr>
          <w:p w14:paraId="44E92BB7" w14:textId="77777777" w:rsidR="0051462D" w:rsidRPr="00D7531A" w:rsidRDefault="0051462D" w:rsidP="0051462D">
            <w:pPr>
              <w:pStyle w:val="TableText"/>
              <w:jc w:val="center"/>
            </w:pPr>
          </w:p>
        </w:tc>
        <w:tc>
          <w:tcPr>
            <w:tcW w:w="1170" w:type="dxa"/>
          </w:tcPr>
          <w:p w14:paraId="403EF667" w14:textId="77777777" w:rsidR="0051462D" w:rsidRPr="00D7531A" w:rsidRDefault="0051462D" w:rsidP="0051462D">
            <w:pPr>
              <w:pStyle w:val="TableText"/>
            </w:pPr>
          </w:p>
        </w:tc>
        <w:tc>
          <w:tcPr>
            <w:tcW w:w="4320" w:type="dxa"/>
          </w:tcPr>
          <w:p w14:paraId="4A7FAEF9" w14:textId="77777777" w:rsidR="0051462D" w:rsidRPr="00D7531A" w:rsidRDefault="0051462D" w:rsidP="0051462D">
            <w:pPr>
              <w:pStyle w:val="TableText"/>
            </w:pPr>
          </w:p>
        </w:tc>
        <w:tc>
          <w:tcPr>
            <w:tcW w:w="2520" w:type="dxa"/>
          </w:tcPr>
          <w:p w14:paraId="1F687355" w14:textId="77777777" w:rsidR="0051462D" w:rsidRPr="00D7531A" w:rsidRDefault="0051462D" w:rsidP="0051462D">
            <w:pPr>
              <w:pStyle w:val="TableText"/>
            </w:pPr>
          </w:p>
        </w:tc>
      </w:tr>
      <w:tr w:rsidR="0051462D" w:rsidRPr="00D7531A" w14:paraId="4154D6E6" w14:textId="77777777" w:rsidTr="00DB0692">
        <w:tc>
          <w:tcPr>
            <w:tcW w:w="1980" w:type="dxa"/>
          </w:tcPr>
          <w:p w14:paraId="4C7154C6" w14:textId="77777777" w:rsidR="0051462D" w:rsidRPr="00D7531A" w:rsidRDefault="0051462D" w:rsidP="0051462D">
            <w:pPr>
              <w:pStyle w:val="TableText"/>
              <w:jc w:val="center"/>
            </w:pPr>
          </w:p>
        </w:tc>
        <w:tc>
          <w:tcPr>
            <w:tcW w:w="1170" w:type="dxa"/>
          </w:tcPr>
          <w:p w14:paraId="32CE1097" w14:textId="77777777" w:rsidR="0051462D" w:rsidRPr="00D7531A" w:rsidRDefault="0051462D" w:rsidP="0051462D">
            <w:pPr>
              <w:pStyle w:val="TableText"/>
            </w:pPr>
          </w:p>
        </w:tc>
        <w:tc>
          <w:tcPr>
            <w:tcW w:w="4320" w:type="dxa"/>
          </w:tcPr>
          <w:p w14:paraId="265F3079" w14:textId="77777777" w:rsidR="0051462D" w:rsidRPr="00D7531A" w:rsidRDefault="0051462D" w:rsidP="0051462D">
            <w:pPr>
              <w:pStyle w:val="TableText"/>
            </w:pPr>
          </w:p>
        </w:tc>
        <w:tc>
          <w:tcPr>
            <w:tcW w:w="2520" w:type="dxa"/>
          </w:tcPr>
          <w:p w14:paraId="2CD34D9A" w14:textId="77777777" w:rsidR="0051462D" w:rsidRPr="00D7531A" w:rsidRDefault="0051462D" w:rsidP="0051462D">
            <w:pPr>
              <w:pStyle w:val="TableText"/>
            </w:pPr>
          </w:p>
        </w:tc>
      </w:tr>
      <w:bookmarkEnd w:id="1"/>
    </w:tbl>
    <w:p w14:paraId="03D6DBA3" w14:textId="3C1C0450" w:rsidR="00A8662B" w:rsidRPr="00D7531A" w:rsidRDefault="00A8662B" w:rsidP="00A8662B"/>
    <w:p w14:paraId="19DE3AF2" w14:textId="77777777" w:rsidR="00A8662B" w:rsidRPr="00D7531A" w:rsidRDefault="00A8662B">
      <w:pPr>
        <w:spacing w:after="200" w:line="276" w:lineRule="auto"/>
      </w:pPr>
      <w:r w:rsidRPr="00D7531A">
        <w:br w:type="page"/>
      </w:r>
    </w:p>
    <w:p w14:paraId="599B5A9D" w14:textId="77777777" w:rsidR="009D1BB2" w:rsidRPr="00D7531A" w:rsidRDefault="00CE17C0" w:rsidP="0010555D">
      <w:pPr>
        <w:pStyle w:val="Heading1"/>
      </w:pPr>
      <w:bookmarkStart w:id="2" w:name="_Toc425334241"/>
      <w:r w:rsidRPr="00D7531A">
        <w:lastRenderedPageBreak/>
        <w:t>Overview</w:t>
      </w:r>
      <w:bookmarkEnd w:id="2"/>
    </w:p>
    <w:p w14:paraId="298A4518" w14:textId="7A1B39CA" w:rsidR="008A7066" w:rsidRDefault="008A7066" w:rsidP="008A7066">
      <w:pPr>
        <w:pStyle w:val="BodyText"/>
        <w:jc w:val="both"/>
      </w:pPr>
      <w:r>
        <w:t xml:space="preserve">The document is created during the CIS knowledge transfer </w:t>
      </w:r>
      <w:r w:rsidR="00E46D11">
        <w:t>phase</w:t>
      </w:r>
      <w:r>
        <w:t xml:space="preserve"> and is regarded to be the artifact of primary application overview. New and existing team members can refer to this document to get more information on terminology and functionality</w:t>
      </w:r>
      <w:r w:rsidRPr="00D7531A">
        <w:t>.</w:t>
      </w:r>
    </w:p>
    <w:p w14:paraId="512B1D44" w14:textId="131C0C31" w:rsidR="008A7066" w:rsidRPr="008A7066" w:rsidRDefault="008A7066" w:rsidP="008A7066">
      <w:pPr>
        <w:pStyle w:val="BodyText"/>
        <w:jc w:val="both"/>
      </w:pPr>
      <w:r w:rsidRPr="008A7066">
        <w:t xml:space="preserve">This document provides the general overview of the main </w:t>
      </w:r>
      <w:proofErr w:type="spellStart"/>
      <w:r w:rsidRPr="008A7066">
        <w:t>CalcPartner</w:t>
      </w:r>
      <w:proofErr w:type="spellEnd"/>
      <w:r w:rsidRPr="008A7066">
        <w:t xml:space="preserve"> functionally, business objectives, user workflow and collaboration process, and explains how to perform different tasks within the </w:t>
      </w:r>
      <w:proofErr w:type="spellStart"/>
      <w:r w:rsidRPr="008A7066">
        <w:t>CalcPartner</w:t>
      </w:r>
      <w:proofErr w:type="spellEnd"/>
      <w:r w:rsidRPr="008A7066">
        <w:t xml:space="preserve"> application. The main goal of the application is explained: providing certified calculation results in the formats required by the government, along with reports and analysis for client review, approval and documentation.</w:t>
      </w:r>
    </w:p>
    <w:p w14:paraId="5C44C690" w14:textId="77777777" w:rsidR="009D1BB2" w:rsidRPr="00D7531A" w:rsidRDefault="00CE17C0" w:rsidP="00915E2D">
      <w:pPr>
        <w:pStyle w:val="Heading2"/>
      </w:pPr>
      <w:bookmarkStart w:id="3" w:name="_References"/>
      <w:bookmarkStart w:id="4" w:name="_Toc425334242"/>
      <w:bookmarkEnd w:id="3"/>
      <w:r w:rsidRPr="00D7531A">
        <w:t>Terminology</w:t>
      </w:r>
      <w:bookmarkEnd w:id="4"/>
    </w:p>
    <w:tbl>
      <w:tblPr>
        <w:tblW w:w="9990" w:type="dxa"/>
        <w:tblInd w:w="-3"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CellMar>
          <w:top w:w="43" w:type="dxa"/>
          <w:left w:w="43" w:type="dxa"/>
          <w:bottom w:w="43" w:type="dxa"/>
          <w:right w:w="43" w:type="dxa"/>
        </w:tblCellMar>
        <w:tblLook w:val="0000" w:firstRow="0" w:lastRow="0" w:firstColumn="0" w:lastColumn="0" w:noHBand="0" w:noVBand="0"/>
      </w:tblPr>
      <w:tblGrid>
        <w:gridCol w:w="4050"/>
        <w:gridCol w:w="5940"/>
      </w:tblGrid>
      <w:tr w:rsidR="00A51E71" w:rsidRPr="00D7531A" w14:paraId="4A68B5E6" w14:textId="77777777" w:rsidTr="00DB0692">
        <w:tc>
          <w:tcPr>
            <w:tcW w:w="4050" w:type="dxa"/>
            <w:shd w:val="clear" w:color="auto" w:fill="F2F2F2" w:themeFill="background1" w:themeFillShade="F2"/>
          </w:tcPr>
          <w:p w14:paraId="5582769A" w14:textId="77777777" w:rsidR="00A51E71" w:rsidRPr="00D7531A" w:rsidRDefault="00A51E71" w:rsidP="00683C3F">
            <w:pPr>
              <w:pStyle w:val="TableHeader"/>
              <w:rPr>
                <w:rFonts w:eastAsiaTheme="majorEastAsia"/>
              </w:rPr>
            </w:pPr>
            <w:r w:rsidRPr="00D7531A">
              <w:t>Term</w:t>
            </w:r>
          </w:p>
        </w:tc>
        <w:tc>
          <w:tcPr>
            <w:tcW w:w="5940" w:type="dxa"/>
            <w:shd w:val="clear" w:color="auto" w:fill="F2F2F2" w:themeFill="background1" w:themeFillShade="F2"/>
          </w:tcPr>
          <w:p w14:paraId="090CC831" w14:textId="77777777" w:rsidR="00A51E71" w:rsidRPr="00D7531A" w:rsidRDefault="00A51E71" w:rsidP="00683C3F">
            <w:pPr>
              <w:pStyle w:val="TableHeader"/>
            </w:pPr>
            <w:r w:rsidRPr="00D7531A">
              <w:t>Definition</w:t>
            </w:r>
          </w:p>
        </w:tc>
      </w:tr>
      <w:tr w:rsidR="00A51E71" w:rsidRPr="00D7531A" w14:paraId="213C2B16" w14:textId="77777777" w:rsidTr="00DB0692">
        <w:tc>
          <w:tcPr>
            <w:tcW w:w="4050" w:type="dxa"/>
          </w:tcPr>
          <w:p w14:paraId="2E1717F1" w14:textId="33BABD06" w:rsidR="00A51E71" w:rsidRPr="0049104E" w:rsidRDefault="003D6599" w:rsidP="0049104E">
            <w:pPr>
              <w:pStyle w:val="TableText"/>
              <w:jc w:val="both"/>
            </w:pPr>
            <w:r w:rsidRPr="0049104E">
              <w:t>340B Drug Discount Program</w:t>
            </w:r>
          </w:p>
        </w:tc>
        <w:tc>
          <w:tcPr>
            <w:tcW w:w="5940" w:type="dxa"/>
          </w:tcPr>
          <w:p w14:paraId="46FE34CB" w14:textId="38E43D4F" w:rsidR="00A51E71" w:rsidRPr="0049104E" w:rsidRDefault="003D6599" w:rsidP="0049104E">
            <w:pPr>
              <w:pStyle w:val="TableText"/>
              <w:jc w:val="both"/>
            </w:pPr>
            <w:r w:rsidRPr="0049104E">
              <w:t>U.S federal government program that requires drug manufacturers to provide outpatient drugs to eligible health care organizations/covered entities at significantly reduced prices. Eligible organizations/covered entities must register and be enrolled with the 340B program and comply with all 340B Program requirements. Once enrolled, covered entities are assigned a 340B identification number that vendors verify before allowing an organization to purchase 340B discounted drugs.</w:t>
            </w:r>
          </w:p>
        </w:tc>
      </w:tr>
      <w:tr w:rsidR="00A51E71" w:rsidRPr="00D7531A" w14:paraId="0D6F7F97" w14:textId="77777777" w:rsidTr="00DB0692">
        <w:trPr>
          <w:trHeight w:val="310"/>
        </w:trPr>
        <w:tc>
          <w:tcPr>
            <w:tcW w:w="4050" w:type="dxa"/>
          </w:tcPr>
          <w:p w14:paraId="1C4DAE94" w14:textId="6A88378A" w:rsidR="00A51E71" w:rsidRPr="0049104E" w:rsidRDefault="003D6599" w:rsidP="0049104E">
            <w:pPr>
              <w:pStyle w:val="TableText"/>
              <w:jc w:val="both"/>
            </w:pPr>
            <w:r w:rsidRPr="0049104E">
              <w:t>Class of Trade (COT)</w:t>
            </w:r>
          </w:p>
        </w:tc>
        <w:tc>
          <w:tcPr>
            <w:tcW w:w="5940" w:type="dxa"/>
          </w:tcPr>
          <w:p w14:paraId="1BD902E9" w14:textId="6F5178A3" w:rsidR="003D6599" w:rsidRPr="0049104E" w:rsidRDefault="003D6599" w:rsidP="0049104E">
            <w:pPr>
              <w:pStyle w:val="TableText"/>
              <w:jc w:val="both"/>
            </w:pPr>
            <w:r w:rsidRPr="0049104E">
              <w:t>Customer category under which a customer is classified by a manufacturer (e.g., wholesaler, federal, retail pharmacy, etc.).</w:t>
            </w:r>
          </w:p>
          <w:p w14:paraId="6B2F3775" w14:textId="77777777" w:rsidR="00A51E71" w:rsidRPr="0049104E" w:rsidRDefault="00A51E71" w:rsidP="0049104E">
            <w:pPr>
              <w:pStyle w:val="TableText"/>
              <w:jc w:val="both"/>
            </w:pPr>
          </w:p>
        </w:tc>
      </w:tr>
      <w:tr w:rsidR="00A51E71" w:rsidRPr="00D7531A" w14:paraId="0D09FAFD" w14:textId="77777777" w:rsidTr="00DB0692">
        <w:tc>
          <w:tcPr>
            <w:tcW w:w="4050" w:type="dxa"/>
          </w:tcPr>
          <w:p w14:paraId="097E6F8B" w14:textId="184224C4" w:rsidR="00A51E71" w:rsidRPr="0049104E" w:rsidRDefault="003D6599" w:rsidP="0049104E">
            <w:pPr>
              <w:pStyle w:val="TableText"/>
              <w:jc w:val="both"/>
            </w:pPr>
            <w:r w:rsidRPr="0049104E">
              <w:t>Group purchasing organization (GPO)</w:t>
            </w:r>
          </w:p>
        </w:tc>
        <w:tc>
          <w:tcPr>
            <w:tcW w:w="5940" w:type="dxa"/>
          </w:tcPr>
          <w:p w14:paraId="29D0BB1A" w14:textId="0A7660EF" w:rsidR="003D6599" w:rsidRPr="0049104E" w:rsidRDefault="00852852" w:rsidP="0049104E">
            <w:pPr>
              <w:pStyle w:val="TableText"/>
              <w:jc w:val="both"/>
            </w:pPr>
            <w:r>
              <w:t>E</w:t>
            </w:r>
            <w:r w:rsidR="003D6599" w:rsidRPr="0049104E">
              <w:t>ntity that helps healthcare providers-such as hospitals, nursing homes and home health agencies-realize savings and efficiencies by aggregating purchasing volume and using that leverage to negotiate discounts with manufacturers, distributors and other vendors.</w:t>
            </w:r>
          </w:p>
          <w:p w14:paraId="5289D700" w14:textId="77777777" w:rsidR="00A51E71" w:rsidRPr="0049104E" w:rsidRDefault="00A51E71" w:rsidP="0049104E">
            <w:pPr>
              <w:pStyle w:val="TableText"/>
              <w:jc w:val="both"/>
            </w:pPr>
          </w:p>
        </w:tc>
      </w:tr>
      <w:tr w:rsidR="00A51E71" w:rsidRPr="00D7531A" w14:paraId="4E4DAC6D" w14:textId="77777777" w:rsidTr="00DB0692">
        <w:tc>
          <w:tcPr>
            <w:tcW w:w="4050" w:type="dxa"/>
          </w:tcPr>
          <w:p w14:paraId="52EE632C" w14:textId="411F0BB6" w:rsidR="00A51E71" w:rsidRPr="0049104E" w:rsidRDefault="00BD0F33" w:rsidP="0049104E">
            <w:pPr>
              <w:pStyle w:val="TableText"/>
              <w:jc w:val="both"/>
            </w:pPr>
            <w:r w:rsidRPr="0049104E">
              <w:t>Rebate</w:t>
            </w:r>
          </w:p>
        </w:tc>
        <w:tc>
          <w:tcPr>
            <w:tcW w:w="5940" w:type="dxa"/>
          </w:tcPr>
          <w:p w14:paraId="1E5F6FB8" w14:textId="6B7ACBA2" w:rsidR="00A51E71" w:rsidRPr="0049104E" w:rsidRDefault="00852852" w:rsidP="0049104E">
            <w:pPr>
              <w:pStyle w:val="TableText"/>
              <w:jc w:val="both"/>
            </w:pPr>
            <w:r>
              <w:t>A</w:t>
            </w:r>
            <w:r w:rsidR="00BD0F33" w:rsidRPr="0049104E">
              <w:t>mount paid by way of reduction, return, or refund on what has already been paid or contributed.</w:t>
            </w:r>
          </w:p>
        </w:tc>
      </w:tr>
      <w:tr w:rsidR="003D6599" w:rsidRPr="00D7531A" w14:paraId="2C4CD901" w14:textId="77777777" w:rsidTr="00DB0692">
        <w:tc>
          <w:tcPr>
            <w:tcW w:w="4050" w:type="dxa"/>
          </w:tcPr>
          <w:p w14:paraId="19734887" w14:textId="305F4673" w:rsidR="003D6599" w:rsidRPr="0049104E" w:rsidRDefault="00BD0F33" w:rsidP="0049104E">
            <w:pPr>
              <w:pStyle w:val="TableText"/>
              <w:jc w:val="both"/>
            </w:pPr>
            <w:r w:rsidRPr="0049104E">
              <w:t>Direct Selling</w:t>
            </w:r>
          </w:p>
        </w:tc>
        <w:tc>
          <w:tcPr>
            <w:tcW w:w="5940" w:type="dxa"/>
          </w:tcPr>
          <w:p w14:paraId="76B22BF2" w14:textId="5A258AC3" w:rsidR="003D6599" w:rsidRPr="0049104E" w:rsidRDefault="00852852" w:rsidP="0049104E">
            <w:pPr>
              <w:pStyle w:val="TableText"/>
              <w:jc w:val="both"/>
            </w:pPr>
            <w:r>
              <w:t>S</w:t>
            </w:r>
            <w:r w:rsidR="00BD0F33" w:rsidRPr="0049104E">
              <w:t>ale of a consumer product or service, person-to-person, away from a fixed retail location, marketed through independent sales representatives who are sometimes also referred to as consultants, distributors or wholesalers. Direct sellers are not employees of the company. They are independent contractors who market and sell the products or services of a company in return for a commission on those sales.</w:t>
            </w:r>
          </w:p>
        </w:tc>
      </w:tr>
      <w:tr w:rsidR="003D6599" w:rsidRPr="00D7531A" w14:paraId="06A6DD71" w14:textId="77777777" w:rsidTr="00DB0692">
        <w:tc>
          <w:tcPr>
            <w:tcW w:w="4050" w:type="dxa"/>
          </w:tcPr>
          <w:p w14:paraId="0905602E" w14:textId="46CE2F14" w:rsidR="003D6599" w:rsidRPr="0049104E" w:rsidRDefault="00BD0F33" w:rsidP="0049104E">
            <w:pPr>
              <w:pStyle w:val="TableText"/>
              <w:jc w:val="both"/>
            </w:pPr>
            <w:r w:rsidRPr="0049104E">
              <w:t>DEA</w:t>
            </w:r>
          </w:p>
        </w:tc>
        <w:tc>
          <w:tcPr>
            <w:tcW w:w="5940" w:type="dxa"/>
          </w:tcPr>
          <w:p w14:paraId="2E4776D7" w14:textId="4ACFA77D" w:rsidR="003D6599" w:rsidRPr="0049104E" w:rsidRDefault="00BD0F33" w:rsidP="0049104E">
            <w:pPr>
              <w:pStyle w:val="TableText"/>
              <w:jc w:val="both"/>
            </w:pPr>
            <w:r w:rsidRPr="0049104E">
              <w:t>Drug Enforcement Agency</w:t>
            </w:r>
          </w:p>
        </w:tc>
      </w:tr>
      <w:tr w:rsidR="003D6599" w:rsidRPr="00D7531A" w14:paraId="1D39349E" w14:textId="77777777" w:rsidTr="00DB0692">
        <w:tc>
          <w:tcPr>
            <w:tcW w:w="4050" w:type="dxa"/>
          </w:tcPr>
          <w:p w14:paraId="3890921F" w14:textId="029D861D" w:rsidR="003D6599" w:rsidRPr="0049104E" w:rsidRDefault="00BD0F33" w:rsidP="0049104E">
            <w:pPr>
              <w:pStyle w:val="TableText"/>
              <w:jc w:val="both"/>
            </w:pPr>
            <w:r w:rsidRPr="0049104E">
              <w:t>Disproportionate Share Hospitals (DSH)</w:t>
            </w:r>
          </w:p>
        </w:tc>
        <w:tc>
          <w:tcPr>
            <w:tcW w:w="5940" w:type="dxa"/>
          </w:tcPr>
          <w:p w14:paraId="1D428D73" w14:textId="2BD5D020" w:rsidR="003D6599" w:rsidRPr="0049104E" w:rsidRDefault="00852852" w:rsidP="0049104E">
            <w:pPr>
              <w:pStyle w:val="TableText"/>
              <w:jc w:val="both"/>
            </w:pPr>
            <w:r>
              <w:t>S</w:t>
            </w:r>
            <w:r w:rsidR="00BD0F33" w:rsidRPr="0049104E">
              <w:t>erves a significantly disproportionate number of low-income patients and receive payments from the Centers for Medicaid and Medicare Services to cover the costs of providing care to uninsured patients.</w:t>
            </w:r>
          </w:p>
        </w:tc>
      </w:tr>
      <w:tr w:rsidR="003D6599" w:rsidRPr="00D7531A" w14:paraId="04DB8990" w14:textId="77777777" w:rsidTr="00DB0692">
        <w:tc>
          <w:tcPr>
            <w:tcW w:w="4050" w:type="dxa"/>
          </w:tcPr>
          <w:p w14:paraId="16842552" w14:textId="222E9706" w:rsidR="003D6599" w:rsidRPr="0049104E" w:rsidRDefault="00BD0F33" w:rsidP="0049104E">
            <w:pPr>
              <w:pStyle w:val="TableText"/>
              <w:jc w:val="both"/>
            </w:pPr>
            <w:r w:rsidRPr="0049104E">
              <w:t>Unit Price</w:t>
            </w:r>
          </w:p>
        </w:tc>
        <w:tc>
          <w:tcPr>
            <w:tcW w:w="5940" w:type="dxa"/>
          </w:tcPr>
          <w:p w14:paraId="66988963" w14:textId="04816764" w:rsidR="003D6599" w:rsidRPr="0049104E" w:rsidRDefault="00852852" w:rsidP="0049104E">
            <w:pPr>
              <w:pStyle w:val="TableText"/>
              <w:jc w:val="both"/>
            </w:pPr>
            <w:r>
              <w:t>Price</w:t>
            </w:r>
            <w:r w:rsidR="00BD0F33" w:rsidRPr="0049104E">
              <w:t xml:space="preserve"> of the single item</w:t>
            </w:r>
          </w:p>
        </w:tc>
      </w:tr>
      <w:tr w:rsidR="003D6599" w:rsidRPr="00D7531A" w14:paraId="1AFB4D22" w14:textId="77777777" w:rsidTr="00DB0692">
        <w:tc>
          <w:tcPr>
            <w:tcW w:w="4050" w:type="dxa"/>
          </w:tcPr>
          <w:p w14:paraId="23341EBE" w14:textId="60395880" w:rsidR="003D6599" w:rsidRPr="0049104E" w:rsidRDefault="00BD0F33" w:rsidP="0049104E">
            <w:pPr>
              <w:pStyle w:val="TableText"/>
              <w:jc w:val="both"/>
            </w:pPr>
            <w:r w:rsidRPr="0049104E">
              <w:lastRenderedPageBreak/>
              <w:t>Extended Price</w:t>
            </w:r>
          </w:p>
        </w:tc>
        <w:tc>
          <w:tcPr>
            <w:tcW w:w="5940" w:type="dxa"/>
          </w:tcPr>
          <w:p w14:paraId="218C35DE" w14:textId="4291E3E0" w:rsidR="003D6599" w:rsidRPr="0049104E" w:rsidRDefault="00852852" w:rsidP="00852852">
            <w:pPr>
              <w:pStyle w:val="TableText"/>
              <w:jc w:val="both"/>
            </w:pPr>
            <w:r>
              <w:t>U</w:t>
            </w:r>
            <w:r w:rsidR="00BD0F33" w:rsidRPr="0049104E">
              <w:t>nit cost multiplied by the number of those items that were purchased. Example: four tablets purchased at a unit cost of $1 have an extended cost of $4 (=$1 × 4 tablets).</w:t>
            </w:r>
          </w:p>
        </w:tc>
      </w:tr>
    </w:tbl>
    <w:p w14:paraId="773624EF" w14:textId="16E2D76F" w:rsidR="00195AE6" w:rsidRDefault="00195AE6" w:rsidP="009A4458"/>
    <w:p w14:paraId="01C98D0E" w14:textId="03CCD6CD" w:rsidR="00195AE6" w:rsidRPr="00FB350A" w:rsidRDefault="00195AE6" w:rsidP="00FB350A">
      <w:pPr>
        <w:spacing w:after="200" w:line="276" w:lineRule="auto"/>
      </w:pPr>
      <w:r>
        <w:br w:type="page"/>
      </w:r>
    </w:p>
    <w:p w14:paraId="4FFDB4C4" w14:textId="77777777" w:rsidR="00195AE6" w:rsidRDefault="00195AE6" w:rsidP="00195AE6">
      <w:pPr>
        <w:jc w:val="center"/>
        <w:rPr>
          <w:b/>
          <w:sz w:val="24"/>
        </w:rPr>
      </w:pPr>
    </w:p>
    <w:p w14:paraId="273EF1AB" w14:textId="77777777" w:rsidR="00195AE6" w:rsidRPr="00195AE6" w:rsidRDefault="00195AE6" w:rsidP="00195AE6">
      <w:pPr>
        <w:pStyle w:val="Heading2"/>
      </w:pPr>
      <w:bookmarkStart w:id="5" w:name="_Toc424469249"/>
      <w:bookmarkStart w:id="6" w:name="_Toc425334243"/>
      <w:proofErr w:type="spellStart"/>
      <w:r w:rsidRPr="00195AE6">
        <w:t>CalcPartner</w:t>
      </w:r>
      <w:proofErr w:type="spellEnd"/>
      <w:r w:rsidRPr="00195AE6">
        <w:t xml:space="preserve"> User Roles</w:t>
      </w:r>
      <w:bookmarkEnd w:id="5"/>
      <w:bookmarkEnd w:id="6"/>
      <w:r w:rsidRPr="00195AE6">
        <w:tab/>
      </w:r>
    </w:p>
    <w:p w14:paraId="34C9F4D4" w14:textId="77777777" w:rsidR="00195AE6" w:rsidRDefault="00195AE6" w:rsidP="00195AE6">
      <w:pPr>
        <w:pStyle w:val="BodyText"/>
        <w:jc w:val="both"/>
      </w:pPr>
      <w:r>
        <w:t xml:space="preserve">There are two user roles in </w:t>
      </w:r>
      <w:proofErr w:type="spellStart"/>
      <w:r>
        <w:t>CalcPartner</w:t>
      </w:r>
      <w:proofErr w:type="spellEnd"/>
      <w:r>
        <w:t xml:space="preserve"> – Integrator and Analyst. Integrator writes calculations, and Analyst communicates with customers in order to get data and run calculations.</w:t>
      </w:r>
    </w:p>
    <w:p w14:paraId="42C23C56" w14:textId="77777777" w:rsidR="00195AE6" w:rsidRDefault="00195AE6" w:rsidP="00195AE6">
      <w:pPr>
        <w:pStyle w:val="Heading1"/>
        <w:rPr>
          <w:sz w:val="36"/>
        </w:rPr>
      </w:pPr>
      <w:bookmarkStart w:id="7" w:name="_Toc424469250"/>
      <w:bookmarkStart w:id="8" w:name="_Toc425334244"/>
      <w:r>
        <w:rPr>
          <w:sz w:val="36"/>
        </w:rPr>
        <w:t>User Interface</w:t>
      </w:r>
      <w:bookmarkEnd w:id="7"/>
      <w:bookmarkEnd w:id="8"/>
    </w:p>
    <w:p w14:paraId="3091887C" w14:textId="77777777" w:rsidR="00195AE6" w:rsidRDefault="00195AE6" w:rsidP="00195AE6">
      <w:pPr>
        <w:pStyle w:val="BodyText"/>
      </w:pPr>
      <w:r>
        <w:t>Here are some user interface outlines:</w:t>
      </w:r>
    </w:p>
    <w:p w14:paraId="5A2DBD56" w14:textId="76FF6CE2" w:rsidR="00195AE6" w:rsidRDefault="00195AE6" w:rsidP="00195AE6">
      <w:pPr>
        <w:pStyle w:val="Images"/>
        <w:rPr>
          <w:lang w:val="en-US"/>
        </w:rPr>
      </w:pPr>
      <w:r>
        <w:drawing>
          <wp:inline distT="0" distB="0" distL="0" distR="0" wp14:anchorId="108159D0" wp14:editId="0A873336">
            <wp:extent cx="4991100" cy="17703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550" cy="1306830"/>
                    </a:xfrm>
                    <a:prstGeom prst="rect">
                      <a:avLst/>
                    </a:prstGeom>
                    <a:noFill/>
                    <a:ln>
                      <a:noFill/>
                    </a:ln>
                  </pic:spPr>
                </pic:pic>
              </a:graphicData>
            </a:graphic>
          </wp:inline>
        </w:drawing>
      </w:r>
    </w:p>
    <w:p w14:paraId="27C5603D" w14:textId="77777777" w:rsidR="00195AE6" w:rsidRDefault="00195AE6" w:rsidP="00382470">
      <w:pPr>
        <w:pStyle w:val="ListBullet"/>
        <w:jc w:val="both"/>
      </w:pPr>
      <w:r>
        <w:rPr>
          <w:b/>
        </w:rPr>
        <w:t>Calculations</w:t>
      </w:r>
      <w:r>
        <w:t xml:space="preserve"> – Python blocks of code written in accordance with a methodology that customer provides. Calculations are written by Integrators.</w:t>
      </w:r>
    </w:p>
    <w:p w14:paraId="5A09CF63" w14:textId="77777777" w:rsidR="00195AE6" w:rsidRDefault="00195AE6" w:rsidP="00382470">
      <w:pPr>
        <w:pStyle w:val="ListBullet"/>
        <w:jc w:val="both"/>
      </w:pPr>
      <w:r>
        <w:rPr>
          <w:b/>
        </w:rPr>
        <w:t>Code</w:t>
      </w:r>
      <w:r>
        <w:t xml:space="preserve"> – blocks of code which are used by the Calculations. These are Python libraries which are imported at the beginning of the calculation. This section contains the logic that defines how transactional data is joined to domain (master) data.</w:t>
      </w:r>
    </w:p>
    <w:p w14:paraId="4565F0E4" w14:textId="77777777" w:rsidR="00195AE6" w:rsidRDefault="00195AE6" w:rsidP="00382470">
      <w:pPr>
        <w:pStyle w:val="ListBullet"/>
        <w:jc w:val="both"/>
      </w:pPr>
      <w:r>
        <w:t xml:space="preserve">In Code section there always MUST be a file called </w:t>
      </w:r>
      <w:proofErr w:type="spellStart"/>
      <w:r>
        <w:rPr>
          <w:b/>
        </w:rPr>
        <w:t>gpcommon</w:t>
      </w:r>
      <w:proofErr w:type="spellEnd"/>
      <w:r>
        <w:t>.</w:t>
      </w:r>
    </w:p>
    <w:p w14:paraId="72D73231" w14:textId="77777777" w:rsidR="00195AE6" w:rsidRDefault="00195AE6" w:rsidP="00382470">
      <w:pPr>
        <w:pStyle w:val="ListBullet"/>
        <w:jc w:val="both"/>
      </w:pPr>
      <w:r>
        <w:rPr>
          <w:b/>
        </w:rPr>
        <w:t>Domains</w:t>
      </w:r>
      <w:r>
        <w:t xml:space="preserve"> – here we store meta-data (in tabular format) which is associated with transactional data. So we have data to operate on.</w:t>
      </w:r>
    </w:p>
    <w:p w14:paraId="44AD7A10" w14:textId="77777777" w:rsidR="00195AE6" w:rsidRDefault="00195AE6" w:rsidP="00382470">
      <w:pPr>
        <w:pStyle w:val="ListBullet"/>
        <w:jc w:val="both"/>
      </w:pPr>
      <w:r>
        <w:rPr>
          <w:b/>
        </w:rPr>
        <w:t>Methodology</w:t>
      </w:r>
      <w:r>
        <w:t>. Integrator works with customer to figure out how to use customer’s data in order to come up with Government Price Points that they need to report. That “how to” is called methodology. Integrator translates methodology into actual code that can be executed in Calculation.</w:t>
      </w:r>
    </w:p>
    <w:p w14:paraId="4E307FD1" w14:textId="77777777" w:rsidR="00195AE6" w:rsidRDefault="00195AE6" w:rsidP="00382470">
      <w:pPr>
        <w:pStyle w:val="ListBullet"/>
        <w:jc w:val="both"/>
      </w:pPr>
      <w:r>
        <w:rPr>
          <w:b/>
        </w:rPr>
        <w:t>Reports</w:t>
      </w:r>
      <w:r>
        <w:t xml:space="preserve"> – other supersets of Python and HTML.</w:t>
      </w:r>
    </w:p>
    <w:p w14:paraId="7EA1C203" w14:textId="639F98E4" w:rsidR="00195AE6" w:rsidRPr="00FB350A" w:rsidRDefault="00195AE6" w:rsidP="00FB350A">
      <w:pPr>
        <w:spacing w:after="200" w:line="276" w:lineRule="auto"/>
        <w:rPr>
          <w:b/>
        </w:rPr>
      </w:pPr>
      <w:r>
        <w:rPr>
          <w:b/>
          <w:sz w:val="24"/>
        </w:rPr>
        <w:br w:type="page"/>
      </w:r>
    </w:p>
    <w:p w14:paraId="1E9CFB9B" w14:textId="77777777" w:rsidR="00195AE6" w:rsidRDefault="00195AE6" w:rsidP="00195AE6">
      <w:pPr>
        <w:pStyle w:val="Heading1"/>
        <w:tabs>
          <w:tab w:val="left" w:pos="2675"/>
        </w:tabs>
        <w:rPr>
          <w:sz w:val="36"/>
        </w:rPr>
      </w:pPr>
      <w:bookmarkStart w:id="9" w:name="_Toc424469251"/>
      <w:bookmarkStart w:id="10" w:name="_Toc425334245"/>
      <w:r>
        <w:rPr>
          <w:sz w:val="36"/>
        </w:rPr>
        <w:lastRenderedPageBreak/>
        <w:t>Workflow</w:t>
      </w:r>
      <w:bookmarkEnd w:id="9"/>
      <w:bookmarkEnd w:id="10"/>
      <w:r>
        <w:rPr>
          <w:sz w:val="36"/>
        </w:rPr>
        <w:tab/>
      </w:r>
    </w:p>
    <w:p w14:paraId="076D2F5F" w14:textId="77777777" w:rsidR="00195AE6" w:rsidRDefault="00195AE6" w:rsidP="00E73ABF">
      <w:pPr>
        <w:pStyle w:val="BodyText"/>
        <w:jc w:val="both"/>
      </w:pPr>
      <w:r>
        <w:t xml:space="preserve">There are four main workflows in </w:t>
      </w:r>
      <w:proofErr w:type="spellStart"/>
      <w:r>
        <w:t>CalcPartner</w:t>
      </w:r>
      <w:proofErr w:type="spellEnd"/>
      <w:r>
        <w:t xml:space="preserve"> – Data Loading, Data Integration, Calculations, </w:t>
      </w:r>
      <w:proofErr w:type="gramStart"/>
      <w:r>
        <w:t>Reports</w:t>
      </w:r>
      <w:proofErr w:type="gramEnd"/>
    </w:p>
    <w:p w14:paraId="02BEFC9F" w14:textId="77777777" w:rsidR="00195AE6" w:rsidRDefault="00195AE6" w:rsidP="00195AE6">
      <w:pPr>
        <w:pStyle w:val="Heading2"/>
        <w:rPr>
          <w:sz w:val="28"/>
        </w:rPr>
      </w:pPr>
      <w:bookmarkStart w:id="11" w:name="_Toc424469252"/>
      <w:bookmarkStart w:id="12" w:name="_Toc425334246"/>
      <w:r>
        <w:rPr>
          <w:sz w:val="28"/>
        </w:rPr>
        <w:t>Data Format</w:t>
      </w:r>
      <w:bookmarkEnd w:id="11"/>
      <w:bookmarkEnd w:id="12"/>
    </w:p>
    <w:p w14:paraId="73EE2092" w14:textId="77777777" w:rsidR="00195AE6" w:rsidRDefault="00195AE6" w:rsidP="00E73ABF">
      <w:pPr>
        <w:pStyle w:val="BodyText"/>
        <w:jc w:val="both"/>
      </w:pPr>
      <w:r>
        <w:t>The data format if Tab Separated Values (TSV). The file headers star with the following symbols: #, ##</w:t>
      </w:r>
      <w:proofErr w:type="gramStart"/>
      <w:r>
        <w:t>, !</w:t>
      </w:r>
      <w:proofErr w:type="gramEnd"/>
      <w:r>
        <w:t>, ?</w:t>
      </w:r>
    </w:p>
    <w:p w14:paraId="116485D1" w14:textId="77777777" w:rsidR="00195AE6" w:rsidRDefault="00195AE6" w:rsidP="00E73ABF">
      <w:pPr>
        <w:pStyle w:val="BodyText"/>
        <w:jc w:val="both"/>
      </w:pPr>
      <w:r>
        <w:rPr>
          <w:b/>
        </w:rPr>
        <w:t>Hashtag</w:t>
      </w:r>
      <w:r>
        <w:t xml:space="preserve"> sign </w:t>
      </w:r>
      <w:r>
        <w:rPr>
          <w:b/>
        </w:rPr>
        <w:t>#</w:t>
      </w:r>
      <w:r>
        <w:t xml:space="preserve"> is a key value store (#key-&gt;value). Example: #class-&gt;domain</w:t>
      </w:r>
    </w:p>
    <w:p w14:paraId="586E6862" w14:textId="77777777" w:rsidR="00195AE6" w:rsidRDefault="00195AE6" w:rsidP="00E73ABF">
      <w:pPr>
        <w:pStyle w:val="BodyText"/>
        <w:jc w:val="both"/>
      </w:pPr>
      <w:r>
        <w:rPr>
          <w:b/>
        </w:rPr>
        <w:t>Double hashtag</w:t>
      </w:r>
      <w:r>
        <w:t xml:space="preserve"> sign </w:t>
      </w:r>
      <w:r>
        <w:rPr>
          <w:b/>
        </w:rPr>
        <w:t>##</w:t>
      </w:r>
      <w:r>
        <w:t xml:space="preserve"> is a key value for the notes field</w:t>
      </w:r>
    </w:p>
    <w:p w14:paraId="1EA7600E" w14:textId="77777777" w:rsidR="00195AE6" w:rsidRDefault="00195AE6" w:rsidP="00E73ABF">
      <w:pPr>
        <w:pStyle w:val="BodyText"/>
        <w:jc w:val="both"/>
      </w:pPr>
      <w:r>
        <w:rPr>
          <w:b/>
        </w:rPr>
        <w:t xml:space="preserve">Exclamation point </w:t>
      </w:r>
      <w:proofErr w:type="gramStart"/>
      <w:r>
        <w:t xml:space="preserve">sign </w:t>
      </w:r>
      <w:r>
        <w:rPr>
          <w:b/>
        </w:rPr>
        <w:t>!</w:t>
      </w:r>
      <w:proofErr w:type="gramEnd"/>
      <w:r>
        <w:t xml:space="preserve"> </w:t>
      </w:r>
      <w:proofErr w:type="gramStart"/>
      <w:r>
        <w:t>is</w:t>
      </w:r>
      <w:proofErr w:type="gramEnd"/>
      <w:r>
        <w:t xml:space="preserve"> a name of each field in the file</w:t>
      </w:r>
    </w:p>
    <w:p w14:paraId="161CB482" w14:textId="77777777" w:rsidR="00195AE6" w:rsidRDefault="00195AE6" w:rsidP="00E73ABF">
      <w:pPr>
        <w:pStyle w:val="BodyText"/>
        <w:jc w:val="both"/>
      </w:pPr>
      <w:r>
        <w:rPr>
          <w:b/>
        </w:rPr>
        <w:t>Question mark</w:t>
      </w:r>
      <w:r>
        <w:t xml:space="preserve"> </w:t>
      </w:r>
      <w:proofErr w:type="gramStart"/>
      <w:r>
        <w:t xml:space="preserve">sign </w:t>
      </w:r>
      <w:r>
        <w:rPr>
          <w:b/>
        </w:rPr>
        <w:t>?</w:t>
      </w:r>
      <w:proofErr w:type="gramEnd"/>
      <w:r>
        <w:t xml:space="preserve"> </w:t>
      </w:r>
      <w:proofErr w:type="gramStart"/>
      <w:r>
        <w:t>is</w:t>
      </w:r>
      <w:proofErr w:type="gramEnd"/>
      <w:r>
        <w:t xml:space="preserve"> a field type. There are three field types supported by </w:t>
      </w:r>
      <w:proofErr w:type="spellStart"/>
      <w:r>
        <w:t>CalcPartner</w:t>
      </w:r>
      <w:proofErr w:type="spellEnd"/>
      <w:r>
        <w:t>: date, text and float.</w:t>
      </w:r>
    </w:p>
    <w:p w14:paraId="66459446" w14:textId="47B2B2DE" w:rsidR="00195AE6" w:rsidRDefault="00195AE6" w:rsidP="00E73ABF">
      <w:pPr>
        <w:pStyle w:val="Images"/>
        <w:rPr>
          <w:lang w:val="en-US"/>
        </w:rPr>
      </w:pPr>
      <w:r>
        <w:drawing>
          <wp:inline distT="0" distB="0" distL="0" distR="0" wp14:anchorId="4D5F35FC" wp14:editId="2BADDAE1">
            <wp:extent cx="5789295" cy="10369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9295" cy="1036955"/>
                    </a:xfrm>
                    <a:prstGeom prst="rect">
                      <a:avLst/>
                    </a:prstGeom>
                    <a:noFill/>
                    <a:ln>
                      <a:noFill/>
                    </a:ln>
                  </pic:spPr>
                </pic:pic>
              </a:graphicData>
            </a:graphic>
          </wp:inline>
        </w:drawing>
      </w:r>
    </w:p>
    <w:p w14:paraId="03D64FE9" w14:textId="7CB96008" w:rsidR="00195AE6" w:rsidRDefault="00195AE6" w:rsidP="00195AE6">
      <w:pPr>
        <w:rPr>
          <w:sz w:val="24"/>
        </w:rPr>
      </w:pPr>
      <w:r>
        <w:rPr>
          <w:sz w:val="24"/>
        </w:rPr>
        <w:br w:type="page"/>
      </w:r>
    </w:p>
    <w:p w14:paraId="4FC44D60" w14:textId="77777777" w:rsidR="00195AE6" w:rsidRDefault="00195AE6" w:rsidP="00195AE6">
      <w:pPr>
        <w:pStyle w:val="Heading2"/>
        <w:rPr>
          <w:sz w:val="28"/>
        </w:rPr>
      </w:pPr>
      <w:bookmarkStart w:id="13" w:name="_Toc424469253"/>
      <w:bookmarkStart w:id="14" w:name="_Toc425334247"/>
      <w:r>
        <w:rPr>
          <w:sz w:val="28"/>
        </w:rPr>
        <w:lastRenderedPageBreak/>
        <w:t>Data Loading</w:t>
      </w:r>
      <w:bookmarkEnd w:id="13"/>
      <w:bookmarkEnd w:id="14"/>
    </w:p>
    <w:p w14:paraId="38D92A67" w14:textId="77777777" w:rsidR="00195AE6" w:rsidRDefault="00195AE6" w:rsidP="00E73ABF">
      <w:pPr>
        <w:pStyle w:val="BodyText"/>
      </w:pPr>
      <w:r>
        <w:rPr>
          <w:b/>
        </w:rPr>
        <w:t>Domain data</w:t>
      </w:r>
      <w:r>
        <w:t xml:space="preserve"> – The source data is called a domain data, it may be chargebacks, rebates, admin fees, track data for military employers etc. The source data is uploaded to staging area, where there are some checks applied and presented in an upload summary. Then they migrate it to main storage area, where it becomes available for calculations.</w:t>
      </w:r>
    </w:p>
    <w:p w14:paraId="7E3C72AD" w14:textId="77777777" w:rsidR="00195AE6" w:rsidRDefault="00195AE6" w:rsidP="00E73ABF">
      <w:pPr>
        <w:pStyle w:val="BodyText"/>
      </w:pPr>
      <w:r>
        <w:rPr>
          <w:b/>
        </w:rPr>
        <w:t>Transactional data</w:t>
      </w:r>
      <w:r>
        <w:t xml:space="preserve"> – a set of rules how the domain data should be used.</w:t>
      </w:r>
    </w:p>
    <w:p w14:paraId="70085F11" w14:textId="0BCDF713" w:rsidR="00195AE6" w:rsidRDefault="00195AE6" w:rsidP="00E73ABF">
      <w:pPr>
        <w:pStyle w:val="NoteText"/>
      </w:pPr>
      <w:r>
        <w:t xml:space="preserve">The size of one file is limited to 1Gb. Data file after upload gets turned into Python string and passed to Unicode function. Unicode function has limitation by </w:t>
      </w:r>
      <w:proofErr w:type="gramStart"/>
      <w:r>
        <w:t>1Gb</w:t>
      </w:r>
      <w:proofErr w:type="gramEnd"/>
      <w:r>
        <w:t xml:space="preserve"> to process the data.</w:t>
      </w:r>
    </w:p>
    <w:p w14:paraId="0C33F1B6" w14:textId="77777777" w:rsidR="00195AE6" w:rsidRDefault="00195AE6" w:rsidP="00E73ABF">
      <w:pPr>
        <w:pStyle w:val="BodyText"/>
      </w:pPr>
      <w:r>
        <w:t xml:space="preserve">A customer uploads files to CIS FTP server. The path that should be followed is </w:t>
      </w:r>
      <w:r>
        <w:rPr>
          <w:rFonts w:ascii="Courier New" w:hAnsi="Courier New" w:cs="Courier New"/>
        </w:rPr>
        <w:t>calculation\quarter\month\file_name.txt</w:t>
      </w:r>
    </w:p>
    <w:p w14:paraId="3FCC8133" w14:textId="77777777" w:rsidR="00195AE6" w:rsidRDefault="00195AE6" w:rsidP="00E73ABF">
      <w:pPr>
        <w:pStyle w:val="BodyText"/>
      </w:pPr>
      <w:r>
        <w:t xml:space="preserve">Uploading file goes through the </w:t>
      </w:r>
      <w:r>
        <w:rPr>
          <w:b/>
        </w:rPr>
        <w:t>Validation process:</w:t>
      </w:r>
    </w:p>
    <w:p w14:paraId="4C62AA17" w14:textId="3F4B1BBD" w:rsidR="00195AE6" w:rsidRDefault="00195AE6" w:rsidP="00E73ABF">
      <w:pPr>
        <w:pStyle w:val="ListBullet"/>
      </w:pPr>
      <w:r>
        <w:t xml:space="preserve">If a </w:t>
      </w:r>
      <w:r>
        <w:rPr>
          <w:b/>
        </w:rPr>
        <w:t>green check icon</w:t>
      </w:r>
      <w:r>
        <w:t xml:space="preserve"> appears in the “status” column for the uploaded file: The file has no issues and is ready to be migrated. Click the green arrow to the right on the file line to migrate. </w:t>
      </w:r>
    </w:p>
    <w:p w14:paraId="0238C63A" w14:textId="393B91B9" w:rsidR="00195AE6" w:rsidRDefault="00195AE6" w:rsidP="00E73ABF">
      <w:pPr>
        <w:pStyle w:val="ListBullet"/>
      </w:pPr>
      <w:r>
        <w:t xml:space="preserve">If a </w:t>
      </w:r>
      <w:r>
        <w:rPr>
          <w:b/>
        </w:rPr>
        <w:t>yellow warning triangle icon</w:t>
      </w:r>
      <w:r>
        <w:t xml:space="preserve"> appears in the “status” column for the uploaded file: A number will appear under the “errors” or “warnings” column. Click the number to view the issues. In this situation, the likely issue is a missing “key” specified for the table. The file is typically okay to migrate as is. Click the green arrow to the right on the file line to migrate.</w:t>
      </w:r>
    </w:p>
    <w:p w14:paraId="57195E76" w14:textId="77777777" w:rsidR="00195AE6" w:rsidRDefault="00195AE6" w:rsidP="00E73ABF">
      <w:pPr>
        <w:pStyle w:val="ListBullet"/>
      </w:pPr>
      <w:r>
        <w:t xml:space="preserve">If a </w:t>
      </w:r>
      <w:r>
        <w:rPr>
          <w:b/>
        </w:rPr>
        <w:t xml:space="preserve">red circle </w:t>
      </w:r>
      <w:r>
        <w:t>with an “X” appears in the “status” column for the uploaded file: The file is not ready to migrate and has errors that need to be reviewed and fixed. A number will appear under the “errors” column. Click the number to view the errors. Edit the file according to the documented errors and re-upload. Continue until a green check appears, indicating all errors have been resolved. Click the green arrow to the right on the file line to migrate.</w:t>
      </w:r>
    </w:p>
    <w:p w14:paraId="0349B059" w14:textId="77777777" w:rsidR="00195AE6" w:rsidRDefault="00195AE6" w:rsidP="00E73ABF">
      <w:pPr>
        <w:pStyle w:val="BodyText"/>
        <w:jc w:val="both"/>
      </w:pPr>
      <w:r>
        <w:t xml:space="preserve">After successful file upload, the system will store the file and notify a user with a message: </w:t>
      </w:r>
      <w:r>
        <w:rPr>
          <w:rFonts w:ascii="Courier New" w:hAnsi="Courier New" w:cs="Courier New"/>
        </w:rPr>
        <w:t>&lt;</w:t>
      </w:r>
      <w:proofErr w:type="spellStart"/>
      <w:r>
        <w:rPr>
          <w:rFonts w:ascii="Courier New" w:hAnsi="Courier New" w:cs="Courier New"/>
        </w:rPr>
        <w:t>file_name.file_type</w:t>
      </w:r>
      <w:proofErr w:type="spellEnd"/>
      <w:r>
        <w:rPr>
          <w:rFonts w:ascii="Courier New" w:hAnsi="Courier New" w:cs="Courier New"/>
        </w:rPr>
        <w:t>&gt;</w:t>
      </w:r>
      <w:r>
        <w:t xml:space="preserve"> Uploaded by </w:t>
      </w:r>
      <w:r>
        <w:rPr>
          <w:rFonts w:ascii="Courier New" w:hAnsi="Courier New" w:cs="Courier New"/>
        </w:rPr>
        <w:t>&lt;</w:t>
      </w:r>
      <w:proofErr w:type="spellStart"/>
      <w:r>
        <w:rPr>
          <w:rFonts w:ascii="Courier New" w:hAnsi="Courier New" w:cs="Courier New"/>
        </w:rPr>
        <w:t>user_name</w:t>
      </w:r>
      <w:proofErr w:type="spellEnd"/>
      <w:r>
        <w:rPr>
          <w:rFonts w:ascii="Courier New" w:hAnsi="Courier New" w:cs="Courier New"/>
        </w:rPr>
        <w:t>&gt;</w:t>
      </w:r>
      <w:r>
        <w:t xml:space="preserve"> on </w:t>
      </w:r>
      <w:r>
        <w:rPr>
          <w:rFonts w:ascii="Courier New" w:hAnsi="Courier New" w:cs="Courier New"/>
        </w:rPr>
        <w:t>&lt;</w:t>
      </w:r>
      <w:proofErr w:type="gramStart"/>
      <w:r>
        <w:rPr>
          <w:rFonts w:ascii="Courier New" w:hAnsi="Courier New" w:cs="Courier New"/>
        </w:rPr>
        <w:t>DATE(</w:t>
      </w:r>
      <w:proofErr w:type="gramEnd"/>
      <w:r>
        <w:rPr>
          <w:rFonts w:ascii="Courier New" w:hAnsi="Courier New" w:cs="Courier New"/>
        </w:rPr>
        <w:t>YYYY-MM-DD)&gt;</w:t>
      </w:r>
      <w:r>
        <w:t xml:space="preserve"> </w:t>
      </w:r>
      <w:r>
        <w:rPr>
          <w:rFonts w:ascii="Courier New" w:hAnsi="Courier New" w:cs="Courier New"/>
        </w:rPr>
        <w:t>&lt;TIME(HH:MM:SS)&gt;</w:t>
      </w:r>
      <w:r>
        <w:t xml:space="preserve"> Completed verification with </w:t>
      </w:r>
      <w:r>
        <w:rPr>
          <w:rFonts w:ascii="Courier New" w:hAnsi="Courier New" w:cs="Courier New"/>
        </w:rPr>
        <w:t>&lt;X&gt;</w:t>
      </w:r>
      <w:r>
        <w:t xml:space="preserve"> errors and </w:t>
      </w:r>
      <w:r>
        <w:rPr>
          <w:rFonts w:ascii="Courier New" w:hAnsi="Courier New" w:cs="Courier New"/>
        </w:rPr>
        <w:t>&lt;X&gt;</w:t>
      </w:r>
      <w:r>
        <w:t xml:space="preserve"> warnings. If there were errors or warnings a user will have the ability to edit the file. If there were no errors or warnings a user will be directed to go to View Upload Summary automatically.</w:t>
      </w:r>
    </w:p>
    <w:p w14:paraId="3CFEF191" w14:textId="77777777" w:rsidR="00195AE6" w:rsidRDefault="00195AE6" w:rsidP="00E73ABF">
      <w:pPr>
        <w:pStyle w:val="BodyText"/>
        <w:jc w:val="both"/>
      </w:pPr>
      <w:r>
        <w:rPr>
          <w:b/>
        </w:rPr>
        <w:t>Upload Summary</w:t>
      </w:r>
      <w:r>
        <w:t xml:space="preserve"> will provide information about data modifications of the file just recently uploaded. Example: removed empty rows or columns at the end of the file. </w:t>
      </w:r>
    </w:p>
    <w:p w14:paraId="1B861A1A" w14:textId="3B0702E5" w:rsidR="00195AE6" w:rsidRDefault="00195AE6" w:rsidP="00E73ABF">
      <w:pPr>
        <w:pStyle w:val="Images"/>
        <w:rPr>
          <w:lang w:val="en-US"/>
        </w:rPr>
      </w:pPr>
      <w:r>
        <w:drawing>
          <wp:inline distT="0" distB="0" distL="0" distR="0" wp14:anchorId="58A6F1F1" wp14:editId="27A033EA">
            <wp:extent cx="6563995" cy="687070"/>
            <wp:effectExtent l="0" t="0" r="8255"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14630"/>
                    </a:xfrm>
                    <a:prstGeom prst="rect">
                      <a:avLst/>
                    </a:prstGeom>
                    <a:noFill/>
                    <a:ln>
                      <a:noFill/>
                    </a:ln>
                  </pic:spPr>
                </pic:pic>
              </a:graphicData>
            </a:graphic>
          </wp:inline>
        </w:drawing>
      </w:r>
    </w:p>
    <w:p w14:paraId="02A41A6F" w14:textId="77777777" w:rsidR="00195AE6" w:rsidRDefault="00195AE6" w:rsidP="00E73ABF">
      <w:pPr>
        <w:pStyle w:val="BodyText"/>
      </w:pPr>
      <w:r>
        <w:t xml:space="preserve">After viewing </w:t>
      </w:r>
      <w:r>
        <w:rPr>
          <w:b/>
        </w:rPr>
        <w:t>Upload Summary</w:t>
      </w:r>
      <w:r>
        <w:t xml:space="preserve">, a user will have the ability to migrate data into </w:t>
      </w:r>
      <w:proofErr w:type="spellStart"/>
      <w:r>
        <w:t>CalcPartner</w:t>
      </w:r>
      <w:proofErr w:type="spellEnd"/>
      <w:r>
        <w:t xml:space="preserve"> itself and put it into the main storage area. After successful migration, a user will see Migrated to </w:t>
      </w:r>
      <w:proofErr w:type="spellStart"/>
      <w:r>
        <w:t>CalcPartner</w:t>
      </w:r>
      <w:proofErr w:type="spellEnd"/>
      <w:r>
        <w:t xml:space="preserve"> message highlighted in green.</w:t>
      </w:r>
    </w:p>
    <w:p w14:paraId="6C96D6A2" w14:textId="4C9448D2" w:rsidR="00195AE6" w:rsidRDefault="00195AE6" w:rsidP="00E73ABF">
      <w:pPr>
        <w:pStyle w:val="Images"/>
        <w:rPr>
          <w:lang w:val="en-US"/>
        </w:rPr>
      </w:pPr>
      <w:r>
        <w:drawing>
          <wp:inline distT="0" distB="0" distL="0" distR="0" wp14:anchorId="179C8BE3" wp14:editId="57DE8A91">
            <wp:extent cx="6563995" cy="664210"/>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198755"/>
                    </a:xfrm>
                    <a:prstGeom prst="rect">
                      <a:avLst/>
                    </a:prstGeom>
                    <a:noFill/>
                    <a:ln>
                      <a:noFill/>
                    </a:ln>
                  </pic:spPr>
                </pic:pic>
              </a:graphicData>
            </a:graphic>
          </wp:inline>
        </w:drawing>
      </w:r>
    </w:p>
    <w:p w14:paraId="71B4FB8A" w14:textId="77777777" w:rsidR="00195AE6" w:rsidRDefault="00195AE6" w:rsidP="00E73ABF">
      <w:pPr>
        <w:pStyle w:val="BodyText"/>
      </w:pPr>
      <w:r>
        <w:t>Most of warnings are going to be for domain tables that don’t have a key.</w:t>
      </w:r>
    </w:p>
    <w:p w14:paraId="4722C343" w14:textId="77777777" w:rsidR="00195AE6" w:rsidRDefault="00195AE6" w:rsidP="00E73ABF">
      <w:pPr>
        <w:pStyle w:val="BodyText"/>
      </w:pPr>
      <w:proofErr w:type="spellStart"/>
      <w:r>
        <w:t>CalcPartner</w:t>
      </w:r>
      <w:proofErr w:type="spellEnd"/>
      <w:r>
        <w:t xml:space="preserve"> can handle any source of data and run Python script on it, but here are the most used sources:</w:t>
      </w:r>
    </w:p>
    <w:p w14:paraId="1BA9AAFF" w14:textId="77777777" w:rsidR="00195AE6" w:rsidRDefault="00195AE6" w:rsidP="00E73ABF">
      <w:pPr>
        <w:pStyle w:val="ListBullet"/>
      </w:pPr>
      <w:r>
        <w:rPr>
          <w:b/>
        </w:rPr>
        <w:t>Direct Sales data</w:t>
      </w:r>
      <w:r>
        <w:t xml:space="preserve"> – the sale from distributor to end user.</w:t>
      </w:r>
    </w:p>
    <w:p w14:paraId="5711C151" w14:textId="77777777" w:rsidR="00195AE6" w:rsidRDefault="00195AE6" w:rsidP="00E73ABF">
      <w:pPr>
        <w:pStyle w:val="ListBullet"/>
      </w:pPr>
      <w:r>
        <w:rPr>
          <w:b/>
        </w:rPr>
        <w:t>Rebates</w:t>
      </w:r>
      <w:r>
        <w:t xml:space="preserve"> – an amount paid by way of reduction, return, or refund on what has already been paid.</w:t>
      </w:r>
    </w:p>
    <w:p w14:paraId="5F32219B" w14:textId="77777777" w:rsidR="00195AE6" w:rsidRDefault="00195AE6" w:rsidP="00E73ABF">
      <w:pPr>
        <w:pStyle w:val="ListBullet"/>
      </w:pPr>
      <w:r>
        <w:rPr>
          <w:b/>
        </w:rPr>
        <w:t>Chargeback data</w:t>
      </w:r>
      <w:r>
        <w:t xml:space="preserve"> – manufacture sales products (drugs) to wholesaler. The wholesaler will sell products to other distributers, hospitals or pharmacies. Depending on a contract the manufacture has negotiated with </w:t>
      </w:r>
      <w:r>
        <w:lastRenderedPageBreak/>
        <w:t>end users the wholesaler has to maintain the negotiated prices. Chargeback is a difference between projected price and actual end price.</w:t>
      </w:r>
    </w:p>
    <w:p w14:paraId="214027B4" w14:textId="77777777" w:rsidR="00195AE6" w:rsidRDefault="00195AE6" w:rsidP="00E73ABF">
      <w:pPr>
        <w:pStyle w:val="ListBullet"/>
      </w:pPr>
      <w:r>
        <w:rPr>
          <w:b/>
        </w:rPr>
        <w:t>Series of Fees</w:t>
      </w:r>
      <w:r>
        <w:t xml:space="preserve"> – Admin fees (for representative of the end user), Discounts, Inventory fees, </w:t>
      </w:r>
      <w:proofErr w:type="gramStart"/>
      <w:r>
        <w:t>Tracking</w:t>
      </w:r>
      <w:proofErr w:type="gramEnd"/>
      <w:r>
        <w:t xml:space="preserve"> fees, GPO (Group Purchasing Organization) fees.</w:t>
      </w:r>
    </w:p>
    <w:p w14:paraId="353FE98D" w14:textId="44ADA95B" w:rsidR="00195AE6" w:rsidRDefault="00195AE6" w:rsidP="00E73ABF">
      <w:pPr>
        <w:pStyle w:val="BodyText"/>
      </w:pPr>
      <w:r>
        <w:rPr>
          <w:noProof/>
          <w:sz w:val="22"/>
          <w:lang w:val="uk-UA" w:eastAsia="uk-UA"/>
        </w:rPr>
        <w:drawing>
          <wp:anchor distT="0" distB="0" distL="114300" distR="114300" simplePos="0" relativeHeight="251659264" behindDoc="0" locked="0" layoutInCell="1" allowOverlap="1" wp14:anchorId="670D9E5E" wp14:editId="1FBC4C1F">
            <wp:simplePos x="0" y="0"/>
            <wp:positionH relativeFrom="column">
              <wp:posOffset>-135255</wp:posOffset>
            </wp:positionH>
            <wp:positionV relativeFrom="paragraph">
              <wp:posOffset>-155575</wp:posOffset>
            </wp:positionV>
            <wp:extent cx="1725295" cy="284099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6030" cy="23615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customer has a </w:t>
      </w:r>
      <w:r>
        <w:rPr>
          <w:b/>
        </w:rPr>
        <w:t>Manage Uploads page</w:t>
      </w:r>
      <w:r>
        <w:t xml:space="preserve"> to upload data into the system.</w:t>
      </w:r>
    </w:p>
    <w:p w14:paraId="6FEF92CC" w14:textId="77777777" w:rsidR="00195AE6" w:rsidRDefault="00195AE6" w:rsidP="00E73ABF">
      <w:pPr>
        <w:pStyle w:val="BodyText"/>
      </w:pPr>
      <w:r>
        <w:t>The</w:t>
      </w:r>
      <w:r>
        <w:rPr>
          <w:b/>
        </w:rPr>
        <w:t xml:space="preserve"> Manage Data</w:t>
      </w:r>
      <w:r>
        <w:t xml:space="preserve"> page contains the following options: Manage Uploads, Manage Data, View Data Runs, Data Overview, Reports, Wiki Page, </w:t>
      </w:r>
      <w:proofErr w:type="gramStart"/>
      <w:r>
        <w:t>Logging</w:t>
      </w:r>
      <w:proofErr w:type="gramEnd"/>
      <w:r>
        <w:t>.</w:t>
      </w:r>
    </w:p>
    <w:p w14:paraId="54DF8E60" w14:textId="77777777" w:rsidR="00195AE6" w:rsidRDefault="00195AE6" w:rsidP="00E73ABF">
      <w:pPr>
        <w:pStyle w:val="BodyText"/>
      </w:pPr>
      <w:r>
        <w:rPr>
          <w:b/>
        </w:rPr>
        <w:t>Manage Uploads</w:t>
      </w:r>
      <w:r>
        <w:t xml:space="preserve"> provides options to load customer data to staging area</w:t>
      </w:r>
    </w:p>
    <w:p w14:paraId="1F65D2DE" w14:textId="77777777" w:rsidR="00195AE6" w:rsidRDefault="00195AE6" w:rsidP="00E73ABF">
      <w:pPr>
        <w:pStyle w:val="BodyText"/>
      </w:pPr>
      <w:r>
        <w:t xml:space="preserve">Sources of data: </w:t>
      </w:r>
      <w:proofErr w:type="spellStart"/>
      <w:r>
        <w:t>Sharefile</w:t>
      </w:r>
      <w:proofErr w:type="spellEnd"/>
      <w:r>
        <w:t>, 3PLs, email and phone calls</w:t>
      </w:r>
    </w:p>
    <w:p w14:paraId="205747E5" w14:textId="77777777" w:rsidR="00195AE6" w:rsidRDefault="00195AE6" w:rsidP="00E73ABF">
      <w:pPr>
        <w:pStyle w:val="BodyText"/>
      </w:pPr>
      <w:r>
        <w:t xml:space="preserve">3PLs: ICS, SPS, </w:t>
      </w:r>
      <w:proofErr w:type="spellStart"/>
      <w:r>
        <w:t>RxCrossroads</w:t>
      </w:r>
      <w:proofErr w:type="spellEnd"/>
    </w:p>
    <w:p w14:paraId="4F6DED57" w14:textId="77777777" w:rsidR="00195AE6" w:rsidRDefault="00195AE6" w:rsidP="00E73ABF">
      <w:pPr>
        <w:pStyle w:val="BodyText"/>
      </w:pPr>
      <w:r>
        <w:t xml:space="preserve">Internal systems: Amalgamate, </w:t>
      </w:r>
      <w:proofErr w:type="spellStart"/>
      <w:r>
        <w:t>ScriptPartner</w:t>
      </w:r>
      <w:proofErr w:type="spellEnd"/>
    </w:p>
    <w:p w14:paraId="4736F194" w14:textId="77777777" w:rsidR="00195AE6" w:rsidRDefault="00195AE6" w:rsidP="00E73ABF">
      <w:pPr>
        <w:pStyle w:val="BodyText"/>
      </w:pPr>
      <w:r>
        <w:rPr>
          <w:b/>
        </w:rPr>
        <w:t xml:space="preserve">Manage Data </w:t>
      </w:r>
      <w:r>
        <w:t xml:space="preserve">displays a table of months indicating data existence and </w:t>
      </w:r>
      <w:r>
        <w:rPr>
          <w:b/>
        </w:rPr>
        <w:t>provides</w:t>
      </w:r>
      <w:r>
        <w:t xml:space="preserve"> options to manage data.</w:t>
      </w:r>
    </w:p>
    <w:p w14:paraId="21DEA5D7" w14:textId="77777777" w:rsidR="00195AE6" w:rsidRDefault="00195AE6" w:rsidP="00E73ABF">
      <w:pPr>
        <w:pStyle w:val="ListNumber"/>
      </w:pPr>
      <w:r>
        <w:t>Green and Pink Boxes – A green box indicates data exists for that month and file type. A pink box indicates no data exists for that month and file type.</w:t>
      </w:r>
    </w:p>
    <w:p w14:paraId="758CF23C" w14:textId="7F3AC955" w:rsidR="00195AE6" w:rsidRDefault="00195AE6" w:rsidP="00E73ABF">
      <w:pPr>
        <w:pStyle w:val="ListNumber"/>
      </w:pPr>
      <w:r>
        <w:t>Filenames – All calculation codes, report codes, domain files and calculation files</w:t>
      </w:r>
      <w:r w:rsidR="00D56F41">
        <w:t>.</w:t>
      </w:r>
    </w:p>
    <w:p w14:paraId="3B35CC6D" w14:textId="0ED0E701" w:rsidR="00195AE6" w:rsidRDefault="00195AE6" w:rsidP="00E73ABF">
      <w:pPr>
        <w:pStyle w:val="ListNumber"/>
      </w:pPr>
      <w:r>
        <w:t xml:space="preserve">Magnifying Glass – View one or more months of a specific file as an open </w:t>
      </w:r>
      <w:r w:rsidR="00D56F41">
        <w:t>.</w:t>
      </w:r>
      <w:r>
        <w:t>document spreadsheet within CalcPartner3</w:t>
      </w:r>
      <w:r w:rsidR="00D56F41">
        <w:t>.</w:t>
      </w:r>
    </w:p>
    <w:p w14:paraId="19F04957" w14:textId="7CD459F5" w:rsidR="00195AE6" w:rsidRDefault="00195AE6" w:rsidP="00E73ABF">
      <w:pPr>
        <w:pStyle w:val="ListNumber"/>
      </w:pPr>
      <w:r>
        <w:t>Black Floppy Disk – Download one or more months of a specific file as a text document</w:t>
      </w:r>
      <w:r w:rsidR="00D56F41">
        <w:t>.</w:t>
      </w:r>
    </w:p>
    <w:p w14:paraId="323A5CFB" w14:textId="798C1A11" w:rsidR="00195AE6" w:rsidRDefault="00195AE6" w:rsidP="00E73ABF">
      <w:pPr>
        <w:pStyle w:val="ListNumber"/>
      </w:pPr>
      <w:r>
        <w:t>Red X – If you have selected one or more months of a specific file, use the red x to ‘unselect’ all selections</w:t>
      </w:r>
      <w:r w:rsidR="00D56F41">
        <w:t>.</w:t>
      </w:r>
    </w:p>
    <w:p w14:paraId="040DE2E0" w14:textId="77777777" w:rsidR="00195AE6" w:rsidRDefault="00195AE6" w:rsidP="00E8692A">
      <w:pPr>
        <w:pStyle w:val="BodyText"/>
      </w:pPr>
      <w:r>
        <w:rPr>
          <w:b/>
        </w:rPr>
        <w:t>View Data Runs</w:t>
      </w:r>
      <w:r>
        <w:t xml:space="preserve"> is a page with Calculation outputs. When Data Run is created it gets assigned a number which is displayed in the URL and output stored in SQLite database file. Each Run has metadata associated with it Run Title, Start Date (defined in months), End Date (defined in months).</w:t>
      </w:r>
    </w:p>
    <w:p w14:paraId="177B99F1" w14:textId="6EA600C0" w:rsidR="00E8692A" w:rsidRDefault="00E8692A" w:rsidP="00FB350A">
      <w:pPr>
        <w:spacing w:after="200" w:line="276" w:lineRule="auto"/>
      </w:pPr>
      <w:r>
        <w:br w:type="page"/>
      </w:r>
    </w:p>
    <w:p w14:paraId="2328BA50" w14:textId="62ED5186" w:rsidR="00195AE6" w:rsidRPr="00E8692A" w:rsidRDefault="00195AE6" w:rsidP="00E8692A">
      <w:pPr>
        <w:pStyle w:val="Heading2"/>
        <w:rPr>
          <w:sz w:val="24"/>
        </w:rPr>
      </w:pPr>
      <w:bookmarkStart w:id="15" w:name="_Toc424469254"/>
      <w:bookmarkStart w:id="16" w:name="_Toc425334248"/>
      <w:r>
        <w:lastRenderedPageBreak/>
        <w:t xml:space="preserve">Run </w:t>
      </w:r>
      <w:proofErr w:type="gramStart"/>
      <w:r>
        <w:t>As</w:t>
      </w:r>
      <w:proofErr w:type="gramEnd"/>
      <w:r>
        <w:t xml:space="preserve"> Date concept</w:t>
      </w:r>
      <w:bookmarkEnd w:id="15"/>
      <w:bookmarkEnd w:id="16"/>
    </w:p>
    <w:p w14:paraId="6C8061DB" w14:textId="77777777" w:rsidR="00195AE6" w:rsidRDefault="00195AE6" w:rsidP="00E8692A">
      <w:pPr>
        <w:pStyle w:val="BodyText"/>
        <w:jc w:val="both"/>
      </w:pPr>
      <w:r>
        <w:t xml:space="preserve">Concept of Run </w:t>
      </w:r>
      <w:proofErr w:type="gramStart"/>
      <w:r>
        <w:t>As</w:t>
      </w:r>
      <w:proofErr w:type="gramEnd"/>
      <w:r>
        <w:t xml:space="preserve"> Date is going to define a version of data. When we continuously uploading new Calculations we uploading new versions. There is a database that keeps track of those versions and will always be looking for the newest one.</w:t>
      </w:r>
    </w:p>
    <w:p w14:paraId="143703C0" w14:textId="77777777" w:rsidR="00195AE6" w:rsidRDefault="00195AE6" w:rsidP="00E8692A">
      <w:pPr>
        <w:pStyle w:val="BodyText"/>
        <w:jc w:val="both"/>
      </w:pPr>
      <w:r>
        <w:t xml:space="preserve">Scenario for Run </w:t>
      </w:r>
      <w:proofErr w:type="gramStart"/>
      <w:r>
        <w:t>As</w:t>
      </w:r>
      <w:proofErr w:type="gramEnd"/>
      <w:r>
        <w:t xml:space="preserve"> Date concept: We have current data but a customer asks to run Calculation using an older methodology.</w:t>
      </w:r>
    </w:p>
    <w:p w14:paraId="1D979386" w14:textId="77777777" w:rsidR="00195AE6" w:rsidRDefault="00195AE6" w:rsidP="00E8692A">
      <w:pPr>
        <w:pStyle w:val="BodyText"/>
        <w:jc w:val="both"/>
      </w:pPr>
      <w:r>
        <w:t xml:space="preserve">The reason to have Run </w:t>
      </w:r>
      <w:proofErr w:type="gramStart"/>
      <w:r>
        <w:t>As</w:t>
      </w:r>
      <w:proofErr w:type="gramEnd"/>
      <w:r>
        <w:t xml:space="preserve"> Date is the case when we need to be able to calculate or re-run any calculation for 10 years. Because of 10-year data retention and the Performance Rule for CMS (Centers for Medicare &amp; Medicaid Services).</w:t>
      </w:r>
    </w:p>
    <w:p w14:paraId="5B034D0D" w14:textId="77777777" w:rsidR="00195AE6" w:rsidRDefault="00195AE6" w:rsidP="00E8692A">
      <w:pPr>
        <w:pStyle w:val="BodyText"/>
        <w:jc w:val="both"/>
      </w:pPr>
      <w:r>
        <w:t xml:space="preserve">We must put Run </w:t>
      </w:r>
      <w:proofErr w:type="gramStart"/>
      <w:r>
        <w:t>As</w:t>
      </w:r>
      <w:proofErr w:type="gramEnd"/>
      <w:r>
        <w:t xml:space="preserve"> Date when we need to perform any re-calculation of the existing date or re-generate an output (the reason can be validation or domain file comparison within different time).</w:t>
      </w:r>
    </w:p>
    <w:p w14:paraId="28AFCF9B" w14:textId="2B307C1C" w:rsidR="00195AE6" w:rsidRDefault="00195AE6" w:rsidP="00E8692A">
      <w:pPr>
        <w:pStyle w:val="NoteText"/>
      </w:pPr>
      <w:r>
        <w:rPr>
          <w:b/>
        </w:rPr>
        <w:t xml:space="preserve">Run </w:t>
      </w:r>
      <w:proofErr w:type="gramStart"/>
      <w:r>
        <w:rPr>
          <w:b/>
        </w:rPr>
        <w:t>As</w:t>
      </w:r>
      <w:proofErr w:type="gramEnd"/>
      <w:r>
        <w:rPr>
          <w:b/>
        </w:rPr>
        <w:t xml:space="preserve"> Date</w:t>
      </w:r>
      <w:r>
        <w:t xml:space="preserve"> puts a timestamp on the calculation at which it uses the condition of the data up until that time. Once the date is set, any changes made to the data after that date will not be captured in the calculation.</w:t>
      </w:r>
    </w:p>
    <w:p w14:paraId="7BBC25A7" w14:textId="77777777" w:rsidR="00195AE6" w:rsidRDefault="00195AE6" w:rsidP="00E8692A">
      <w:pPr>
        <w:pStyle w:val="BodyText"/>
        <w:jc w:val="both"/>
      </w:pPr>
      <w:r>
        <w:rPr>
          <w:b/>
        </w:rPr>
        <w:t>Data Overview</w:t>
      </w:r>
      <w:r>
        <w:t xml:space="preserve"> will provide information about files uploaded into </w:t>
      </w:r>
      <w:proofErr w:type="spellStart"/>
      <w:r>
        <w:t>CalcPartner</w:t>
      </w:r>
      <w:proofErr w:type="spellEnd"/>
      <w:r>
        <w:t>, grouped by dates. And also provide an ability to see a full difference between the files where a user can choose a set of keys and see what different rows are in the files. See pic below.</w:t>
      </w:r>
    </w:p>
    <w:p w14:paraId="439692A9" w14:textId="5BAEFEC6" w:rsidR="00195AE6" w:rsidRDefault="00195AE6" w:rsidP="00195AE6">
      <w:pPr>
        <w:rPr>
          <w:sz w:val="24"/>
        </w:rPr>
      </w:pPr>
      <w:r>
        <w:rPr>
          <w:noProof/>
          <w:sz w:val="24"/>
          <w:lang w:val="uk-UA" w:eastAsia="uk-UA"/>
        </w:rPr>
        <w:drawing>
          <wp:inline distT="0" distB="0" distL="0" distR="0" wp14:anchorId="6BAF3511" wp14:editId="44395D4E">
            <wp:extent cx="6231890" cy="185801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14:paraId="028524A8" w14:textId="0F3D10FE" w:rsidR="00195AE6" w:rsidRDefault="00195AE6" w:rsidP="00195AE6">
      <w:pPr>
        <w:pStyle w:val="Heading2"/>
        <w:rPr>
          <w:sz w:val="28"/>
        </w:rPr>
      </w:pPr>
      <w:bookmarkStart w:id="17" w:name="_Toc424469255"/>
      <w:bookmarkStart w:id="18" w:name="_Toc425334249"/>
      <w:r>
        <w:rPr>
          <w:sz w:val="28"/>
        </w:rPr>
        <w:t>Integrations</w:t>
      </w:r>
      <w:bookmarkEnd w:id="17"/>
      <w:bookmarkEnd w:id="18"/>
    </w:p>
    <w:p w14:paraId="37C1A21A" w14:textId="6370DDAD" w:rsidR="00195AE6" w:rsidRDefault="00195AE6" w:rsidP="00E8692A">
      <w:pPr>
        <w:pStyle w:val="BodyText"/>
        <w:jc w:val="both"/>
      </w:pPr>
      <w:r>
        <w:t xml:space="preserve">As a new customer arrives or an existing customer wants to add new methodology, a system integrator together with analyst and Operation Managers agree upon the methodology. Then CIS integrator updates </w:t>
      </w:r>
      <w:proofErr w:type="spellStart"/>
      <w:r>
        <w:t>CalcPartner</w:t>
      </w:r>
      <w:proofErr w:type="spellEnd"/>
      <w:r>
        <w:t xml:space="preserve"> logic for methodology changes. The next step will be performing test calculations for functionality and receive approval from Analysts and Operation Managers</w:t>
      </w:r>
    </w:p>
    <w:p w14:paraId="1A74947E" w14:textId="77777777" w:rsidR="00195AE6" w:rsidRDefault="00195AE6" w:rsidP="00195AE6">
      <w:pPr>
        <w:pStyle w:val="Heading2"/>
        <w:rPr>
          <w:sz w:val="28"/>
        </w:rPr>
      </w:pPr>
      <w:bookmarkStart w:id="19" w:name="_Toc424469256"/>
      <w:bookmarkStart w:id="20" w:name="_Toc425334250"/>
      <w:r>
        <w:rPr>
          <w:sz w:val="28"/>
        </w:rPr>
        <w:t>Calculations</w:t>
      </w:r>
      <w:bookmarkEnd w:id="19"/>
      <w:bookmarkEnd w:id="20"/>
    </w:p>
    <w:p w14:paraId="05715F79" w14:textId="77777777" w:rsidR="00195AE6" w:rsidRDefault="00195AE6" w:rsidP="00E8692A">
      <w:pPr>
        <w:pStyle w:val="BodyText"/>
        <w:jc w:val="both"/>
      </w:pPr>
      <w:r>
        <w:t>Calculations are basically super sets in Python written to operate data according to a methodology set by the customer.</w:t>
      </w:r>
    </w:p>
    <w:p w14:paraId="69685330" w14:textId="77777777" w:rsidR="00195AE6" w:rsidRDefault="00195AE6" w:rsidP="00E8692A">
      <w:pPr>
        <w:pStyle w:val="BodyText"/>
        <w:jc w:val="both"/>
      </w:pPr>
      <w:r>
        <w:t>The point of Calculations is to generate Government Pricing (GP) information every pre-defined period of time.</w:t>
      </w:r>
    </w:p>
    <w:p w14:paraId="624C350C" w14:textId="77777777" w:rsidR="00195AE6" w:rsidRDefault="00195AE6" w:rsidP="00E8692A">
      <w:pPr>
        <w:pStyle w:val="BodyText"/>
        <w:jc w:val="both"/>
      </w:pPr>
      <w:r>
        <w:t xml:space="preserve">All data in </w:t>
      </w:r>
      <w:proofErr w:type="spellStart"/>
      <w:r>
        <w:t>CalcPartner</w:t>
      </w:r>
      <w:proofErr w:type="spellEnd"/>
      <w:r>
        <w:t xml:space="preserve"> is in support of generating GP. Calculations use that data to generate GPs which are being outside of context of </w:t>
      </w:r>
      <w:proofErr w:type="spellStart"/>
      <w:r>
        <w:t>CalcPartner</w:t>
      </w:r>
      <w:proofErr w:type="spellEnd"/>
      <w:r>
        <w:t xml:space="preserve"> delivered to the Government by Analysts.</w:t>
      </w:r>
    </w:p>
    <w:p w14:paraId="209BFAAF" w14:textId="77777777" w:rsidR="00195AE6" w:rsidRDefault="00195AE6" w:rsidP="00E8692A">
      <w:pPr>
        <w:pStyle w:val="BodyText"/>
        <w:jc w:val="both"/>
      </w:pPr>
      <w:r>
        <w:t>Every month a customer gets a new data run. We don't override original calculations, they all (source data, algorithm and result) are stored for reference, and their versions are maintained. You can always run calculations for a specific date.</w:t>
      </w:r>
    </w:p>
    <w:p w14:paraId="1AECBF94" w14:textId="77777777" w:rsidR="00195AE6" w:rsidRDefault="00195AE6" w:rsidP="00195AE6">
      <w:pPr>
        <w:rPr>
          <w:sz w:val="24"/>
        </w:rPr>
      </w:pPr>
    </w:p>
    <w:tbl>
      <w:tblPr>
        <w:tblStyle w:val="GridTable1Light-Accent1"/>
        <w:tblW w:w="0" w:type="auto"/>
        <w:tblInd w:w="0" w:type="dxa"/>
        <w:tblLook w:val="04A0" w:firstRow="1" w:lastRow="0" w:firstColumn="1" w:lastColumn="0" w:noHBand="0" w:noVBand="1"/>
      </w:tblPr>
      <w:tblGrid>
        <w:gridCol w:w="2425"/>
        <w:gridCol w:w="7204"/>
      </w:tblGrid>
      <w:tr w:rsidR="00195AE6" w14:paraId="23CB6AB8" w14:textId="77777777" w:rsidTr="0019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077E467E" w14:textId="77777777" w:rsidR="00195AE6" w:rsidRDefault="00195AE6">
            <w:pPr>
              <w:spacing w:after="0"/>
              <w:rPr>
                <w:b w:val="0"/>
                <w:sz w:val="24"/>
                <w:lang w:val="en-US"/>
              </w:rPr>
            </w:pPr>
            <w:r>
              <w:rPr>
                <w:rFonts w:asciiTheme="minorHAnsi" w:eastAsiaTheme="minorEastAsia" w:hAnsiTheme="minorHAnsi"/>
                <w:b w:val="0"/>
                <w:bCs w:val="0"/>
                <w:sz w:val="24"/>
                <w:lang w:val="en-US" w:eastAsia="zh-TW"/>
              </w:rPr>
              <w:object w:dxaOrig="1725" w:dyaOrig="525" w14:anchorId="3B93B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26.4pt" o:ole="">
                  <v:imagedata r:id="rId16" o:title=""/>
                </v:shape>
                <o:OLEObject Type="Embed" ProgID="PBrush" ShapeID="_x0000_i1025" DrawAspect="Content" ObjectID="_1499258232" r:id="rId17"/>
              </w:object>
            </w:r>
          </w:p>
        </w:tc>
        <w:tc>
          <w:tcPr>
            <w:tcW w:w="7204"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12630C52" w14:textId="7074CD8D" w:rsidR="00195AE6" w:rsidRPr="00096AAB" w:rsidRDefault="00195AE6" w:rsidP="004C57C0">
            <w:pPr>
              <w:pStyle w:val="TableText"/>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4C57C0">
              <w:rPr>
                <w:b w:val="0"/>
              </w:rPr>
              <w:t>Page</w:t>
            </w:r>
            <w:proofErr w:type="spellEnd"/>
            <w:r w:rsidRPr="004C57C0">
              <w:rPr>
                <w:b w:val="0"/>
              </w:rPr>
              <w:t xml:space="preserve"> </w:t>
            </w:r>
            <w:proofErr w:type="spellStart"/>
            <w:r w:rsidRPr="004C57C0">
              <w:rPr>
                <w:b w:val="0"/>
              </w:rPr>
              <w:t>with</w:t>
            </w:r>
            <w:proofErr w:type="spellEnd"/>
            <w:r w:rsidRPr="004C57C0">
              <w:rPr>
                <w:b w:val="0"/>
              </w:rPr>
              <w:t xml:space="preserve"> </w:t>
            </w:r>
            <w:proofErr w:type="spellStart"/>
            <w:r w:rsidRPr="004C57C0">
              <w:rPr>
                <w:b w:val="0"/>
              </w:rPr>
              <w:t>Calculation</w:t>
            </w:r>
            <w:proofErr w:type="spellEnd"/>
            <w:r w:rsidRPr="004C57C0">
              <w:rPr>
                <w:b w:val="0"/>
              </w:rPr>
              <w:t xml:space="preserve"> </w:t>
            </w:r>
            <w:proofErr w:type="spellStart"/>
            <w:r w:rsidRPr="004C57C0">
              <w:rPr>
                <w:b w:val="0"/>
              </w:rPr>
              <w:t>properties</w:t>
            </w:r>
            <w:proofErr w:type="spellEnd"/>
            <w:r w:rsidR="00096AAB">
              <w:rPr>
                <w:b w:val="0"/>
                <w:lang w:val="en-US"/>
              </w:rPr>
              <w:t>:</w:t>
            </w:r>
          </w:p>
          <w:p w14:paraId="7CDC5045" w14:textId="77777777" w:rsidR="00195AE6" w:rsidRPr="00096AAB" w:rsidRDefault="00195AE6" w:rsidP="00096AAB">
            <w:pPr>
              <w:pStyle w:val="ListBullet"/>
              <w:cnfStyle w:val="100000000000" w:firstRow="1" w:lastRow="0" w:firstColumn="0" w:lastColumn="0" w:oddVBand="0" w:evenVBand="0" w:oddHBand="0" w:evenHBand="0" w:firstRowFirstColumn="0" w:firstRowLastColumn="0" w:lastRowFirstColumn="0" w:lastRowLastColumn="0"/>
              <w:rPr>
                <w:b w:val="0"/>
              </w:rPr>
            </w:pPr>
            <w:proofErr w:type="spellStart"/>
            <w:r w:rsidRPr="00096AAB">
              <w:rPr>
                <w:b w:val="0"/>
              </w:rPr>
              <w:t>Run</w:t>
            </w:r>
            <w:proofErr w:type="spellEnd"/>
            <w:r w:rsidRPr="00096AAB">
              <w:rPr>
                <w:b w:val="0"/>
              </w:rPr>
              <w:t xml:space="preserve"> </w:t>
            </w:r>
            <w:proofErr w:type="spellStart"/>
            <w:r w:rsidRPr="00096AAB">
              <w:rPr>
                <w:b w:val="0"/>
              </w:rPr>
              <w:t>title</w:t>
            </w:r>
            <w:proofErr w:type="spellEnd"/>
            <w:r w:rsidRPr="00096AAB">
              <w:rPr>
                <w:b w:val="0"/>
              </w:rPr>
              <w:t xml:space="preserve"> – a </w:t>
            </w:r>
            <w:proofErr w:type="spellStart"/>
            <w:r w:rsidRPr="00096AAB">
              <w:rPr>
                <w:b w:val="0"/>
              </w:rPr>
              <w:t>name</w:t>
            </w:r>
            <w:proofErr w:type="spellEnd"/>
            <w:r w:rsidRPr="00096AAB">
              <w:rPr>
                <w:b w:val="0"/>
              </w:rPr>
              <w:t xml:space="preserve"> </w:t>
            </w:r>
            <w:proofErr w:type="spellStart"/>
            <w:r w:rsidRPr="00096AAB">
              <w:rPr>
                <w:b w:val="0"/>
              </w:rPr>
              <w:t>for</w:t>
            </w:r>
            <w:proofErr w:type="spellEnd"/>
            <w:r w:rsidRPr="00096AAB">
              <w:rPr>
                <w:b w:val="0"/>
              </w:rPr>
              <w:t xml:space="preserve"> </w:t>
            </w:r>
            <w:proofErr w:type="spellStart"/>
            <w:r w:rsidRPr="00096AAB">
              <w:rPr>
                <w:b w:val="0"/>
              </w:rPr>
              <w:t>the</w:t>
            </w:r>
            <w:proofErr w:type="spellEnd"/>
            <w:r w:rsidRPr="00096AAB">
              <w:rPr>
                <w:b w:val="0"/>
              </w:rPr>
              <w:t xml:space="preserve"> </w:t>
            </w:r>
            <w:proofErr w:type="spellStart"/>
            <w:r w:rsidRPr="00096AAB">
              <w:rPr>
                <w:b w:val="0"/>
              </w:rPr>
              <w:t>Run</w:t>
            </w:r>
            <w:proofErr w:type="spellEnd"/>
          </w:p>
          <w:p w14:paraId="2B0066E5" w14:textId="77777777" w:rsidR="00195AE6" w:rsidRPr="00096AAB" w:rsidRDefault="00195AE6" w:rsidP="00096AAB">
            <w:pPr>
              <w:pStyle w:val="ListBullet"/>
              <w:cnfStyle w:val="100000000000" w:firstRow="1" w:lastRow="0" w:firstColumn="0" w:lastColumn="0" w:oddVBand="0" w:evenVBand="0" w:oddHBand="0" w:evenHBand="0" w:firstRowFirstColumn="0" w:firstRowLastColumn="0" w:lastRowFirstColumn="0" w:lastRowLastColumn="0"/>
              <w:rPr>
                <w:b w:val="0"/>
              </w:rPr>
            </w:pPr>
            <w:proofErr w:type="spellStart"/>
            <w:r w:rsidRPr="00096AAB">
              <w:rPr>
                <w:b w:val="0"/>
              </w:rPr>
              <w:t>Start</w:t>
            </w:r>
            <w:proofErr w:type="spellEnd"/>
            <w:r w:rsidRPr="00096AAB">
              <w:rPr>
                <w:b w:val="0"/>
              </w:rPr>
              <w:t xml:space="preserve"> - </w:t>
            </w:r>
            <w:proofErr w:type="spellStart"/>
            <w:r w:rsidRPr="00096AAB">
              <w:rPr>
                <w:b w:val="0"/>
              </w:rPr>
              <w:t>defines</w:t>
            </w:r>
            <w:proofErr w:type="spellEnd"/>
            <w:r w:rsidRPr="00096AAB">
              <w:rPr>
                <w:b w:val="0"/>
              </w:rPr>
              <w:t xml:space="preserve"> a </w:t>
            </w:r>
            <w:proofErr w:type="spellStart"/>
            <w:r w:rsidRPr="00096AAB">
              <w:rPr>
                <w:b w:val="0"/>
              </w:rPr>
              <w:t>start</w:t>
            </w:r>
            <w:proofErr w:type="spellEnd"/>
            <w:r w:rsidRPr="00096AAB">
              <w:rPr>
                <w:b w:val="0"/>
              </w:rPr>
              <w:t xml:space="preserve"> </w:t>
            </w:r>
            <w:proofErr w:type="spellStart"/>
            <w:r w:rsidRPr="00096AAB">
              <w:rPr>
                <w:b w:val="0"/>
              </w:rPr>
              <w:t>date</w:t>
            </w:r>
            <w:proofErr w:type="spellEnd"/>
            <w:r w:rsidRPr="00096AAB">
              <w:rPr>
                <w:b w:val="0"/>
              </w:rPr>
              <w:t xml:space="preserve"> </w:t>
            </w:r>
            <w:proofErr w:type="spellStart"/>
            <w:r w:rsidRPr="00096AAB">
              <w:rPr>
                <w:b w:val="0"/>
              </w:rPr>
              <w:t>for</w:t>
            </w:r>
            <w:proofErr w:type="spellEnd"/>
            <w:r w:rsidRPr="00096AAB">
              <w:rPr>
                <w:b w:val="0"/>
              </w:rPr>
              <w:t xml:space="preserve"> </w:t>
            </w:r>
            <w:proofErr w:type="spellStart"/>
            <w:r w:rsidRPr="00096AAB">
              <w:rPr>
                <w:b w:val="0"/>
              </w:rPr>
              <w:t>processing</w:t>
            </w:r>
            <w:proofErr w:type="spellEnd"/>
            <w:r w:rsidRPr="00096AAB">
              <w:rPr>
                <w:b w:val="0"/>
              </w:rPr>
              <w:t xml:space="preserve"> </w:t>
            </w:r>
            <w:proofErr w:type="spellStart"/>
            <w:r w:rsidRPr="00096AAB">
              <w:rPr>
                <w:b w:val="0"/>
              </w:rPr>
              <w:t>transactions</w:t>
            </w:r>
            <w:proofErr w:type="spellEnd"/>
          </w:p>
          <w:p w14:paraId="49783489" w14:textId="77777777" w:rsidR="00195AE6" w:rsidRPr="00096AAB" w:rsidRDefault="00195AE6" w:rsidP="00096AAB">
            <w:pPr>
              <w:pStyle w:val="ListBullet"/>
              <w:cnfStyle w:val="100000000000" w:firstRow="1" w:lastRow="0" w:firstColumn="0" w:lastColumn="0" w:oddVBand="0" w:evenVBand="0" w:oddHBand="0" w:evenHBand="0" w:firstRowFirstColumn="0" w:firstRowLastColumn="0" w:lastRowFirstColumn="0" w:lastRowLastColumn="0"/>
              <w:rPr>
                <w:b w:val="0"/>
              </w:rPr>
            </w:pPr>
            <w:proofErr w:type="spellStart"/>
            <w:r w:rsidRPr="00096AAB">
              <w:rPr>
                <w:b w:val="0"/>
              </w:rPr>
              <w:t>End</w:t>
            </w:r>
            <w:proofErr w:type="spellEnd"/>
            <w:r w:rsidRPr="00096AAB">
              <w:rPr>
                <w:b w:val="0"/>
              </w:rPr>
              <w:t xml:space="preserve"> - </w:t>
            </w:r>
            <w:proofErr w:type="spellStart"/>
            <w:r w:rsidRPr="00096AAB">
              <w:rPr>
                <w:b w:val="0"/>
              </w:rPr>
              <w:t>defines</w:t>
            </w:r>
            <w:proofErr w:type="spellEnd"/>
            <w:r w:rsidRPr="00096AAB">
              <w:rPr>
                <w:b w:val="0"/>
              </w:rPr>
              <w:t xml:space="preserve"> </w:t>
            </w:r>
            <w:proofErr w:type="spellStart"/>
            <w:r w:rsidRPr="00096AAB">
              <w:rPr>
                <w:b w:val="0"/>
              </w:rPr>
              <w:t>an</w:t>
            </w:r>
            <w:proofErr w:type="spellEnd"/>
            <w:r w:rsidRPr="00096AAB">
              <w:rPr>
                <w:b w:val="0"/>
              </w:rPr>
              <w:t xml:space="preserve"> </w:t>
            </w:r>
            <w:proofErr w:type="spellStart"/>
            <w:r w:rsidRPr="00096AAB">
              <w:rPr>
                <w:b w:val="0"/>
              </w:rPr>
              <w:t>end</w:t>
            </w:r>
            <w:proofErr w:type="spellEnd"/>
            <w:r w:rsidRPr="00096AAB">
              <w:rPr>
                <w:b w:val="0"/>
              </w:rPr>
              <w:t xml:space="preserve"> </w:t>
            </w:r>
            <w:proofErr w:type="spellStart"/>
            <w:r w:rsidRPr="00096AAB">
              <w:rPr>
                <w:b w:val="0"/>
              </w:rPr>
              <w:t>date</w:t>
            </w:r>
            <w:proofErr w:type="spellEnd"/>
            <w:r w:rsidRPr="00096AAB">
              <w:rPr>
                <w:b w:val="0"/>
              </w:rPr>
              <w:t xml:space="preserve"> </w:t>
            </w:r>
            <w:proofErr w:type="spellStart"/>
            <w:r w:rsidRPr="00096AAB">
              <w:rPr>
                <w:b w:val="0"/>
              </w:rPr>
              <w:t>for</w:t>
            </w:r>
            <w:proofErr w:type="spellEnd"/>
            <w:r w:rsidRPr="00096AAB">
              <w:rPr>
                <w:b w:val="0"/>
              </w:rPr>
              <w:t xml:space="preserve"> </w:t>
            </w:r>
            <w:proofErr w:type="spellStart"/>
            <w:r w:rsidRPr="00096AAB">
              <w:rPr>
                <w:b w:val="0"/>
              </w:rPr>
              <w:t>processing</w:t>
            </w:r>
            <w:proofErr w:type="spellEnd"/>
            <w:r w:rsidRPr="00096AAB">
              <w:rPr>
                <w:b w:val="0"/>
              </w:rPr>
              <w:t xml:space="preserve"> </w:t>
            </w:r>
            <w:proofErr w:type="spellStart"/>
            <w:r w:rsidRPr="00096AAB">
              <w:rPr>
                <w:b w:val="0"/>
              </w:rPr>
              <w:t>transactions</w:t>
            </w:r>
            <w:proofErr w:type="spellEnd"/>
          </w:p>
          <w:p w14:paraId="23844157" w14:textId="77777777" w:rsidR="00195AE6" w:rsidRPr="004C57C0" w:rsidRDefault="00195AE6" w:rsidP="00096AAB">
            <w:pPr>
              <w:pStyle w:val="ListBullet"/>
              <w:cnfStyle w:val="100000000000" w:firstRow="1" w:lastRow="0" w:firstColumn="0" w:lastColumn="0" w:oddVBand="0" w:evenVBand="0" w:oddHBand="0" w:evenHBand="0" w:firstRowFirstColumn="0" w:firstRowLastColumn="0" w:lastRowFirstColumn="0" w:lastRowLastColumn="0"/>
            </w:pPr>
            <w:proofErr w:type="spellStart"/>
            <w:r w:rsidRPr="00096AAB">
              <w:rPr>
                <w:b w:val="0"/>
              </w:rPr>
              <w:t>Run</w:t>
            </w:r>
            <w:proofErr w:type="spellEnd"/>
            <w:r w:rsidRPr="00096AAB">
              <w:rPr>
                <w:b w:val="0"/>
              </w:rPr>
              <w:t xml:space="preserve"> </w:t>
            </w:r>
            <w:proofErr w:type="spellStart"/>
            <w:r w:rsidRPr="00096AAB">
              <w:rPr>
                <w:b w:val="0"/>
              </w:rPr>
              <w:t>as</w:t>
            </w:r>
            <w:proofErr w:type="spellEnd"/>
            <w:r w:rsidRPr="00096AAB">
              <w:rPr>
                <w:b w:val="0"/>
              </w:rPr>
              <w:t xml:space="preserve"> – </w:t>
            </w:r>
            <w:proofErr w:type="spellStart"/>
            <w:r w:rsidRPr="00096AAB">
              <w:rPr>
                <w:b w:val="0"/>
              </w:rPr>
              <w:t>defines</w:t>
            </w:r>
            <w:proofErr w:type="spellEnd"/>
            <w:r w:rsidRPr="00096AAB">
              <w:rPr>
                <w:b w:val="0"/>
              </w:rPr>
              <w:t xml:space="preserve"> </w:t>
            </w:r>
            <w:proofErr w:type="spellStart"/>
            <w:r w:rsidRPr="00096AAB">
              <w:rPr>
                <w:b w:val="0"/>
              </w:rPr>
              <w:t>the</w:t>
            </w:r>
            <w:proofErr w:type="spellEnd"/>
            <w:r w:rsidRPr="00096AAB">
              <w:rPr>
                <w:b w:val="0"/>
              </w:rPr>
              <w:t xml:space="preserve"> </w:t>
            </w:r>
            <w:proofErr w:type="spellStart"/>
            <w:r w:rsidRPr="00096AAB">
              <w:rPr>
                <w:b w:val="0"/>
              </w:rPr>
              <w:t>version</w:t>
            </w:r>
            <w:proofErr w:type="spellEnd"/>
            <w:r w:rsidRPr="00096AAB">
              <w:rPr>
                <w:b w:val="0"/>
              </w:rPr>
              <w:t xml:space="preserve"> </w:t>
            </w:r>
            <w:proofErr w:type="spellStart"/>
            <w:r w:rsidRPr="00096AAB">
              <w:rPr>
                <w:b w:val="0"/>
              </w:rPr>
              <w:t>of</w:t>
            </w:r>
            <w:proofErr w:type="spellEnd"/>
            <w:r w:rsidRPr="00096AAB">
              <w:rPr>
                <w:b w:val="0"/>
              </w:rPr>
              <w:t xml:space="preserve"> </w:t>
            </w:r>
            <w:proofErr w:type="spellStart"/>
            <w:r w:rsidRPr="00096AAB">
              <w:rPr>
                <w:b w:val="0"/>
              </w:rPr>
              <w:t>data</w:t>
            </w:r>
            <w:proofErr w:type="spellEnd"/>
            <w:r w:rsidRPr="004C57C0">
              <w:t xml:space="preserve"> </w:t>
            </w:r>
          </w:p>
        </w:tc>
      </w:tr>
      <w:tr w:rsidR="00195AE6" w14:paraId="7F02F305" w14:textId="77777777" w:rsidTr="00195AE6">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DC9CC97" w14:textId="67D4EBC1" w:rsidR="00195AE6" w:rsidRDefault="00195AE6">
            <w:pPr>
              <w:spacing w:after="0"/>
              <w:rPr>
                <w:sz w:val="24"/>
                <w:lang w:val="en-US"/>
              </w:rPr>
            </w:pPr>
            <w:r>
              <w:rPr>
                <w:noProof/>
                <w:sz w:val="24"/>
                <w:lang w:eastAsia="uk-UA"/>
              </w:rPr>
              <w:drawing>
                <wp:inline distT="0" distB="0" distL="0" distR="0" wp14:anchorId="2BE545E8" wp14:editId="2632041F">
                  <wp:extent cx="768985" cy="34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8985" cy="343535"/>
                          </a:xfrm>
                          <a:prstGeom prst="rect">
                            <a:avLst/>
                          </a:prstGeom>
                          <a:noFill/>
                          <a:ln>
                            <a:noFill/>
                          </a:ln>
                        </pic:spPr>
                      </pic:pic>
                    </a:graphicData>
                  </a:graphic>
                </wp:inline>
              </w:drawing>
            </w:r>
          </w:p>
        </w:tc>
        <w:tc>
          <w:tcPr>
            <w:tcW w:w="720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1BA9C17"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Page</w:t>
            </w:r>
            <w:proofErr w:type="spellEnd"/>
            <w:r w:rsidRPr="004C57C0">
              <w:t xml:space="preserve"> </w:t>
            </w:r>
            <w:proofErr w:type="spellStart"/>
            <w:r w:rsidRPr="004C57C0">
              <w:t>with</w:t>
            </w:r>
            <w:proofErr w:type="spellEnd"/>
            <w:r w:rsidRPr="004C57C0">
              <w:t xml:space="preserve"> </w:t>
            </w:r>
            <w:proofErr w:type="spellStart"/>
            <w:r w:rsidRPr="004C57C0">
              <w:t>text</w:t>
            </w:r>
            <w:proofErr w:type="spellEnd"/>
            <w:r w:rsidRPr="004C57C0">
              <w:t xml:space="preserve"> </w:t>
            </w:r>
            <w:proofErr w:type="spellStart"/>
            <w:r w:rsidRPr="004C57C0">
              <w:t>editor</w:t>
            </w:r>
            <w:proofErr w:type="spellEnd"/>
            <w:r w:rsidRPr="004C57C0">
              <w:t xml:space="preserve"> </w:t>
            </w:r>
            <w:proofErr w:type="spellStart"/>
            <w:r w:rsidRPr="004C57C0">
              <w:t>for</w:t>
            </w:r>
            <w:proofErr w:type="spellEnd"/>
            <w:r w:rsidRPr="004C57C0">
              <w:t xml:space="preserve"> </w:t>
            </w:r>
            <w:proofErr w:type="spellStart"/>
            <w:r w:rsidRPr="004C57C0">
              <w:t>user</w:t>
            </w:r>
            <w:proofErr w:type="spellEnd"/>
            <w:r w:rsidRPr="004C57C0">
              <w:t xml:space="preserve"> </w:t>
            </w:r>
            <w:proofErr w:type="spellStart"/>
            <w:r w:rsidRPr="004C57C0">
              <w:t>to</w:t>
            </w:r>
            <w:proofErr w:type="spellEnd"/>
            <w:r w:rsidRPr="004C57C0">
              <w:t xml:space="preserve"> </w:t>
            </w:r>
            <w:proofErr w:type="spellStart"/>
            <w:r w:rsidRPr="004C57C0">
              <w:t>make</w:t>
            </w:r>
            <w:proofErr w:type="spellEnd"/>
            <w:r w:rsidRPr="004C57C0">
              <w:t xml:space="preserve"> </w:t>
            </w:r>
            <w:proofErr w:type="spellStart"/>
            <w:r w:rsidRPr="004C57C0">
              <w:t>notes</w:t>
            </w:r>
            <w:proofErr w:type="spellEnd"/>
          </w:p>
        </w:tc>
      </w:tr>
      <w:tr w:rsidR="00195AE6" w14:paraId="6E4CAFC1" w14:textId="77777777" w:rsidTr="00195AE6">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3210C3" w14:textId="31C6F5F8" w:rsidR="00195AE6" w:rsidRDefault="00195AE6">
            <w:pPr>
              <w:spacing w:after="0"/>
              <w:rPr>
                <w:sz w:val="24"/>
                <w:lang w:val="en-US"/>
              </w:rPr>
            </w:pPr>
            <w:r>
              <w:rPr>
                <w:noProof/>
                <w:sz w:val="24"/>
                <w:lang w:eastAsia="uk-UA"/>
              </w:rPr>
              <w:drawing>
                <wp:inline distT="0" distB="0" distL="0" distR="0" wp14:anchorId="15B7A11D" wp14:editId="79A7B490">
                  <wp:extent cx="1153160" cy="3143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160" cy="314325"/>
                          </a:xfrm>
                          <a:prstGeom prst="rect">
                            <a:avLst/>
                          </a:prstGeom>
                          <a:noFill/>
                          <a:ln>
                            <a:noFill/>
                          </a:ln>
                        </pic:spPr>
                      </pic:pic>
                    </a:graphicData>
                  </a:graphic>
                </wp:inline>
              </w:drawing>
            </w:r>
          </w:p>
        </w:tc>
        <w:tc>
          <w:tcPr>
            <w:tcW w:w="720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EB9CBC1" w14:textId="4BFE9C4C" w:rsidR="00195AE6" w:rsidRPr="00096AAB" w:rsidRDefault="00195AE6" w:rsidP="004C57C0">
            <w:pPr>
              <w:pStyle w:val="TableText"/>
              <w:cnfStyle w:val="000000000000" w:firstRow="0" w:lastRow="0" w:firstColumn="0" w:lastColumn="0" w:oddVBand="0" w:evenVBand="0" w:oddHBand="0" w:evenHBand="0" w:firstRowFirstColumn="0" w:firstRowLastColumn="0" w:lastRowFirstColumn="0" w:lastRowLastColumn="0"/>
              <w:rPr>
                <w:lang w:val="en-US"/>
              </w:rPr>
            </w:pPr>
            <w:proofErr w:type="spellStart"/>
            <w:r w:rsidRPr="004C57C0">
              <w:t>Page</w:t>
            </w:r>
            <w:proofErr w:type="spellEnd"/>
            <w:r w:rsidRPr="004C57C0">
              <w:t xml:space="preserve"> </w:t>
            </w:r>
            <w:proofErr w:type="spellStart"/>
            <w:r w:rsidRPr="004C57C0">
              <w:t>with</w:t>
            </w:r>
            <w:proofErr w:type="spellEnd"/>
            <w:r w:rsidRPr="004C57C0">
              <w:t xml:space="preserve"> a </w:t>
            </w:r>
            <w:proofErr w:type="spellStart"/>
            <w:r w:rsidRPr="004C57C0">
              <w:t>list</w:t>
            </w:r>
            <w:proofErr w:type="spellEnd"/>
            <w:r w:rsidRPr="004C57C0">
              <w:t xml:space="preserve"> </w:t>
            </w:r>
            <w:proofErr w:type="spellStart"/>
            <w:r w:rsidRPr="004C57C0">
              <w:t>of</w:t>
            </w:r>
            <w:proofErr w:type="spellEnd"/>
            <w:r w:rsidRPr="004C57C0">
              <w:t xml:space="preserve"> </w:t>
            </w:r>
            <w:proofErr w:type="spellStart"/>
            <w:r w:rsidRPr="004C57C0">
              <w:t>calculations</w:t>
            </w:r>
            <w:proofErr w:type="spellEnd"/>
            <w:r w:rsidR="00096AAB">
              <w:rPr>
                <w:lang w:val="en-US"/>
              </w:rPr>
              <w:t>:</w:t>
            </w:r>
          </w:p>
          <w:p w14:paraId="28CA6675" w14:textId="77777777" w:rsidR="00195AE6" w:rsidRPr="004C57C0" w:rsidRDefault="00195AE6" w:rsidP="00096AAB">
            <w:pPr>
              <w:pStyle w:val="ListBullet"/>
              <w:cnfStyle w:val="000000000000" w:firstRow="0" w:lastRow="0" w:firstColumn="0" w:lastColumn="0" w:oddVBand="0" w:evenVBand="0" w:oddHBand="0" w:evenHBand="0" w:firstRowFirstColumn="0" w:firstRowLastColumn="0" w:lastRowFirstColumn="0" w:lastRowLastColumn="0"/>
            </w:pP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execute</w:t>
            </w:r>
            <w:proofErr w:type="spellEnd"/>
            <w:r w:rsidRPr="004C57C0">
              <w:t xml:space="preserve"> a </w:t>
            </w:r>
            <w:proofErr w:type="spellStart"/>
            <w:r w:rsidRPr="004C57C0">
              <w:t>cslculation</w:t>
            </w:r>
            <w:proofErr w:type="spellEnd"/>
          </w:p>
          <w:p w14:paraId="77C96AF2" w14:textId="77777777" w:rsidR="00195AE6" w:rsidRPr="004C57C0" w:rsidRDefault="00195AE6" w:rsidP="00096AAB">
            <w:pPr>
              <w:pStyle w:val="ListBullet"/>
              <w:cnfStyle w:val="000000000000" w:firstRow="0" w:lastRow="0" w:firstColumn="0" w:lastColumn="0" w:oddVBand="0" w:evenVBand="0" w:oddHBand="0" w:evenHBand="0" w:firstRowFirstColumn="0" w:firstRowLastColumn="0" w:lastRowFirstColumn="0" w:lastRowLastColumn="0"/>
            </w:pP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view</w:t>
            </w:r>
            <w:proofErr w:type="spellEnd"/>
            <w:r w:rsidRPr="004C57C0">
              <w:t xml:space="preserve"> </w:t>
            </w:r>
            <w:proofErr w:type="spellStart"/>
            <w:r w:rsidRPr="004C57C0">
              <w:t>the</w:t>
            </w:r>
            <w:proofErr w:type="spellEnd"/>
            <w:r w:rsidRPr="004C57C0">
              <w:t xml:space="preserve"> </w:t>
            </w:r>
            <w:proofErr w:type="spellStart"/>
            <w:r w:rsidRPr="004C57C0">
              <w:t>output</w:t>
            </w:r>
            <w:proofErr w:type="spellEnd"/>
            <w:r w:rsidRPr="004C57C0">
              <w:t xml:space="preserve"> </w:t>
            </w:r>
            <w:proofErr w:type="spellStart"/>
            <w:r w:rsidRPr="004C57C0">
              <w:t>and</w:t>
            </w:r>
            <w:proofErr w:type="spellEnd"/>
            <w:r w:rsidRPr="004C57C0">
              <w:t xml:space="preserve"> </w:t>
            </w:r>
            <w:proofErr w:type="spellStart"/>
            <w:r w:rsidRPr="004C57C0">
              <w:t>log</w:t>
            </w:r>
            <w:proofErr w:type="spellEnd"/>
            <w:r w:rsidRPr="004C57C0">
              <w:t xml:space="preserve"> </w:t>
            </w:r>
            <w:proofErr w:type="spellStart"/>
            <w:r w:rsidRPr="004C57C0">
              <w:t>of</w:t>
            </w:r>
            <w:proofErr w:type="spellEnd"/>
            <w:r w:rsidRPr="004C57C0">
              <w:t xml:space="preserve"> a </w:t>
            </w:r>
            <w:proofErr w:type="spellStart"/>
            <w:r w:rsidRPr="004C57C0">
              <w:t>calculation</w:t>
            </w:r>
            <w:proofErr w:type="spellEnd"/>
          </w:p>
          <w:p w14:paraId="0518BAF5" w14:textId="77777777" w:rsidR="00195AE6" w:rsidRPr="004C57C0" w:rsidRDefault="00195AE6" w:rsidP="00096AAB">
            <w:pPr>
              <w:pStyle w:val="ListBullet"/>
              <w:cnfStyle w:val="000000000000" w:firstRow="0" w:lastRow="0" w:firstColumn="0" w:lastColumn="0" w:oddVBand="0" w:evenVBand="0" w:oddHBand="0" w:evenHBand="0" w:firstRowFirstColumn="0" w:firstRowLastColumn="0" w:lastRowFirstColumn="0" w:lastRowLastColumn="0"/>
            </w:pP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download</w:t>
            </w:r>
            <w:proofErr w:type="spellEnd"/>
            <w:r w:rsidRPr="004C57C0">
              <w:t xml:space="preserve"> a </w:t>
            </w:r>
            <w:proofErr w:type="spellStart"/>
            <w:r w:rsidRPr="004C57C0">
              <w:t>log</w:t>
            </w:r>
            <w:proofErr w:type="spellEnd"/>
          </w:p>
          <w:p w14:paraId="57F85E76" w14:textId="15F19CBA" w:rsidR="00195AE6" w:rsidRPr="004C57C0" w:rsidRDefault="00195AE6" w:rsidP="00096AAB">
            <w:pPr>
              <w:pStyle w:val="ListBullet"/>
              <w:cnfStyle w:val="000000000000" w:firstRow="0" w:lastRow="0" w:firstColumn="0" w:lastColumn="0" w:oddVBand="0" w:evenVBand="0" w:oddHBand="0" w:evenHBand="0" w:firstRowFirstColumn="0" w:firstRowLastColumn="0" w:lastRowFirstColumn="0" w:lastRowLastColumn="0"/>
            </w:pP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stop</w:t>
            </w:r>
            <w:proofErr w:type="spellEnd"/>
            <w:r w:rsidRPr="004C57C0">
              <w:t xml:space="preserve"> a </w:t>
            </w:r>
            <w:proofErr w:type="spellStart"/>
            <w:r w:rsidRPr="004C57C0">
              <w:t>calculation</w:t>
            </w:r>
            <w:proofErr w:type="spellEnd"/>
            <w:r w:rsidRPr="004C57C0">
              <w:t xml:space="preserve"> </w:t>
            </w:r>
            <w:proofErr w:type="spellStart"/>
            <w:r w:rsidRPr="004C57C0">
              <w:t>which</w:t>
            </w:r>
            <w:proofErr w:type="spellEnd"/>
            <w:r w:rsidRPr="004C57C0">
              <w:t xml:space="preserve"> </w:t>
            </w:r>
            <w:proofErr w:type="spellStart"/>
            <w:r w:rsidRPr="004C57C0">
              <w:t>is</w:t>
            </w:r>
            <w:proofErr w:type="spellEnd"/>
            <w:r w:rsidRPr="004C57C0">
              <w:t xml:space="preserve"> </w:t>
            </w:r>
            <w:proofErr w:type="spellStart"/>
            <w:r w:rsidRPr="004C57C0">
              <w:t>executing</w:t>
            </w:r>
            <w:proofErr w:type="spellEnd"/>
            <w:r w:rsidR="00096AAB">
              <w:rPr>
                <w:lang w:val="en-US"/>
              </w:rPr>
              <w:t xml:space="preserve"> </w:t>
            </w:r>
            <w:proofErr w:type="spellStart"/>
            <w:r w:rsidRPr="004C57C0">
              <w:t>Bucketize</w:t>
            </w:r>
            <w:proofErr w:type="spellEnd"/>
            <w:r w:rsidRPr="004C57C0">
              <w:t xml:space="preserve"> </w:t>
            </w:r>
            <w:proofErr w:type="spellStart"/>
            <w:r w:rsidRPr="004C57C0">
              <w:t>calculations</w:t>
            </w:r>
            <w:proofErr w:type="spellEnd"/>
            <w:r w:rsidRPr="004C57C0">
              <w:t xml:space="preserve">  </w:t>
            </w:r>
          </w:p>
        </w:tc>
      </w:tr>
      <w:tr w:rsidR="00195AE6" w14:paraId="20A970AD" w14:textId="77777777" w:rsidTr="00195AE6">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FF659E" w14:textId="77777777" w:rsidR="00195AE6" w:rsidRDefault="00195AE6">
            <w:pPr>
              <w:spacing w:after="0"/>
              <w:rPr>
                <w:sz w:val="24"/>
                <w:lang w:val="en-US"/>
              </w:rPr>
            </w:pPr>
            <w:r>
              <w:rPr>
                <w:rFonts w:asciiTheme="minorHAnsi" w:eastAsiaTheme="minorEastAsia" w:hAnsiTheme="minorHAnsi"/>
                <w:b w:val="0"/>
                <w:bCs w:val="0"/>
                <w:sz w:val="24"/>
                <w:lang w:val="en-US" w:eastAsia="zh-TW"/>
              </w:rPr>
              <w:object w:dxaOrig="1425" w:dyaOrig="660" w14:anchorId="40AC821E">
                <v:shape id="_x0000_i1026" type="#_x0000_t75" style="width:71.05pt;height:33.1pt" o:ole="">
                  <v:imagedata r:id="rId20" o:title=""/>
                </v:shape>
                <o:OLEObject Type="Embed" ProgID="PBrush" ShapeID="_x0000_i1026" DrawAspect="Content" ObjectID="_1499258233" r:id="rId21"/>
              </w:object>
            </w:r>
          </w:p>
        </w:tc>
        <w:tc>
          <w:tcPr>
            <w:tcW w:w="720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76EA2474"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Page</w:t>
            </w:r>
            <w:proofErr w:type="spellEnd"/>
            <w:r w:rsidRPr="004C57C0">
              <w:t xml:space="preserve"> </w:t>
            </w:r>
            <w:proofErr w:type="spellStart"/>
            <w:r w:rsidRPr="004C57C0">
              <w:t>with</w:t>
            </w:r>
            <w:proofErr w:type="spellEnd"/>
            <w:r w:rsidRPr="004C57C0">
              <w:t xml:space="preserve"> </w:t>
            </w:r>
            <w:proofErr w:type="spellStart"/>
            <w:r w:rsidRPr="004C57C0">
              <w:t>outputs</w:t>
            </w:r>
            <w:proofErr w:type="spellEnd"/>
            <w:r w:rsidRPr="004C57C0">
              <w:t xml:space="preserve"> </w:t>
            </w:r>
            <w:proofErr w:type="spellStart"/>
            <w:r w:rsidRPr="004C57C0">
              <w:t>from</w:t>
            </w:r>
            <w:proofErr w:type="spellEnd"/>
            <w:r w:rsidRPr="004C57C0">
              <w:t xml:space="preserve"> </w:t>
            </w:r>
            <w:proofErr w:type="spellStart"/>
            <w:r w:rsidRPr="004C57C0">
              <w:t>calculations</w:t>
            </w:r>
            <w:proofErr w:type="spellEnd"/>
            <w:r w:rsidRPr="004C57C0">
              <w:t xml:space="preserve"> </w:t>
            </w:r>
            <w:proofErr w:type="spellStart"/>
            <w:r w:rsidRPr="004C57C0">
              <w:t>executed</w:t>
            </w:r>
            <w:proofErr w:type="spellEnd"/>
            <w:r w:rsidRPr="004C57C0">
              <w:t xml:space="preserve"> </w:t>
            </w:r>
            <w:proofErr w:type="spellStart"/>
            <w:r w:rsidRPr="004C57C0">
              <w:t>in</w:t>
            </w:r>
            <w:proofErr w:type="spellEnd"/>
            <w:r w:rsidRPr="004C57C0">
              <w:t xml:space="preserve"> </w:t>
            </w:r>
            <w:proofErr w:type="spellStart"/>
            <w:r w:rsidRPr="004C57C0">
              <w:t>the</w:t>
            </w:r>
            <w:proofErr w:type="spellEnd"/>
            <w:r w:rsidRPr="004C57C0">
              <w:t xml:space="preserve"> </w:t>
            </w:r>
            <w:proofErr w:type="spellStart"/>
            <w:r w:rsidRPr="004C57C0">
              <w:t>run</w:t>
            </w:r>
            <w:proofErr w:type="spellEnd"/>
            <w:r w:rsidRPr="004C57C0">
              <w:t xml:space="preserve">. </w:t>
            </w:r>
            <w:proofErr w:type="spellStart"/>
            <w:r w:rsidRPr="004C57C0">
              <w:t>Data</w:t>
            </w:r>
            <w:proofErr w:type="spellEnd"/>
            <w:r w:rsidRPr="004C57C0">
              <w:t xml:space="preserve"> </w:t>
            </w:r>
            <w:proofErr w:type="spellStart"/>
            <w:r w:rsidRPr="004C57C0">
              <w:t>is</w:t>
            </w:r>
            <w:proofErr w:type="spellEnd"/>
            <w:r w:rsidRPr="004C57C0">
              <w:t xml:space="preserve"> </w:t>
            </w:r>
            <w:proofErr w:type="spellStart"/>
            <w:r w:rsidRPr="004C57C0">
              <w:t>stored</w:t>
            </w:r>
            <w:proofErr w:type="spellEnd"/>
            <w:r w:rsidRPr="004C57C0">
              <w:t xml:space="preserve"> </w:t>
            </w:r>
            <w:proofErr w:type="spellStart"/>
            <w:r w:rsidRPr="004C57C0">
              <w:t>in</w:t>
            </w:r>
            <w:proofErr w:type="spellEnd"/>
            <w:r w:rsidRPr="004C57C0">
              <w:t xml:space="preserve"> a </w:t>
            </w:r>
            <w:proofErr w:type="spellStart"/>
            <w:r w:rsidRPr="004C57C0">
              <w:t>SQLite</w:t>
            </w:r>
            <w:proofErr w:type="spellEnd"/>
            <w:r w:rsidRPr="004C57C0">
              <w:t xml:space="preserve"> </w:t>
            </w:r>
            <w:proofErr w:type="spellStart"/>
            <w:r w:rsidRPr="004C57C0">
              <w:t>database</w:t>
            </w:r>
            <w:proofErr w:type="spellEnd"/>
            <w:r w:rsidRPr="004C57C0">
              <w:t>.</w:t>
            </w:r>
          </w:p>
          <w:p w14:paraId="0F856FFA"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The</w:t>
            </w:r>
            <w:proofErr w:type="spellEnd"/>
            <w:r w:rsidRPr="004C57C0">
              <w:t xml:space="preserve"> </w:t>
            </w:r>
            <w:proofErr w:type="spellStart"/>
            <w:r w:rsidRPr="004C57C0">
              <w:t>page</w:t>
            </w:r>
            <w:proofErr w:type="spellEnd"/>
            <w:r w:rsidRPr="004C57C0">
              <w:t xml:space="preserve"> </w:t>
            </w:r>
            <w:proofErr w:type="spellStart"/>
            <w:r w:rsidRPr="004C57C0">
              <w:t>displays</w:t>
            </w:r>
            <w:proofErr w:type="spellEnd"/>
            <w:r w:rsidRPr="004C57C0">
              <w:t xml:space="preserve"> </w:t>
            </w:r>
            <w:proofErr w:type="spellStart"/>
            <w:r w:rsidRPr="004C57C0">
              <w:t>the</w:t>
            </w:r>
            <w:proofErr w:type="spellEnd"/>
            <w:r w:rsidRPr="004C57C0">
              <w:t xml:space="preserve"> </w:t>
            </w:r>
            <w:proofErr w:type="spellStart"/>
            <w:r w:rsidRPr="004C57C0">
              <w:t>following</w:t>
            </w:r>
            <w:proofErr w:type="spellEnd"/>
            <w:r w:rsidRPr="004C57C0">
              <w:t xml:space="preserve"> </w:t>
            </w:r>
            <w:proofErr w:type="spellStart"/>
            <w:r w:rsidRPr="004C57C0">
              <w:t>information</w:t>
            </w:r>
            <w:proofErr w:type="spellEnd"/>
            <w:r w:rsidRPr="004C57C0">
              <w:t xml:space="preserve"> </w:t>
            </w:r>
            <w:proofErr w:type="spellStart"/>
            <w:r w:rsidRPr="004C57C0">
              <w:t>and</w:t>
            </w:r>
            <w:proofErr w:type="spellEnd"/>
            <w:r w:rsidRPr="004C57C0">
              <w:t xml:space="preserve"> </w:t>
            </w:r>
            <w:proofErr w:type="spellStart"/>
            <w:r w:rsidRPr="004C57C0">
              <w:t>provides</w:t>
            </w:r>
            <w:proofErr w:type="spellEnd"/>
            <w:r w:rsidRPr="004C57C0">
              <w:t xml:space="preserve"> </w:t>
            </w:r>
            <w:proofErr w:type="spellStart"/>
            <w:r w:rsidRPr="004C57C0">
              <w:t>options</w:t>
            </w:r>
            <w:proofErr w:type="spellEnd"/>
            <w:r w:rsidRPr="004C57C0">
              <w:t>:</w:t>
            </w:r>
          </w:p>
          <w:p w14:paraId="0D258AC9"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Name</w:t>
            </w:r>
            <w:proofErr w:type="spellEnd"/>
            <w:r w:rsidRPr="004C57C0">
              <w:t xml:space="preserve"> – a </w:t>
            </w:r>
            <w:proofErr w:type="spellStart"/>
            <w:r w:rsidRPr="004C57C0">
              <w:t>list</w:t>
            </w:r>
            <w:proofErr w:type="spellEnd"/>
            <w:r w:rsidRPr="004C57C0">
              <w:t xml:space="preserve"> </w:t>
            </w:r>
            <w:proofErr w:type="spellStart"/>
            <w:r w:rsidRPr="004C57C0">
              <w:t>of</w:t>
            </w:r>
            <w:proofErr w:type="spellEnd"/>
            <w:r w:rsidRPr="004C57C0">
              <w:t xml:space="preserve"> </w:t>
            </w:r>
            <w:proofErr w:type="spellStart"/>
            <w:r w:rsidRPr="004C57C0">
              <w:t>all</w:t>
            </w:r>
            <w:proofErr w:type="spellEnd"/>
            <w:r w:rsidRPr="004C57C0">
              <w:t xml:space="preserve"> </w:t>
            </w:r>
            <w:proofErr w:type="spellStart"/>
            <w:r w:rsidRPr="004C57C0">
              <w:t>available</w:t>
            </w:r>
            <w:proofErr w:type="spellEnd"/>
            <w:r w:rsidRPr="004C57C0">
              <w:t xml:space="preserve"> </w:t>
            </w:r>
            <w:proofErr w:type="spellStart"/>
            <w:r w:rsidRPr="004C57C0">
              <w:t>calculations</w:t>
            </w:r>
            <w:proofErr w:type="spellEnd"/>
            <w:r w:rsidRPr="004C57C0">
              <w:t xml:space="preserve"> </w:t>
            </w:r>
            <w:proofErr w:type="spellStart"/>
            <w:r w:rsidRPr="004C57C0">
              <w:t>sorted</w:t>
            </w:r>
            <w:proofErr w:type="spellEnd"/>
            <w:r w:rsidRPr="004C57C0">
              <w:t xml:space="preserve"> </w:t>
            </w:r>
            <w:proofErr w:type="spellStart"/>
            <w:r w:rsidRPr="004C57C0">
              <w:t>in</w:t>
            </w:r>
            <w:proofErr w:type="spellEnd"/>
            <w:r w:rsidRPr="004C57C0">
              <w:t xml:space="preserve"> </w:t>
            </w:r>
            <w:proofErr w:type="spellStart"/>
            <w:r w:rsidRPr="004C57C0">
              <w:t>alphabetical</w:t>
            </w:r>
            <w:proofErr w:type="spellEnd"/>
            <w:r w:rsidRPr="004C57C0">
              <w:t xml:space="preserve"> </w:t>
            </w:r>
            <w:proofErr w:type="spellStart"/>
            <w:r w:rsidRPr="004C57C0">
              <w:t>order</w:t>
            </w:r>
            <w:proofErr w:type="spellEnd"/>
          </w:p>
          <w:p w14:paraId="744A0700"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View</w:t>
            </w:r>
            <w:proofErr w:type="spellEnd"/>
            <w:r w:rsidRPr="004C57C0">
              <w:t xml:space="preserve"> – </w:t>
            </w:r>
            <w:proofErr w:type="spellStart"/>
            <w:r w:rsidRPr="004C57C0">
              <w:t>allows</w:t>
            </w:r>
            <w:proofErr w:type="spellEnd"/>
            <w:r w:rsidRPr="004C57C0">
              <w:t xml:space="preserve"> </w:t>
            </w:r>
            <w:proofErr w:type="spellStart"/>
            <w:r w:rsidRPr="004C57C0">
              <w:t>to</w:t>
            </w:r>
            <w:proofErr w:type="spellEnd"/>
            <w:r w:rsidRPr="004C57C0">
              <w:t xml:space="preserve"> </w:t>
            </w:r>
            <w:proofErr w:type="spellStart"/>
            <w:r w:rsidRPr="004C57C0">
              <w:t>view</w:t>
            </w:r>
            <w:proofErr w:type="spellEnd"/>
            <w:r w:rsidRPr="004C57C0">
              <w:t xml:space="preserve"> </w:t>
            </w:r>
            <w:proofErr w:type="spellStart"/>
            <w:r w:rsidRPr="004C57C0">
              <w:t>the</w:t>
            </w:r>
            <w:proofErr w:type="spellEnd"/>
            <w:r w:rsidRPr="004C57C0">
              <w:t xml:space="preserve"> </w:t>
            </w:r>
            <w:proofErr w:type="spellStart"/>
            <w:r w:rsidRPr="004C57C0">
              <w:t>source</w:t>
            </w:r>
            <w:proofErr w:type="spellEnd"/>
            <w:r w:rsidRPr="004C57C0">
              <w:t xml:space="preserve"> </w:t>
            </w:r>
            <w:proofErr w:type="spellStart"/>
            <w:r w:rsidRPr="004C57C0">
              <w:t>code</w:t>
            </w:r>
            <w:proofErr w:type="spellEnd"/>
            <w:r w:rsidRPr="004C57C0">
              <w:t xml:space="preserve"> </w:t>
            </w:r>
            <w:proofErr w:type="spellStart"/>
            <w:r w:rsidRPr="004C57C0">
              <w:t>of</w:t>
            </w:r>
            <w:proofErr w:type="spellEnd"/>
            <w:r w:rsidRPr="004C57C0">
              <w:t xml:space="preserve"> a </w:t>
            </w:r>
            <w:proofErr w:type="spellStart"/>
            <w:r w:rsidRPr="004C57C0">
              <w:t>calculation</w:t>
            </w:r>
            <w:proofErr w:type="spellEnd"/>
          </w:p>
          <w:p w14:paraId="56FB7DDD"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Download</w:t>
            </w:r>
            <w:proofErr w:type="spellEnd"/>
            <w:r w:rsidRPr="004C57C0">
              <w:t xml:space="preserve"> – </w:t>
            </w:r>
            <w:proofErr w:type="spellStart"/>
            <w:r w:rsidRPr="004C57C0">
              <w:t>provides</w:t>
            </w:r>
            <w:proofErr w:type="spellEnd"/>
            <w:r w:rsidRPr="004C57C0">
              <w:t xml:space="preserve"> </w:t>
            </w:r>
            <w:proofErr w:type="spellStart"/>
            <w:r w:rsidRPr="004C57C0">
              <w:t>two</w:t>
            </w:r>
            <w:proofErr w:type="spellEnd"/>
            <w:r w:rsidRPr="004C57C0">
              <w:t xml:space="preserve"> </w:t>
            </w:r>
            <w:proofErr w:type="spellStart"/>
            <w:r w:rsidRPr="004C57C0">
              <w:t>options</w:t>
            </w:r>
            <w:proofErr w:type="spellEnd"/>
            <w:r w:rsidRPr="004C57C0">
              <w:t xml:space="preserve"> </w:t>
            </w:r>
            <w:proofErr w:type="spellStart"/>
            <w:r w:rsidRPr="004C57C0">
              <w:t>to</w:t>
            </w:r>
            <w:proofErr w:type="spellEnd"/>
            <w:r w:rsidRPr="004C57C0">
              <w:t xml:space="preserve"> </w:t>
            </w:r>
            <w:proofErr w:type="spellStart"/>
            <w:r w:rsidRPr="004C57C0">
              <w:t>download</w:t>
            </w:r>
            <w:proofErr w:type="spellEnd"/>
            <w:r w:rsidRPr="004C57C0">
              <w:t xml:space="preserve"> a </w:t>
            </w:r>
            <w:proofErr w:type="spellStart"/>
            <w:r w:rsidRPr="004C57C0">
              <w:t>calculation</w:t>
            </w:r>
            <w:proofErr w:type="spellEnd"/>
            <w:r w:rsidRPr="004C57C0">
              <w:t xml:space="preserve"> (</w:t>
            </w:r>
            <w:proofErr w:type="spellStart"/>
            <w:r w:rsidRPr="004C57C0">
              <w:t>in</w:t>
            </w:r>
            <w:proofErr w:type="spellEnd"/>
            <w:r w:rsidRPr="004C57C0">
              <w:t xml:space="preserve"> </w:t>
            </w:r>
            <w:proofErr w:type="spellStart"/>
            <w:r w:rsidRPr="004C57C0">
              <w:t>text</w:t>
            </w:r>
            <w:proofErr w:type="spellEnd"/>
            <w:r w:rsidRPr="004C57C0">
              <w:t xml:space="preserve"> </w:t>
            </w:r>
            <w:proofErr w:type="spellStart"/>
            <w:r w:rsidRPr="004C57C0">
              <w:t>or</w:t>
            </w:r>
            <w:proofErr w:type="spellEnd"/>
            <w:r w:rsidRPr="004C57C0">
              <w:t xml:space="preserve"> </w:t>
            </w:r>
            <w:proofErr w:type="spellStart"/>
            <w:r w:rsidRPr="004C57C0">
              <w:t>database</w:t>
            </w:r>
            <w:proofErr w:type="spellEnd"/>
            <w:r w:rsidRPr="004C57C0">
              <w:t xml:space="preserve"> </w:t>
            </w:r>
            <w:proofErr w:type="spellStart"/>
            <w:r w:rsidRPr="004C57C0">
              <w:t>format</w:t>
            </w:r>
            <w:proofErr w:type="spellEnd"/>
            <w:r w:rsidRPr="004C57C0">
              <w:t>)</w:t>
            </w:r>
          </w:p>
          <w:p w14:paraId="091872A9"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Modified</w:t>
            </w:r>
            <w:proofErr w:type="spellEnd"/>
            <w:r w:rsidRPr="004C57C0">
              <w:t xml:space="preserve"> – </w:t>
            </w:r>
            <w:proofErr w:type="spellStart"/>
            <w:r w:rsidRPr="004C57C0">
              <w:t>provides</w:t>
            </w:r>
            <w:proofErr w:type="spellEnd"/>
            <w:r w:rsidRPr="004C57C0">
              <w:t xml:space="preserve"> </w:t>
            </w:r>
            <w:proofErr w:type="spellStart"/>
            <w:r w:rsidRPr="004C57C0">
              <w:t>information</w:t>
            </w:r>
            <w:proofErr w:type="spellEnd"/>
            <w:r w:rsidRPr="004C57C0">
              <w:t xml:space="preserve"> </w:t>
            </w:r>
            <w:proofErr w:type="spellStart"/>
            <w:r w:rsidRPr="004C57C0">
              <w:t>about</w:t>
            </w:r>
            <w:proofErr w:type="spellEnd"/>
            <w:r w:rsidRPr="004C57C0">
              <w:t xml:space="preserve"> a </w:t>
            </w:r>
            <w:proofErr w:type="spellStart"/>
            <w:r w:rsidRPr="004C57C0">
              <w:t>user</w:t>
            </w:r>
            <w:proofErr w:type="spellEnd"/>
            <w:r w:rsidRPr="004C57C0">
              <w:t xml:space="preserve"> </w:t>
            </w:r>
            <w:proofErr w:type="spellStart"/>
            <w:r w:rsidRPr="004C57C0">
              <w:t>and</w:t>
            </w:r>
            <w:proofErr w:type="spellEnd"/>
            <w:r w:rsidRPr="004C57C0">
              <w:t xml:space="preserve"> </w:t>
            </w:r>
            <w:proofErr w:type="spellStart"/>
            <w:r w:rsidRPr="004C57C0">
              <w:t>modification</w:t>
            </w:r>
            <w:proofErr w:type="spellEnd"/>
            <w:r w:rsidRPr="004C57C0">
              <w:t xml:space="preserve"> </w:t>
            </w:r>
            <w:proofErr w:type="spellStart"/>
            <w:r w:rsidRPr="004C57C0">
              <w:t>date</w:t>
            </w:r>
            <w:proofErr w:type="spellEnd"/>
            <w:r w:rsidRPr="004C57C0">
              <w:t xml:space="preserve"> (YYYY-MM-DD) </w:t>
            </w:r>
            <w:proofErr w:type="spellStart"/>
            <w:r w:rsidRPr="004C57C0">
              <w:t>and</w:t>
            </w:r>
            <w:proofErr w:type="spellEnd"/>
            <w:r w:rsidRPr="004C57C0">
              <w:t xml:space="preserve"> </w:t>
            </w:r>
            <w:proofErr w:type="spellStart"/>
            <w:r w:rsidRPr="004C57C0">
              <w:t>time</w:t>
            </w:r>
            <w:proofErr w:type="spellEnd"/>
            <w:r w:rsidRPr="004C57C0">
              <w:t>(HH:MM:SS)</w:t>
            </w:r>
          </w:p>
          <w:p w14:paraId="09F37C0A"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Delete</w:t>
            </w:r>
            <w:proofErr w:type="spellEnd"/>
            <w:r w:rsidRPr="004C57C0">
              <w:t xml:space="preserve"> </w:t>
            </w:r>
            <w:proofErr w:type="spellStart"/>
            <w:r w:rsidRPr="004C57C0">
              <w:t>output</w:t>
            </w:r>
            <w:proofErr w:type="spellEnd"/>
            <w:r w:rsidRPr="004C57C0">
              <w:t xml:space="preserve"> – </w:t>
            </w: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delete</w:t>
            </w:r>
            <w:proofErr w:type="spellEnd"/>
            <w:r w:rsidRPr="004C57C0">
              <w:t xml:space="preserve"> </w:t>
            </w:r>
            <w:proofErr w:type="spellStart"/>
            <w:r w:rsidRPr="004C57C0">
              <w:t>selected</w:t>
            </w:r>
            <w:proofErr w:type="spellEnd"/>
            <w:r w:rsidRPr="004C57C0">
              <w:t xml:space="preserve"> </w:t>
            </w:r>
            <w:proofErr w:type="spellStart"/>
            <w:r w:rsidRPr="004C57C0">
              <w:t>outputs</w:t>
            </w:r>
            <w:proofErr w:type="spellEnd"/>
          </w:p>
          <w:p w14:paraId="5CEA396A"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
        </w:tc>
      </w:tr>
      <w:tr w:rsidR="00195AE6" w14:paraId="54B62883" w14:textId="77777777" w:rsidTr="00195AE6">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54562C" w14:textId="77777777" w:rsidR="00195AE6" w:rsidRDefault="00195AE6">
            <w:pPr>
              <w:spacing w:after="0"/>
              <w:rPr>
                <w:sz w:val="24"/>
                <w:lang w:val="en-US"/>
              </w:rPr>
            </w:pPr>
            <w:r>
              <w:rPr>
                <w:rFonts w:asciiTheme="minorHAnsi" w:eastAsiaTheme="minorEastAsia" w:hAnsiTheme="minorHAnsi"/>
                <w:b w:val="0"/>
                <w:bCs w:val="0"/>
                <w:sz w:val="24"/>
                <w:lang w:val="en-US" w:eastAsia="zh-TW"/>
              </w:rPr>
              <w:object w:dxaOrig="1350" w:dyaOrig="585" w14:anchorId="350895A9">
                <v:shape id="_x0000_i1027" type="#_x0000_t75" style="width:67.7pt;height:29.3pt" o:ole="">
                  <v:imagedata r:id="rId22" o:title=""/>
                </v:shape>
                <o:OLEObject Type="Embed" ProgID="PBrush" ShapeID="_x0000_i1027" DrawAspect="Content" ObjectID="_1499258234" r:id="rId23"/>
              </w:object>
            </w:r>
          </w:p>
        </w:tc>
        <w:tc>
          <w:tcPr>
            <w:tcW w:w="720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tcPr>
          <w:p w14:paraId="017A87BE"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
        </w:tc>
      </w:tr>
      <w:tr w:rsidR="00195AE6" w14:paraId="05B174EA" w14:textId="77777777" w:rsidTr="00195AE6">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B3D1509" w14:textId="77777777" w:rsidR="00195AE6" w:rsidRDefault="00195AE6">
            <w:pPr>
              <w:spacing w:after="0"/>
              <w:rPr>
                <w:sz w:val="24"/>
                <w:lang w:val="en-US"/>
              </w:rPr>
            </w:pPr>
            <w:r>
              <w:rPr>
                <w:rFonts w:asciiTheme="minorHAnsi" w:eastAsiaTheme="minorEastAsia" w:hAnsiTheme="minorHAnsi"/>
                <w:b w:val="0"/>
                <w:bCs w:val="0"/>
                <w:sz w:val="24"/>
                <w:lang w:val="en-US" w:eastAsia="zh-TW"/>
              </w:rPr>
              <w:object w:dxaOrig="1530" w:dyaOrig="660" w14:anchorId="2562494A">
                <v:shape id="_x0000_i1028" type="#_x0000_t75" style="width:76.3pt;height:33.1pt" o:ole="">
                  <v:imagedata r:id="rId24" o:title=""/>
                </v:shape>
                <o:OLEObject Type="Embed" ProgID="PBrush" ShapeID="_x0000_i1028" DrawAspect="Content" ObjectID="_1499258235" r:id="rId25"/>
              </w:object>
            </w:r>
          </w:p>
        </w:tc>
        <w:tc>
          <w:tcPr>
            <w:tcW w:w="720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15CF1B5" w14:textId="77777777" w:rsidR="00195AE6" w:rsidRPr="004C57C0" w:rsidRDefault="00195AE6" w:rsidP="004C57C0">
            <w:pPr>
              <w:pStyle w:val="TableText"/>
              <w:cnfStyle w:val="000000000000" w:firstRow="0" w:lastRow="0" w:firstColumn="0" w:lastColumn="0" w:oddVBand="0" w:evenVBand="0" w:oddHBand="0" w:evenHBand="0" w:firstRowFirstColumn="0" w:firstRowLastColumn="0" w:lastRowFirstColumn="0" w:lastRowLastColumn="0"/>
            </w:pPr>
            <w:proofErr w:type="spellStart"/>
            <w:r w:rsidRPr="004C57C0">
              <w:t>Page</w:t>
            </w:r>
            <w:proofErr w:type="spellEnd"/>
            <w:r w:rsidRPr="004C57C0">
              <w:t xml:space="preserve"> </w:t>
            </w:r>
            <w:proofErr w:type="spellStart"/>
            <w:r w:rsidRPr="004C57C0">
              <w:t>with</w:t>
            </w:r>
            <w:proofErr w:type="spellEnd"/>
            <w:r w:rsidRPr="004C57C0">
              <w:t xml:space="preserve"> a </w:t>
            </w:r>
            <w:proofErr w:type="spellStart"/>
            <w:r w:rsidRPr="004C57C0">
              <w:t>list</w:t>
            </w:r>
            <w:proofErr w:type="spellEnd"/>
            <w:r w:rsidRPr="004C57C0">
              <w:t xml:space="preserve"> </w:t>
            </w:r>
            <w:proofErr w:type="spellStart"/>
            <w:r w:rsidRPr="004C57C0">
              <w:t>of</w:t>
            </w:r>
            <w:proofErr w:type="spellEnd"/>
            <w:r w:rsidRPr="004C57C0">
              <w:t xml:space="preserve"> </w:t>
            </w:r>
            <w:proofErr w:type="spellStart"/>
            <w:r w:rsidRPr="004C57C0">
              <w:t>domains</w:t>
            </w:r>
            <w:proofErr w:type="spellEnd"/>
            <w:r w:rsidRPr="004C57C0">
              <w:t xml:space="preserve"> </w:t>
            </w:r>
            <w:proofErr w:type="spellStart"/>
            <w:r w:rsidRPr="004C57C0">
              <w:t>and</w:t>
            </w:r>
            <w:proofErr w:type="spellEnd"/>
            <w:r w:rsidRPr="004C57C0">
              <w:t xml:space="preserve"> </w:t>
            </w:r>
            <w:proofErr w:type="spellStart"/>
            <w:r w:rsidRPr="004C57C0">
              <w:t>ability</w:t>
            </w:r>
            <w:proofErr w:type="spellEnd"/>
            <w:r w:rsidRPr="004C57C0">
              <w:t xml:space="preserve"> </w:t>
            </w:r>
            <w:proofErr w:type="spellStart"/>
            <w:r w:rsidRPr="004C57C0">
              <w:t>to</w:t>
            </w:r>
            <w:proofErr w:type="spellEnd"/>
            <w:r w:rsidRPr="004C57C0">
              <w:t xml:space="preserve"> </w:t>
            </w:r>
            <w:proofErr w:type="spellStart"/>
            <w:r w:rsidRPr="004C57C0">
              <w:t>view</w:t>
            </w:r>
            <w:proofErr w:type="spellEnd"/>
            <w:r w:rsidRPr="004C57C0">
              <w:t xml:space="preserve"> </w:t>
            </w:r>
            <w:proofErr w:type="spellStart"/>
            <w:r w:rsidRPr="004C57C0">
              <w:t>each</w:t>
            </w:r>
            <w:proofErr w:type="spellEnd"/>
            <w:r w:rsidRPr="004C57C0">
              <w:t xml:space="preserve"> </w:t>
            </w:r>
            <w:proofErr w:type="spellStart"/>
            <w:r w:rsidRPr="004C57C0">
              <w:t>of</w:t>
            </w:r>
            <w:proofErr w:type="spellEnd"/>
            <w:r w:rsidRPr="004C57C0">
              <w:t xml:space="preserve"> </w:t>
            </w:r>
            <w:proofErr w:type="spellStart"/>
            <w:r w:rsidRPr="004C57C0">
              <w:t>them</w:t>
            </w:r>
            <w:proofErr w:type="spellEnd"/>
          </w:p>
        </w:tc>
      </w:tr>
    </w:tbl>
    <w:p w14:paraId="03DEE56A" w14:textId="77777777" w:rsidR="00195AE6" w:rsidRDefault="00195AE6" w:rsidP="00195AE6">
      <w:pPr>
        <w:rPr>
          <w:rFonts w:asciiTheme="minorHAnsi" w:hAnsiTheme="minorHAnsi"/>
          <w:sz w:val="24"/>
          <w:lang w:eastAsia="en-US"/>
        </w:rPr>
      </w:pPr>
    </w:p>
    <w:p w14:paraId="1913D406" w14:textId="71163CCC" w:rsidR="00195AE6" w:rsidRDefault="00195AE6" w:rsidP="00096AAB">
      <w:pPr>
        <w:pStyle w:val="BodyText"/>
      </w:pPr>
      <w:r>
        <w:t xml:space="preserve">On </w:t>
      </w:r>
      <w:r w:rsidR="00096AAB">
        <w:t xml:space="preserve">the </w:t>
      </w:r>
      <w:r>
        <w:t>Calculations page you will see the following control panel:</w:t>
      </w:r>
    </w:p>
    <w:p w14:paraId="28B9ACB8" w14:textId="0B9837F1" w:rsidR="00195AE6" w:rsidRDefault="00195AE6" w:rsidP="00096AAB">
      <w:pPr>
        <w:pStyle w:val="Images"/>
        <w:rPr>
          <w:lang w:val="en-US"/>
        </w:rPr>
      </w:pPr>
      <w:r>
        <w:drawing>
          <wp:inline distT="0" distB="0" distL="0" distR="0" wp14:anchorId="46A26E01" wp14:editId="657D1B96">
            <wp:extent cx="4752340" cy="1188085"/>
            <wp:effectExtent l="152400" t="152400" r="35306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8630" cy="716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23CDB5" w14:textId="02F46D33" w:rsidR="00FB350A" w:rsidRDefault="00195AE6" w:rsidP="00096AAB">
      <w:pPr>
        <w:pStyle w:val="BodyText"/>
        <w:jc w:val="both"/>
      </w:pPr>
      <w:r>
        <w:t xml:space="preserve">Control panel displays name of each calculation and gives the ability to view the output of the Calculation and see the log, Download Calculation log, </w:t>
      </w:r>
      <w:proofErr w:type="gramStart"/>
      <w:r>
        <w:t>Run</w:t>
      </w:r>
      <w:proofErr w:type="gramEnd"/>
      <w:r>
        <w:t xml:space="preserve"> the Calculation, </w:t>
      </w:r>
      <w:proofErr w:type="spellStart"/>
      <w:r>
        <w:t>Bucketize</w:t>
      </w:r>
      <w:proofErr w:type="spellEnd"/>
      <w:r>
        <w:t xml:space="preserve"> Calculation and the ability to Stop an execution Calculation.</w:t>
      </w:r>
    </w:p>
    <w:p w14:paraId="16DBA277" w14:textId="112296AF" w:rsidR="00195AE6" w:rsidRDefault="00FB350A" w:rsidP="00FB350A">
      <w:pPr>
        <w:spacing w:after="200" w:line="276" w:lineRule="auto"/>
      </w:pPr>
      <w:r>
        <w:br w:type="page"/>
      </w:r>
    </w:p>
    <w:p w14:paraId="569781CD" w14:textId="77777777" w:rsidR="00195AE6" w:rsidRDefault="00195AE6" w:rsidP="00195AE6">
      <w:pPr>
        <w:pStyle w:val="Heading1"/>
        <w:jc w:val="both"/>
        <w:rPr>
          <w:sz w:val="32"/>
        </w:rPr>
      </w:pPr>
      <w:bookmarkStart w:id="21" w:name="_Toc424469257"/>
      <w:bookmarkStart w:id="22" w:name="_Toc425334251"/>
      <w:r>
        <w:lastRenderedPageBreak/>
        <w:t>What If Scenario</w:t>
      </w:r>
      <w:bookmarkEnd w:id="21"/>
      <w:bookmarkEnd w:id="22"/>
    </w:p>
    <w:p w14:paraId="0D5B88CA" w14:textId="77777777" w:rsidR="00195AE6" w:rsidRDefault="00195AE6" w:rsidP="00191981">
      <w:pPr>
        <w:pStyle w:val="BodyText"/>
        <w:jc w:val="both"/>
      </w:pPr>
      <w:r>
        <w:t xml:space="preserve">‘What If Scenario’ gives Analyst the ability to exercise the data with a </w:t>
      </w:r>
      <w:proofErr w:type="gramStart"/>
      <w:r>
        <w:t>customer.</w:t>
      </w:r>
      <w:proofErr w:type="gramEnd"/>
      <w:r>
        <w:t xml:space="preserve"> Making a run a ‘What if Scenario’ is a permanent change and you cannot convert this back to a regular run.</w:t>
      </w:r>
    </w:p>
    <w:p w14:paraId="0B9B75C4" w14:textId="77777777" w:rsidR="00195AE6" w:rsidRDefault="00195AE6" w:rsidP="00191981">
      <w:pPr>
        <w:pStyle w:val="BodyText"/>
        <w:jc w:val="both"/>
      </w:pPr>
      <w:r>
        <w:t xml:space="preserve">In case of ‘What If Scenario’ there will be no practical loads to the Main Storage. After exercising we should upload the file again and replace the </w:t>
      </w:r>
      <w:proofErr w:type="spellStart"/>
      <w:r>
        <w:t>data.s</w:t>
      </w:r>
      <w:proofErr w:type="spellEnd"/>
    </w:p>
    <w:p w14:paraId="6601A583" w14:textId="77777777" w:rsidR="00195AE6" w:rsidRDefault="00195AE6" w:rsidP="00195AE6">
      <w:pPr>
        <w:pStyle w:val="Heading2"/>
        <w:jc w:val="both"/>
        <w:rPr>
          <w:sz w:val="28"/>
        </w:rPr>
      </w:pPr>
      <w:bookmarkStart w:id="23" w:name="_Toc424469258"/>
      <w:bookmarkStart w:id="24" w:name="_Toc425334252"/>
      <w:r>
        <w:rPr>
          <w:sz w:val="28"/>
        </w:rPr>
        <w:t>Reports</w:t>
      </w:r>
      <w:bookmarkEnd w:id="23"/>
      <w:bookmarkEnd w:id="24"/>
    </w:p>
    <w:p w14:paraId="68376D1A" w14:textId="77777777" w:rsidR="00195AE6" w:rsidRDefault="00195AE6" w:rsidP="00191981">
      <w:pPr>
        <w:pStyle w:val="BodyText"/>
        <w:jc w:val="both"/>
      </w:pPr>
      <w:r>
        <w:t xml:space="preserve">Access this page to produce a report displaying the calculation results. The results will be sent to the customer as an operation outside of context of </w:t>
      </w:r>
      <w:proofErr w:type="spellStart"/>
      <w:r>
        <w:t>CalcPartner</w:t>
      </w:r>
      <w:proofErr w:type="spellEnd"/>
      <w:r>
        <w:t>.</w:t>
      </w:r>
    </w:p>
    <w:p w14:paraId="31616878" w14:textId="77777777" w:rsidR="00195AE6" w:rsidRDefault="00195AE6" w:rsidP="00191981">
      <w:pPr>
        <w:pStyle w:val="BodyText"/>
        <w:jc w:val="both"/>
      </w:pPr>
    </w:p>
    <w:p w14:paraId="00F19E43" w14:textId="77777777" w:rsidR="00195AE6" w:rsidRDefault="00195AE6" w:rsidP="00195AE6">
      <w:pPr>
        <w:pStyle w:val="Heading2"/>
        <w:rPr>
          <w:sz w:val="28"/>
        </w:rPr>
      </w:pPr>
      <w:bookmarkStart w:id="25" w:name="_Toc424469259"/>
      <w:bookmarkStart w:id="26" w:name="_Toc425334253"/>
      <w:r>
        <w:rPr>
          <w:sz w:val="28"/>
        </w:rPr>
        <w:t>Data tables attributes</w:t>
      </w:r>
      <w:bookmarkEnd w:id="25"/>
      <w:bookmarkEnd w:id="26"/>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3505"/>
        <w:gridCol w:w="6124"/>
      </w:tblGrid>
      <w:tr w:rsidR="00195AE6" w14:paraId="38A88477"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0511B93" w14:textId="77777777" w:rsidR="00195AE6" w:rsidRDefault="00195AE6">
            <w:pPr>
              <w:spacing w:after="0"/>
              <w:rPr>
                <w:rFonts w:ascii="Courier New" w:hAnsi="Courier New" w:cs="Courier New"/>
                <w:sz w:val="24"/>
              </w:rPr>
            </w:pPr>
            <w:proofErr w:type="spellStart"/>
            <w:r>
              <w:rPr>
                <w:rFonts w:ascii="Courier New" w:hAnsi="Courier New" w:cs="Courier New"/>
                <w:sz w:val="24"/>
              </w:rPr>
              <w:t>chbk_detail_id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9BA8D3" w14:textId="77777777" w:rsidR="00195AE6" w:rsidRDefault="00195AE6" w:rsidP="00191981">
            <w:pPr>
              <w:pStyle w:val="TableText"/>
              <w:rPr>
                <w:rFonts w:asciiTheme="minorHAnsi" w:hAnsiTheme="minorHAnsi" w:cstheme="minorBidi"/>
              </w:rPr>
            </w:pPr>
            <w:r>
              <w:t>Unique key for the chargeback</w:t>
            </w:r>
          </w:p>
        </w:tc>
      </w:tr>
      <w:tr w:rsidR="00195AE6" w14:paraId="1480C8D0"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EE8C98" w14:textId="77777777" w:rsidR="00195AE6" w:rsidRDefault="00195AE6">
            <w:pPr>
              <w:spacing w:after="0"/>
              <w:rPr>
                <w:rFonts w:ascii="Courier New" w:hAnsi="Courier New" w:cs="Courier New"/>
                <w:sz w:val="24"/>
              </w:rPr>
            </w:pPr>
            <w:proofErr w:type="spellStart"/>
            <w:r>
              <w:rPr>
                <w:rFonts w:ascii="Courier New" w:hAnsi="Courier New" w:cs="Courier New"/>
                <w:sz w:val="24"/>
              </w:rPr>
              <w:t>dea_id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1946202" w14:textId="77777777" w:rsidR="00195AE6" w:rsidRDefault="00195AE6" w:rsidP="00191981">
            <w:pPr>
              <w:pStyle w:val="TableText"/>
              <w:rPr>
                <w:rFonts w:asciiTheme="minorHAnsi" w:hAnsiTheme="minorHAnsi" w:cstheme="minorBidi"/>
              </w:rPr>
            </w:pPr>
            <w:r>
              <w:t>Drug Enforcement Agency number</w:t>
            </w:r>
          </w:p>
        </w:tc>
      </w:tr>
      <w:tr w:rsidR="00195AE6" w14:paraId="416FBCBD"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BA47E20" w14:textId="77777777" w:rsidR="00195AE6" w:rsidRDefault="00195AE6">
            <w:pPr>
              <w:spacing w:after="0"/>
              <w:rPr>
                <w:rFonts w:ascii="Courier New" w:hAnsi="Courier New" w:cs="Courier New"/>
                <w:sz w:val="24"/>
              </w:rPr>
            </w:pPr>
            <w:proofErr w:type="spellStart"/>
            <w:r>
              <w:rPr>
                <w:rFonts w:ascii="Courier New" w:hAnsi="Courier New" w:cs="Courier New"/>
                <w:sz w:val="24"/>
              </w:rPr>
              <w:t>cust_id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0874BB1" w14:textId="77777777" w:rsidR="00195AE6" w:rsidRDefault="00195AE6" w:rsidP="00191981">
            <w:pPr>
              <w:pStyle w:val="TableText"/>
              <w:rPr>
                <w:rFonts w:asciiTheme="minorHAnsi" w:hAnsiTheme="minorHAnsi" w:cstheme="minorBidi"/>
              </w:rPr>
            </w:pPr>
            <w:r>
              <w:t>Customer identifier</w:t>
            </w:r>
          </w:p>
        </w:tc>
      </w:tr>
      <w:tr w:rsidR="00195AE6" w14:paraId="431B3765"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6A866AA" w14:textId="77777777" w:rsidR="00195AE6" w:rsidRDefault="00195AE6">
            <w:pPr>
              <w:spacing w:after="0"/>
              <w:rPr>
                <w:rFonts w:ascii="Courier New" w:hAnsi="Courier New" w:cs="Courier New"/>
                <w:sz w:val="24"/>
              </w:rPr>
            </w:pPr>
            <w:proofErr w:type="spellStart"/>
            <w:r>
              <w:rPr>
                <w:rFonts w:ascii="Courier New" w:hAnsi="Courier New" w:cs="Courier New"/>
                <w:sz w:val="24"/>
              </w:rPr>
              <w:t>gln_id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57776F4" w14:textId="77777777" w:rsidR="00195AE6" w:rsidRDefault="00195AE6" w:rsidP="00191981">
            <w:pPr>
              <w:pStyle w:val="TableText"/>
              <w:rPr>
                <w:rFonts w:asciiTheme="minorHAnsi" w:hAnsiTheme="minorHAnsi" w:cstheme="minorBidi"/>
              </w:rPr>
            </w:pPr>
            <w:r>
              <w:t>Global located number</w:t>
            </w:r>
          </w:p>
        </w:tc>
      </w:tr>
      <w:tr w:rsidR="00195AE6" w14:paraId="07BF4FC7"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2905D8" w14:textId="77777777" w:rsidR="00195AE6" w:rsidRDefault="00195AE6">
            <w:pPr>
              <w:spacing w:after="0"/>
              <w:rPr>
                <w:rFonts w:ascii="Courier New" w:hAnsi="Courier New" w:cs="Courier New"/>
                <w:sz w:val="24"/>
              </w:rPr>
            </w:pPr>
            <w:proofErr w:type="spellStart"/>
            <w:r>
              <w:rPr>
                <w:rFonts w:ascii="Courier New" w:hAnsi="Courier New" w:cs="Courier New"/>
                <w:sz w:val="24"/>
              </w:rPr>
              <w:t>hin_id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ED1F560" w14:textId="77777777" w:rsidR="00195AE6" w:rsidRDefault="00195AE6" w:rsidP="00191981">
            <w:pPr>
              <w:pStyle w:val="TableText"/>
              <w:rPr>
                <w:rFonts w:asciiTheme="minorHAnsi" w:hAnsiTheme="minorHAnsi" w:cstheme="minorBidi"/>
              </w:rPr>
            </w:pPr>
            <w:r>
              <w:t>Health industry number (also customer identifier)</w:t>
            </w:r>
          </w:p>
        </w:tc>
      </w:tr>
      <w:tr w:rsidR="00195AE6" w14:paraId="71CCE90A"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16427FC" w14:textId="77777777" w:rsidR="00195AE6" w:rsidRDefault="00195AE6">
            <w:pPr>
              <w:spacing w:after="0"/>
              <w:rPr>
                <w:rFonts w:ascii="Courier New" w:hAnsi="Courier New" w:cs="Courier New"/>
                <w:sz w:val="24"/>
              </w:rPr>
            </w:pPr>
            <w:proofErr w:type="spellStart"/>
            <w:r>
              <w:rPr>
                <w:rFonts w:ascii="Courier New" w:hAnsi="Courier New" w:cs="Courier New"/>
                <w:sz w:val="24"/>
              </w:rPr>
              <w:t>spec_id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5ECC36" w14:textId="77777777" w:rsidR="00195AE6" w:rsidRDefault="00195AE6" w:rsidP="00191981">
            <w:pPr>
              <w:pStyle w:val="TableText"/>
              <w:rPr>
                <w:rFonts w:asciiTheme="minorHAnsi" w:hAnsiTheme="minorHAnsi" w:cstheme="minorBidi"/>
              </w:rPr>
            </w:pPr>
            <w:r>
              <w:t>Different type of ID provided by customer (in some cases that’s the ID that wholesaler gives)</w:t>
            </w:r>
          </w:p>
        </w:tc>
      </w:tr>
      <w:tr w:rsidR="00195AE6" w14:paraId="1240A458"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D151207" w14:textId="77777777" w:rsidR="00195AE6" w:rsidRDefault="00195AE6">
            <w:pPr>
              <w:spacing w:after="0"/>
              <w:rPr>
                <w:rFonts w:ascii="Courier New" w:hAnsi="Courier New" w:cs="Courier New"/>
                <w:sz w:val="24"/>
              </w:rPr>
            </w:pPr>
            <w:proofErr w:type="spellStart"/>
            <w:r>
              <w:rPr>
                <w:rFonts w:ascii="Courier New" w:hAnsi="Courier New" w:cs="Courier New"/>
                <w:sz w:val="24"/>
              </w:rPr>
              <w:t>dsh_id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C6177E1" w14:textId="77777777" w:rsidR="00195AE6" w:rsidRDefault="00195AE6" w:rsidP="00191981">
            <w:pPr>
              <w:pStyle w:val="TableText"/>
              <w:rPr>
                <w:rFonts w:asciiTheme="minorHAnsi" w:hAnsiTheme="minorHAnsi" w:cstheme="minorBidi"/>
              </w:rPr>
            </w:pPr>
            <w:r>
              <w:t>Disproportionate Share Hospital identifier</w:t>
            </w:r>
          </w:p>
        </w:tc>
      </w:tr>
      <w:tr w:rsidR="00195AE6" w14:paraId="742C9D9A"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4ED80E2" w14:textId="77777777" w:rsidR="00195AE6" w:rsidRDefault="00195AE6">
            <w:pPr>
              <w:spacing w:after="0"/>
              <w:rPr>
                <w:rFonts w:ascii="Courier New" w:hAnsi="Courier New" w:cs="Courier New"/>
                <w:sz w:val="24"/>
              </w:rPr>
            </w:pPr>
            <w:proofErr w:type="spellStart"/>
            <w:r>
              <w:rPr>
                <w:rFonts w:ascii="Courier New" w:hAnsi="Courier New" w:cs="Courier New"/>
                <w:sz w:val="24"/>
              </w:rPr>
              <w:t>cust</w:t>
            </w:r>
            <w:proofErr w:type="spellEnd"/>
            <w:r>
              <w:rPr>
                <w:rFonts w:ascii="Courier New" w:hAnsi="Courier New" w:cs="Courier New"/>
                <w:sz w:val="24"/>
              </w:rPr>
              <w:softHyphen/>
              <w:t>_id</w:t>
            </w: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67651CB" w14:textId="77777777" w:rsidR="00195AE6" w:rsidRDefault="00195AE6" w:rsidP="00191981">
            <w:pPr>
              <w:pStyle w:val="TableText"/>
              <w:rPr>
                <w:rFonts w:asciiTheme="minorHAnsi" w:hAnsiTheme="minorHAnsi" w:cstheme="minorBidi"/>
              </w:rPr>
            </w:pPr>
            <w:r>
              <w:t>Internal customer identifier</w:t>
            </w:r>
          </w:p>
        </w:tc>
      </w:tr>
      <w:tr w:rsidR="00195AE6" w14:paraId="0DF01096"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EA71A5F" w14:textId="77777777" w:rsidR="00195AE6" w:rsidRDefault="00195AE6">
            <w:pPr>
              <w:spacing w:after="0"/>
              <w:rPr>
                <w:rFonts w:ascii="Courier New" w:hAnsi="Courier New" w:cs="Courier New"/>
                <w:sz w:val="24"/>
              </w:rPr>
            </w:pPr>
            <w:proofErr w:type="spellStart"/>
            <w:r>
              <w:rPr>
                <w:rFonts w:ascii="Courier New" w:hAnsi="Courier New" w:cs="Courier New"/>
                <w:sz w:val="24"/>
              </w:rPr>
              <w:t>ndc_id</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BABB16A" w14:textId="77777777" w:rsidR="00195AE6" w:rsidRDefault="00195AE6" w:rsidP="00191981">
            <w:pPr>
              <w:pStyle w:val="TableText"/>
              <w:rPr>
                <w:rFonts w:asciiTheme="minorHAnsi" w:hAnsiTheme="minorHAnsi" w:cstheme="minorBidi"/>
              </w:rPr>
            </w:pPr>
            <w:r>
              <w:t>National Drug Codes in the States (NDC-9, NDC-11)</w:t>
            </w:r>
          </w:p>
          <w:p w14:paraId="24C1EF93" w14:textId="77777777" w:rsidR="00195AE6" w:rsidRPr="00191981" w:rsidRDefault="00195AE6" w:rsidP="00191981">
            <w:pPr>
              <w:pStyle w:val="TableText"/>
            </w:pPr>
            <w:r w:rsidRPr="00191981">
              <w:t>NDC-11 number structure:</w:t>
            </w:r>
          </w:p>
          <w:p w14:paraId="3F10997E" w14:textId="77777777" w:rsidR="00195AE6" w:rsidRDefault="00195AE6" w:rsidP="00191981">
            <w:pPr>
              <w:pStyle w:val="TableText"/>
            </w:pPr>
            <w:r>
              <w:t>Example 11111222233</w:t>
            </w:r>
          </w:p>
          <w:p w14:paraId="7ADD4E5D" w14:textId="77777777" w:rsidR="00195AE6" w:rsidRDefault="00195AE6" w:rsidP="00191981">
            <w:pPr>
              <w:pStyle w:val="TableText"/>
            </w:pPr>
            <w:r>
              <w:t>11111 – manufacture code (first five digits)</w:t>
            </w:r>
          </w:p>
          <w:p w14:paraId="17142C97" w14:textId="77777777" w:rsidR="00195AE6" w:rsidRDefault="00195AE6" w:rsidP="00191981">
            <w:pPr>
              <w:pStyle w:val="TableText"/>
            </w:pPr>
            <w:r>
              <w:t>2222 – product identifier by active ingredient, form, taste, formula, etc. (the following four digits)</w:t>
            </w:r>
          </w:p>
          <w:p w14:paraId="7BFF586C" w14:textId="77777777" w:rsidR="00195AE6" w:rsidRDefault="00195AE6" w:rsidP="00191981">
            <w:pPr>
              <w:pStyle w:val="TableText"/>
            </w:pPr>
            <w:r>
              <w:t>33 – size (the last two digits)</w:t>
            </w:r>
          </w:p>
        </w:tc>
      </w:tr>
      <w:tr w:rsidR="00195AE6" w14:paraId="6A9EC6B9"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DB90CF4" w14:textId="77777777" w:rsidR="00195AE6" w:rsidRDefault="00195AE6">
            <w:pPr>
              <w:spacing w:after="0"/>
              <w:rPr>
                <w:rFonts w:ascii="Courier New" w:hAnsi="Courier New" w:cs="Courier New"/>
                <w:sz w:val="24"/>
              </w:rPr>
            </w:pPr>
            <w:proofErr w:type="spellStart"/>
            <w:r>
              <w:rPr>
                <w:rFonts w:ascii="Courier New" w:hAnsi="Courier New" w:cs="Courier New"/>
                <w:sz w:val="24"/>
              </w:rPr>
              <w:t>chbk_amt</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32CAE6" w14:textId="77777777" w:rsidR="00195AE6" w:rsidRDefault="00195AE6" w:rsidP="00191981">
            <w:pPr>
              <w:pStyle w:val="TableText"/>
              <w:rPr>
                <w:rFonts w:asciiTheme="minorHAnsi" w:hAnsiTheme="minorHAnsi" w:cstheme="minorBidi"/>
              </w:rPr>
            </w:pPr>
            <w:r>
              <w:t>Amount of money that’s missing (the chargeback)</w:t>
            </w:r>
          </w:p>
        </w:tc>
      </w:tr>
      <w:tr w:rsidR="00195AE6" w14:paraId="529578E3"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83A99FF" w14:textId="77777777" w:rsidR="00195AE6" w:rsidRDefault="00195AE6">
            <w:pPr>
              <w:spacing w:after="0"/>
              <w:rPr>
                <w:rFonts w:ascii="Courier New" w:hAnsi="Courier New" w:cs="Courier New"/>
                <w:sz w:val="24"/>
              </w:rPr>
            </w:pPr>
            <w:proofErr w:type="spellStart"/>
            <w:r>
              <w:rPr>
                <w:rFonts w:ascii="Courier New" w:hAnsi="Courier New" w:cs="Courier New"/>
                <w:sz w:val="24"/>
              </w:rPr>
              <w:t>line_amt</w:t>
            </w:r>
            <w:proofErr w:type="spellEnd"/>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B32AFF8" w14:textId="77777777" w:rsidR="00195AE6" w:rsidRDefault="00195AE6" w:rsidP="00191981">
            <w:pPr>
              <w:pStyle w:val="TableText"/>
              <w:rPr>
                <w:rFonts w:asciiTheme="minorHAnsi" w:hAnsiTheme="minorHAnsi" w:cstheme="minorBidi"/>
              </w:rPr>
            </w:pPr>
            <w:r>
              <w:t>Drug was sold at this amount of money</w:t>
            </w:r>
          </w:p>
        </w:tc>
      </w:tr>
    </w:tbl>
    <w:p w14:paraId="28BBA35F" w14:textId="77777777" w:rsidR="00195AE6" w:rsidRDefault="00195AE6" w:rsidP="00195AE6">
      <w:pPr>
        <w:pStyle w:val="Heading1"/>
        <w:rPr>
          <w:sz w:val="36"/>
        </w:rPr>
      </w:pPr>
      <w:bookmarkStart w:id="27" w:name="_Toc424469260"/>
      <w:bookmarkStart w:id="28" w:name="_Toc425334254"/>
      <w:r>
        <w:rPr>
          <w:sz w:val="36"/>
        </w:rPr>
        <w:t>Admin User</w:t>
      </w:r>
      <w:bookmarkEnd w:id="27"/>
      <w:bookmarkEnd w:id="28"/>
    </w:p>
    <w:p w14:paraId="417744F6" w14:textId="77777777" w:rsidR="00195AE6" w:rsidRDefault="00195AE6" w:rsidP="000862BE">
      <w:pPr>
        <w:pStyle w:val="BodyText"/>
      </w:pPr>
      <w:r>
        <w:t>Admin user had a predefined set of options described below.</w:t>
      </w:r>
    </w:p>
    <w:tbl>
      <w:tblPr>
        <w:tblStyle w:val="TableGridLight"/>
        <w:tblW w:w="0" w:type="auto"/>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3505"/>
        <w:gridCol w:w="6124"/>
      </w:tblGrid>
      <w:tr w:rsidR="00195AE6" w14:paraId="59BAF7A6" w14:textId="77777777" w:rsidTr="00195AE6">
        <w:tc>
          <w:tcPr>
            <w:tcW w:w="3505" w:type="dxa"/>
            <w:vMerge w:val="restart"/>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79D55DB" w14:textId="77777777" w:rsidR="00195AE6" w:rsidRDefault="00195AE6">
            <w:pPr>
              <w:spacing w:after="0"/>
              <w:rPr>
                <w:sz w:val="24"/>
                <w:lang w:val="en-US"/>
              </w:rPr>
            </w:pPr>
            <w:r>
              <w:rPr>
                <w:rFonts w:asciiTheme="minorHAnsi" w:eastAsiaTheme="minorEastAsia" w:hAnsiTheme="minorHAnsi"/>
                <w:sz w:val="24"/>
                <w:lang w:val="en-US" w:eastAsia="zh-TW"/>
              </w:rPr>
              <w:object w:dxaOrig="3240" w:dyaOrig="3870" w14:anchorId="6062F933">
                <v:shape id="_x0000_i1029" type="#_x0000_t75" style="width:162.25pt;height:193.45pt" o:ole="">
                  <v:imagedata r:id="rId27" o:title=""/>
                </v:shape>
                <o:OLEObject Type="Embed" ProgID="PBrush" ShapeID="_x0000_i1029" DrawAspect="Content" ObjectID="_1499258236" r:id="rId28"/>
              </w:object>
            </w: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F366CA" w14:textId="77777777" w:rsidR="00195AE6" w:rsidRDefault="00195AE6" w:rsidP="000862BE">
            <w:pPr>
              <w:pStyle w:val="TableText"/>
              <w:rPr>
                <w:lang w:val="en-US"/>
              </w:rPr>
            </w:pPr>
            <w:r>
              <w:rPr>
                <w:lang w:val="en-US"/>
              </w:rPr>
              <w:t>Manage users – adding users, setting passwords, providing access to individual clients, promoting to admin role or deleting selected users</w:t>
            </w:r>
          </w:p>
        </w:tc>
      </w:tr>
      <w:tr w:rsidR="00195AE6" w14:paraId="49C26424" w14:textId="77777777" w:rsidTr="00195AE6">
        <w:tc>
          <w:tcPr>
            <w:tcW w:w="0" w:type="auto"/>
            <w:vMerge/>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hideMark/>
          </w:tcPr>
          <w:p w14:paraId="74BB71D8" w14:textId="77777777" w:rsidR="00195AE6" w:rsidRDefault="00195AE6">
            <w:pPr>
              <w:spacing w:after="0"/>
              <w:rPr>
                <w:sz w:val="24"/>
                <w:lang w:val="en-US"/>
              </w:rPr>
            </w:pP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60B63CD" w14:textId="77777777" w:rsidR="00195AE6" w:rsidRDefault="00195AE6" w:rsidP="000862BE">
            <w:pPr>
              <w:pStyle w:val="TableText"/>
              <w:rPr>
                <w:lang w:val="en-US"/>
              </w:rPr>
            </w:pPr>
            <w:r>
              <w:rPr>
                <w:lang w:val="en-US"/>
              </w:rPr>
              <w:t>Manage customers – create a new client or edit existing ones.</w:t>
            </w:r>
          </w:p>
          <w:p w14:paraId="0E00A4E3" w14:textId="77777777" w:rsidR="00195AE6" w:rsidRDefault="00195AE6" w:rsidP="000862BE">
            <w:pPr>
              <w:pStyle w:val="TableText"/>
              <w:rPr>
                <w:lang w:val="en-US"/>
              </w:rPr>
            </w:pPr>
            <w:r>
              <w:rPr>
                <w:lang w:val="en-US"/>
              </w:rPr>
              <w:t xml:space="preserve">Customer called ‘System’ must exist before everything else. It contains </w:t>
            </w:r>
            <w:proofErr w:type="spellStart"/>
            <w:r>
              <w:rPr>
                <w:lang w:val="en-US"/>
              </w:rPr>
              <w:t>gpcommon</w:t>
            </w:r>
            <w:proofErr w:type="spellEnd"/>
            <w:r>
              <w:rPr>
                <w:lang w:val="en-US"/>
              </w:rPr>
              <w:t xml:space="preserve"> file which is shared Python library across all client.</w:t>
            </w:r>
          </w:p>
        </w:tc>
      </w:tr>
      <w:tr w:rsidR="00195AE6" w14:paraId="1F3930CE" w14:textId="77777777" w:rsidTr="00195AE6">
        <w:tc>
          <w:tcPr>
            <w:tcW w:w="0" w:type="auto"/>
            <w:vMerge/>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hideMark/>
          </w:tcPr>
          <w:p w14:paraId="4188A473" w14:textId="77777777" w:rsidR="00195AE6" w:rsidRDefault="00195AE6">
            <w:pPr>
              <w:spacing w:after="0"/>
              <w:rPr>
                <w:sz w:val="24"/>
                <w:lang w:val="en-US"/>
              </w:rPr>
            </w:pP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19B4C8" w14:textId="77777777" w:rsidR="00195AE6" w:rsidRDefault="00195AE6" w:rsidP="000862BE">
            <w:pPr>
              <w:pStyle w:val="TableText"/>
              <w:rPr>
                <w:lang w:val="en-US"/>
              </w:rPr>
            </w:pPr>
            <w:r>
              <w:rPr>
                <w:lang w:val="en-US"/>
              </w:rPr>
              <w:t>Logs – detailed information when the system was started, what actions were performed. Information provided on this page is independent of client.</w:t>
            </w:r>
          </w:p>
        </w:tc>
      </w:tr>
      <w:tr w:rsidR="00195AE6" w14:paraId="08E3B4C0" w14:textId="77777777" w:rsidTr="00195AE6">
        <w:tc>
          <w:tcPr>
            <w:tcW w:w="0" w:type="auto"/>
            <w:vMerge/>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hideMark/>
          </w:tcPr>
          <w:p w14:paraId="701201A2" w14:textId="77777777" w:rsidR="00195AE6" w:rsidRDefault="00195AE6">
            <w:pPr>
              <w:spacing w:after="0"/>
              <w:rPr>
                <w:sz w:val="24"/>
                <w:lang w:val="en-US"/>
              </w:rPr>
            </w:pP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DD5A9E5" w14:textId="77777777" w:rsidR="00195AE6" w:rsidRDefault="00195AE6" w:rsidP="000862BE">
            <w:pPr>
              <w:pStyle w:val="TableText"/>
              <w:rPr>
                <w:lang w:val="en-US"/>
              </w:rPr>
            </w:pPr>
            <w:r>
              <w:rPr>
                <w:lang w:val="en-US"/>
              </w:rPr>
              <w:t>System status – information about system components, such as CPU load, RAM consumed, Swap consumed. Updates every 2 seconds</w:t>
            </w:r>
          </w:p>
        </w:tc>
      </w:tr>
      <w:tr w:rsidR="00195AE6" w14:paraId="20153901" w14:textId="77777777" w:rsidTr="00195AE6">
        <w:tc>
          <w:tcPr>
            <w:tcW w:w="0" w:type="auto"/>
            <w:vMerge/>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hideMark/>
          </w:tcPr>
          <w:p w14:paraId="2299D549" w14:textId="77777777" w:rsidR="00195AE6" w:rsidRDefault="00195AE6">
            <w:pPr>
              <w:spacing w:after="0"/>
              <w:rPr>
                <w:sz w:val="24"/>
                <w:lang w:val="en-US"/>
              </w:rPr>
            </w:pPr>
          </w:p>
        </w:tc>
        <w:tc>
          <w:tcPr>
            <w:tcW w:w="612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2981974" w14:textId="77777777" w:rsidR="00195AE6" w:rsidRDefault="00195AE6" w:rsidP="000862BE">
            <w:pPr>
              <w:pStyle w:val="TableText"/>
              <w:rPr>
                <w:lang w:val="en-US"/>
              </w:rPr>
            </w:pPr>
            <w:r>
              <w:rPr>
                <w:lang w:val="en-US"/>
              </w:rPr>
              <w:t>Access Report - list of users and clients they have access to</w:t>
            </w:r>
          </w:p>
        </w:tc>
      </w:tr>
    </w:tbl>
    <w:p w14:paraId="0D2B6FEC" w14:textId="77777777" w:rsidR="007A7C33" w:rsidRDefault="007A7C33" w:rsidP="00195AE6">
      <w:pPr>
        <w:pStyle w:val="Heading1"/>
        <w:rPr>
          <w:sz w:val="36"/>
        </w:rPr>
      </w:pPr>
      <w:bookmarkStart w:id="29" w:name="_Toc424469261"/>
      <w:bookmarkStart w:id="30" w:name="_Toc425334255"/>
    </w:p>
    <w:p w14:paraId="577D1905" w14:textId="77777777" w:rsidR="007A7C33" w:rsidRDefault="007A7C33">
      <w:pPr>
        <w:spacing w:after="200" w:line="276" w:lineRule="auto"/>
        <w:rPr>
          <w:rFonts w:ascii="Segoe UI Light" w:eastAsiaTheme="majorEastAsia" w:hAnsi="Segoe UI Light" w:cstheme="majorBidi"/>
          <w:bCs/>
          <w:color w:val="017EB8"/>
          <w:sz w:val="36"/>
          <w:szCs w:val="60"/>
        </w:rPr>
      </w:pPr>
      <w:r>
        <w:rPr>
          <w:sz w:val="36"/>
        </w:rPr>
        <w:br w:type="page"/>
      </w:r>
    </w:p>
    <w:p w14:paraId="3D9B2AF0" w14:textId="567166AF" w:rsidR="00195AE6" w:rsidRDefault="00195AE6" w:rsidP="00195AE6">
      <w:pPr>
        <w:pStyle w:val="Heading1"/>
        <w:rPr>
          <w:sz w:val="36"/>
        </w:rPr>
      </w:pPr>
      <w:bookmarkStart w:id="31" w:name="_GoBack"/>
      <w:bookmarkEnd w:id="31"/>
      <w:r>
        <w:rPr>
          <w:sz w:val="36"/>
        </w:rPr>
        <w:lastRenderedPageBreak/>
        <w:t>Report Submission Dates</w:t>
      </w:r>
      <w:bookmarkEnd w:id="29"/>
      <w:bookmarkEnd w:id="30"/>
    </w:p>
    <w:tbl>
      <w:tblPr>
        <w:tblStyle w:val="TableGridLight"/>
        <w:tblW w:w="0" w:type="auto"/>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ook w:val="04A0" w:firstRow="1" w:lastRow="0" w:firstColumn="1" w:lastColumn="0" w:noHBand="0" w:noVBand="1"/>
      </w:tblPr>
      <w:tblGrid>
        <w:gridCol w:w="3505"/>
        <w:gridCol w:w="6120"/>
      </w:tblGrid>
      <w:tr w:rsidR="00195AE6" w14:paraId="72DACD90"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4CB1FEB" w14:textId="77777777" w:rsidR="00195AE6" w:rsidRDefault="00195AE6" w:rsidP="00746E93">
            <w:pPr>
              <w:pStyle w:val="TableHeader"/>
              <w:rPr>
                <w:lang w:val="en-US"/>
              </w:rPr>
            </w:pPr>
            <w:r>
              <w:rPr>
                <w:lang w:val="en-US"/>
              </w:rPr>
              <w:t>Frequency</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F942EF8" w14:textId="77777777" w:rsidR="00195AE6" w:rsidRDefault="00195AE6" w:rsidP="00746E93">
            <w:pPr>
              <w:pStyle w:val="TableHeader"/>
              <w:rPr>
                <w:lang w:val="en-US"/>
              </w:rPr>
            </w:pPr>
            <w:r>
              <w:rPr>
                <w:lang w:val="en-US"/>
              </w:rPr>
              <w:t>Report</w:t>
            </w:r>
          </w:p>
        </w:tc>
      </w:tr>
      <w:tr w:rsidR="00195AE6" w14:paraId="3815F428"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0CF5B0" w14:textId="77777777" w:rsidR="00195AE6" w:rsidRDefault="00195AE6" w:rsidP="00746E93">
            <w:pPr>
              <w:pStyle w:val="TableText"/>
              <w:rPr>
                <w:lang w:val="en-US"/>
              </w:rPr>
            </w:pPr>
            <w:r>
              <w:rPr>
                <w:lang w:val="en"/>
              </w:rPr>
              <w:t>Monthly</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3A3BD3" w14:textId="77777777" w:rsidR="00195AE6" w:rsidRDefault="00195AE6" w:rsidP="00746E93">
            <w:pPr>
              <w:pStyle w:val="TableText"/>
              <w:rPr>
                <w:lang w:val="en-US"/>
              </w:rPr>
            </w:pPr>
            <w:r>
              <w:rPr>
                <w:lang w:val="en"/>
              </w:rPr>
              <w:t>Average Manufacturer Price (AMP)</w:t>
            </w:r>
          </w:p>
        </w:tc>
      </w:tr>
      <w:tr w:rsidR="00195AE6" w14:paraId="308534C0"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D446897" w14:textId="77777777" w:rsidR="00195AE6" w:rsidRDefault="00195AE6" w:rsidP="00746E93">
            <w:pPr>
              <w:pStyle w:val="TableText"/>
              <w:rPr>
                <w:lang w:val="en-US"/>
              </w:rPr>
            </w:pPr>
            <w:r>
              <w:rPr>
                <w:lang w:val="en"/>
              </w:rPr>
              <w:t>Quarterly</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46D3C54" w14:textId="77777777" w:rsidR="00195AE6" w:rsidRDefault="00195AE6" w:rsidP="00746E93">
            <w:pPr>
              <w:pStyle w:val="TableText"/>
              <w:rPr>
                <w:lang w:val="en"/>
              </w:rPr>
            </w:pPr>
            <w:r>
              <w:rPr>
                <w:lang w:val="en"/>
              </w:rPr>
              <w:t>Average Manufacturer Price (AMP)</w:t>
            </w:r>
          </w:p>
          <w:p w14:paraId="6DB02353" w14:textId="77777777" w:rsidR="00195AE6" w:rsidRDefault="00195AE6" w:rsidP="00746E93">
            <w:pPr>
              <w:pStyle w:val="TableText"/>
              <w:rPr>
                <w:lang w:val="en"/>
              </w:rPr>
            </w:pPr>
            <w:r>
              <w:rPr>
                <w:lang w:val="en"/>
              </w:rPr>
              <w:t xml:space="preserve">Average Sales Price (ASP) </w:t>
            </w:r>
          </w:p>
          <w:p w14:paraId="19482BEE" w14:textId="77777777" w:rsidR="00195AE6" w:rsidRDefault="00195AE6" w:rsidP="00746E93">
            <w:pPr>
              <w:pStyle w:val="TableText"/>
              <w:rPr>
                <w:lang w:val="en"/>
              </w:rPr>
            </w:pPr>
            <w:r>
              <w:rPr>
                <w:lang w:val="en"/>
              </w:rPr>
              <w:t xml:space="preserve">Best Price (BP) </w:t>
            </w:r>
          </w:p>
          <w:p w14:paraId="00C9F7D9" w14:textId="77777777" w:rsidR="00195AE6" w:rsidRDefault="00195AE6" w:rsidP="00746E93">
            <w:pPr>
              <w:pStyle w:val="TableText"/>
              <w:rPr>
                <w:lang w:val="en"/>
              </w:rPr>
            </w:pPr>
            <w:r>
              <w:rPr>
                <w:lang w:val="en"/>
              </w:rPr>
              <w:t xml:space="preserve">Customary Prompt Pay Discount (CPPD) </w:t>
            </w:r>
          </w:p>
          <w:p w14:paraId="5F35DDA7" w14:textId="77777777" w:rsidR="00195AE6" w:rsidRDefault="00195AE6" w:rsidP="00746E93">
            <w:pPr>
              <w:pStyle w:val="TableText"/>
              <w:rPr>
                <w:lang w:val="en-US"/>
              </w:rPr>
            </w:pPr>
            <w:r>
              <w:rPr>
                <w:lang w:val="en"/>
              </w:rPr>
              <w:t xml:space="preserve">Unit Rebate Amount (URA) </w:t>
            </w:r>
          </w:p>
        </w:tc>
      </w:tr>
      <w:tr w:rsidR="00195AE6" w14:paraId="7626E2D3"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4569F8" w14:textId="77777777" w:rsidR="00195AE6" w:rsidRDefault="00195AE6" w:rsidP="00746E93">
            <w:pPr>
              <w:pStyle w:val="TableText"/>
              <w:rPr>
                <w:lang w:val="en-US"/>
              </w:rPr>
            </w:pPr>
            <w:r>
              <w:rPr>
                <w:lang w:val="en"/>
              </w:rPr>
              <w:t>Quarterly + 15 days</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FEF5C1" w14:textId="77777777" w:rsidR="00195AE6" w:rsidRDefault="00195AE6" w:rsidP="00746E93">
            <w:pPr>
              <w:pStyle w:val="TableText"/>
              <w:rPr>
                <w:lang w:val="en-US"/>
              </w:rPr>
            </w:pPr>
            <w:r>
              <w:rPr>
                <w:lang w:val="en"/>
              </w:rPr>
              <w:t>Non-Federal Average Manufacturer Price (NFAMP)</w:t>
            </w:r>
          </w:p>
        </w:tc>
      </w:tr>
      <w:tr w:rsidR="00195AE6" w14:paraId="71243614"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D8ABAB" w14:textId="77777777" w:rsidR="00195AE6" w:rsidRDefault="00195AE6" w:rsidP="00746E93">
            <w:pPr>
              <w:pStyle w:val="TableText"/>
              <w:rPr>
                <w:lang w:val="en-US"/>
              </w:rPr>
            </w:pPr>
            <w:r>
              <w:rPr>
                <w:lang w:val="en"/>
              </w:rPr>
              <w:t>Quarterly + 60 days</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F3E9211" w14:textId="77777777" w:rsidR="00195AE6" w:rsidRDefault="00195AE6" w:rsidP="00746E93">
            <w:pPr>
              <w:pStyle w:val="TableText"/>
              <w:rPr>
                <w:lang w:val="en"/>
              </w:rPr>
            </w:pPr>
            <w:r>
              <w:rPr>
                <w:lang w:val="en"/>
              </w:rPr>
              <w:t>Industry Funding Fee (IFF)</w:t>
            </w:r>
          </w:p>
          <w:p w14:paraId="0E7672F1" w14:textId="77777777" w:rsidR="00195AE6" w:rsidRDefault="00195AE6" w:rsidP="00746E93">
            <w:pPr>
              <w:pStyle w:val="TableText"/>
              <w:rPr>
                <w:lang w:val="en-US"/>
              </w:rPr>
            </w:pPr>
            <w:r>
              <w:rPr>
                <w:lang w:val="en"/>
              </w:rPr>
              <w:t xml:space="preserve">340B Price reports </w:t>
            </w:r>
          </w:p>
        </w:tc>
      </w:tr>
      <w:tr w:rsidR="00195AE6" w14:paraId="6990CA0F" w14:textId="77777777" w:rsidTr="00195AE6">
        <w:tc>
          <w:tcPr>
            <w:tcW w:w="350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53B95C1" w14:textId="77777777" w:rsidR="00195AE6" w:rsidRDefault="00195AE6" w:rsidP="00746E93">
            <w:pPr>
              <w:pStyle w:val="TableText"/>
              <w:rPr>
                <w:lang w:val="en-US"/>
              </w:rPr>
            </w:pPr>
            <w:r>
              <w:rPr>
                <w:lang w:val="en-US"/>
              </w:rPr>
              <w:t>Annually</w:t>
            </w:r>
          </w:p>
        </w:tc>
        <w:tc>
          <w:tcPr>
            <w:tcW w:w="612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9ECC396" w14:textId="77777777" w:rsidR="00195AE6" w:rsidRDefault="00195AE6" w:rsidP="00746E93">
            <w:pPr>
              <w:pStyle w:val="TableText"/>
              <w:rPr>
                <w:lang w:val="en"/>
              </w:rPr>
            </w:pPr>
            <w:r>
              <w:rPr>
                <w:lang w:val="en"/>
              </w:rPr>
              <w:t>Annual Non-Federal Average Manufacturer Price (ANFAMP)</w:t>
            </w:r>
          </w:p>
          <w:p w14:paraId="7B182D5A" w14:textId="77777777" w:rsidR="00195AE6" w:rsidRDefault="00195AE6" w:rsidP="00746E93">
            <w:pPr>
              <w:pStyle w:val="TableText"/>
              <w:rPr>
                <w:lang w:val="en-US"/>
              </w:rPr>
            </w:pPr>
            <w:r>
              <w:rPr>
                <w:lang w:val="en"/>
              </w:rPr>
              <w:t>Federal Ceiling Price (FCP)</w:t>
            </w:r>
          </w:p>
        </w:tc>
      </w:tr>
    </w:tbl>
    <w:p w14:paraId="72A47EBB" w14:textId="77777777" w:rsidR="00195AE6" w:rsidRDefault="00195AE6" w:rsidP="00195AE6">
      <w:pPr>
        <w:rPr>
          <w:rFonts w:asciiTheme="majorHAnsi" w:eastAsiaTheme="majorEastAsia" w:hAnsiTheme="majorHAnsi" w:cstheme="majorBidi"/>
          <w:color w:val="365F91" w:themeColor="accent1" w:themeShade="BF"/>
          <w:sz w:val="36"/>
          <w:szCs w:val="32"/>
          <w:lang w:eastAsia="en-US"/>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4A0" w:firstRow="1" w:lastRow="0" w:firstColumn="1" w:lastColumn="0" w:noHBand="0" w:noVBand="1"/>
      </w:tblPr>
      <w:tblGrid>
        <w:gridCol w:w="535"/>
        <w:gridCol w:w="3601"/>
        <w:gridCol w:w="5493"/>
      </w:tblGrid>
      <w:tr w:rsidR="00195AE6" w14:paraId="155E6F17"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9D9D9" w:themeFill="background1" w:themeFillShade="D9"/>
            <w:hideMark/>
          </w:tcPr>
          <w:p w14:paraId="2B9ED19B" w14:textId="77777777" w:rsidR="00195AE6" w:rsidRDefault="00195AE6">
            <w:pPr>
              <w:spacing w:after="0"/>
              <w:rPr>
                <w:rFonts w:asciiTheme="minorHAnsi" w:eastAsiaTheme="minorHAnsi" w:hAnsiTheme="minorHAnsi"/>
                <w:sz w:val="24"/>
              </w:rPr>
            </w:pPr>
            <w:r>
              <w:rPr>
                <w:sz w:val="18"/>
              </w:rPr>
              <w:t>Frequency</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9D9D9" w:themeFill="background1" w:themeFillShade="D9"/>
            <w:hideMark/>
          </w:tcPr>
          <w:p w14:paraId="06DC02F3" w14:textId="77777777" w:rsidR="00195AE6" w:rsidRDefault="00195AE6" w:rsidP="00746E93">
            <w:pPr>
              <w:pStyle w:val="TableHeader"/>
            </w:pPr>
            <w:r>
              <w:t>Calculation name</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9D9D9" w:themeFill="background1" w:themeFillShade="D9"/>
            <w:hideMark/>
          </w:tcPr>
          <w:p w14:paraId="4169DD5F" w14:textId="77777777" w:rsidR="00195AE6" w:rsidRDefault="00195AE6" w:rsidP="00746E93">
            <w:pPr>
              <w:pStyle w:val="TableHeader"/>
            </w:pPr>
            <w:r>
              <w:t>Description</w:t>
            </w:r>
          </w:p>
        </w:tc>
      </w:tr>
      <w:tr w:rsidR="00195AE6" w14:paraId="02EE08AB"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B8CCE4" w:themeFill="accent1" w:themeFillTint="66"/>
            <w:hideMark/>
          </w:tcPr>
          <w:p w14:paraId="62D87635" w14:textId="77777777" w:rsidR="00195AE6" w:rsidRDefault="00195AE6">
            <w:pPr>
              <w:spacing w:after="0"/>
              <w:rPr>
                <w:sz w:val="24"/>
              </w:rPr>
            </w:pPr>
            <w:r>
              <w:rPr>
                <w:sz w:val="24"/>
              </w:rPr>
              <w:t>M</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3BB994" w14:textId="77777777" w:rsidR="00195AE6" w:rsidRDefault="00195AE6" w:rsidP="00746E93">
            <w:pPr>
              <w:pStyle w:val="TableText"/>
              <w:jc w:val="both"/>
            </w:pPr>
            <w:r>
              <w:t>Average Manufacturer Price (AMP)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F4B32EF" w14:textId="77777777" w:rsidR="00195AE6" w:rsidRDefault="00195AE6" w:rsidP="00746E93">
            <w:pPr>
              <w:pStyle w:val="TableText"/>
              <w:jc w:val="both"/>
            </w:pPr>
            <w:r>
              <w:t>A calculated price point that in theory represents the average price a drug manufacturer charges eligible domestic entities for a specified drug.</w:t>
            </w:r>
          </w:p>
        </w:tc>
      </w:tr>
      <w:tr w:rsidR="00195AE6" w14:paraId="0E15BC91"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B8CCE4" w:themeFill="accent1" w:themeFillTint="66"/>
            <w:hideMark/>
          </w:tcPr>
          <w:p w14:paraId="00CF35C2" w14:textId="77777777" w:rsidR="00195AE6" w:rsidRDefault="00195AE6">
            <w:pPr>
              <w:spacing w:after="0"/>
              <w:rPr>
                <w:sz w:val="24"/>
              </w:rPr>
            </w:pPr>
            <w:r>
              <w:rPr>
                <w:sz w:val="24"/>
              </w:rPr>
              <w:t>M</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84DF858" w14:textId="77777777" w:rsidR="00195AE6" w:rsidRDefault="00195AE6" w:rsidP="00746E93">
            <w:pPr>
              <w:pStyle w:val="TableText"/>
              <w:jc w:val="both"/>
            </w:pPr>
            <w:r>
              <w:t>Drug Data Reporting (DDR) Monthly</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3D2087" w14:textId="77777777" w:rsidR="00195AE6" w:rsidRDefault="00195AE6" w:rsidP="00746E93">
            <w:pPr>
              <w:pStyle w:val="TableText"/>
              <w:jc w:val="both"/>
            </w:pPr>
            <w:r>
              <w:t>A web- based reporting application through which all product and pricing data are transmitted to CMS for purposes of the Medicaid Drug Rebate Program</w:t>
            </w:r>
          </w:p>
        </w:tc>
      </w:tr>
      <w:tr w:rsidR="00195AE6" w14:paraId="7ED6DC5E"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72EFB67A"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138622D" w14:textId="77777777" w:rsidR="00195AE6" w:rsidRDefault="00195AE6" w:rsidP="00746E93">
            <w:pPr>
              <w:pStyle w:val="TableText"/>
              <w:jc w:val="both"/>
            </w:pPr>
            <w:r>
              <w:t>Best Price (BP)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B1B3BEE" w14:textId="77777777" w:rsidR="00195AE6" w:rsidRDefault="00195AE6" w:rsidP="00746E93">
            <w:pPr>
              <w:pStyle w:val="TableText"/>
              <w:jc w:val="both"/>
            </w:pPr>
            <w:r>
              <w:t>As it pertains to the Medicaid Drug Rebate Program, BP is the lowest price paid per product code, regardless of package size, to the manufacturer during the period by any entity in the U.S. in any pricing structure except those statutorily excluded such as purchases made by the federal government. Best Price is utilized in the determination of Medicaid Rebates and Public Health Service entity pricing.</w:t>
            </w:r>
          </w:p>
        </w:tc>
      </w:tr>
      <w:tr w:rsidR="00195AE6" w14:paraId="05937CA7"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13D10A39"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581DAC9" w14:textId="77777777" w:rsidR="00195AE6" w:rsidRDefault="00195AE6" w:rsidP="00746E93">
            <w:pPr>
              <w:pStyle w:val="TableText"/>
              <w:jc w:val="both"/>
            </w:pPr>
            <w:r>
              <w:t>Prompt Pay Discount (PPD)</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1B3460E" w14:textId="77777777" w:rsidR="00195AE6" w:rsidRDefault="00195AE6" w:rsidP="00746E93">
            <w:pPr>
              <w:pStyle w:val="TableText"/>
              <w:jc w:val="both"/>
            </w:pPr>
            <w:r>
              <w:t>A discount off the purchase price of a drug routinely offered by the manufacturer to a wholesaler for prompt payment of purchased drugs within a specified timeframe and consistent with customary business practices for payment.</w:t>
            </w:r>
          </w:p>
        </w:tc>
      </w:tr>
      <w:tr w:rsidR="00195AE6" w14:paraId="5D8961EA"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0621C5FF"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8B58B5F" w14:textId="77777777" w:rsidR="00195AE6" w:rsidRDefault="00195AE6" w:rsidP="00746E93">
            <w:pPr>
              <w:pStyle w:val="TableText"/>
              <w:jc w:val="both"/>
            </w:pPr>
            <w:r>
              <w:t>Drug Data Reporting (DDR) Quarterly</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7B09D25" w14:textId="77777777" w:rsidR="00195AE6" w:rsidRDefault="00195AE6" w:rsidP="00746E93">
            <w:pPr>
              <w:pStyle w:val="TableText"/>
              <w:jc w:val="both"/>
            </w:pPr>
            <w:r>
              <w:t>A web- based reporting application through which all product and pricing data are transmitted to CMS for purposes of the Medicaid Drug Rebate Program. Same as DDR Monthly but recorded on a quarterly basis.</w:t>
            </w:r>
          </w:p>
        </w:tc>
      </w:tr>
      <w:tr w:rsidR="00195AE6" w14:paraId="303B7F99"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7A7E472A"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7D0B72" w14:textId="77777777" w:rsidR="00195AE6" w:rsidRDefault="00195AE6" w:rsidP="00746E93">
            <w:pPr>
              <w:pStyle w:val="TableText"/>
              <w:jc w:val="both"/>
            </w:pPr>
            <w:r>
              <w:t>Average Sales Price (ASP)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D2CF18D" w14:textId="77777777" w:rsidR="00195AE6" w:rsidRDefault="00195AE6" w:rsidP="00746E93">
            <w:pPr>
              <w:pStyle w:val="TableText"/>
              <w:jc w:val="both"/>
            </w:pPr>
            <w:r>
              <w:t>A measure of a pharmaceutical's price that is equal to a manufacturer's sales to all purchasers divided by units sold. The ASP calculation excludes sales that are excluded from the Medicaid "Best Price" calculation. For purposes of the Medicare Part B Program, CMS utilizes ASP to derive reimbursement for drugs administered in hospital outpatient departments under Medicare Part B</w:t>
            </w:r>
          </w:p>
        </w:tc>
      </w:tr>
      <w:tr w:rsidR="00195AE6" w14:paraId="11ADC311"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759ACE18"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EE173CA" w14:textId="77777777" w:rsidR="00195AE6" w:rsidRDefault="00195AE6" w:rsidP="00746E93">
            <w:pPr>
              <w:pStyle w:val="TableText"/>
              <w:jc w:val="both"/>
            </w:pPr>
            <w:r>
              <w:t>Unit Rebate Amount (URA)</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A23FD00" w14:textId="77777777" w:rsidR="00195AE6" w:rsidRDefault="00195AE6" w:rsidP="00746E93">
            <w:pPr>
              <w:pStyle w:val="TableText"/>
              <w:jc w:val="both"/>
            </w:pPr>
            <w:r>
              <w:t>The unit amount computed by CMS to which the utilization information may be applied by states in invoicing the labeler for the rebate payment due</w:t>
            </w:r>
          </w:p>
        </w:tc>
      </w:tr>
      <w:tr w:rsidR="00195AE6" w14:paraId="7AD76754"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52212363" w14:textId="77777777" w:rsidR="00195AE6" w:rsidRDefault="00195AE6">
            <w:pPr>
              <w:spacing w:after="0"/>
              <w:rPr>
                <w:sz w:val="24"/>
              </w:rPr>
            </w:pPr>
            <w:r>
              <w:rPr>
                <w:sz w:val="24"/>
              </w:rPr>
              <w:lastRenderedPageBreak/>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C57805A" w14:textId="77777777" w:rsidR="00195AE6" w:rsidRDefault="00195AE6" w:rsidP="00746E93">
            <w:pPr>
              <w:pStyle w:val="TableText"/>
              <w:jc w:val="both"/>
            </w:pPr>
            <w:r>
              <w:t>Public Health Services (PHS)</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3E3F269" w14:textId="77777777" w:rsidR="00195AE6" w:rsidRDefault="00195AE6" w:rsidP="00746E93">
            <w:pPr>
              <w:pStyle w:val="TableText"/>
              <w:jc w:val="both"/>
            </w:pPr>
            <w:r>
              <w:t>A division of the Department of Health and Human Services, consisting of the Office of Public Health and Science (headed by the Assistant Secretary for Health and including the Surgeon General), ten regional health administrators and eight operating divisions. PHS's mission is to protect and advance the public's health. It has grown from a small collection of marine hospitals to the largest public health program in the world. PHS is calculated 2 quarters in advance. Ex. Using data from Q2, we are calculating the PHS price for Q4</w:t>
            </w:r>
          </w:p>
        </w:tc>
      </w:tr>
      <w:tr w:rsidR="00195AE6" w14:paraId="25D3D0ED"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34A402C5"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0AFFC8" w14:textId="77777777" w:rsidR="00195AE6" w:rsidRDefault="00195AE6" w:rsidP="00746E93">
            <w:pPr>
              <w:pStyle w:val="TableText"/>
              <w:jc w:val="both"/>
            </w:pPr>
            <w:r>
              <w:t>Non-Federal Average Manufacturer Price (NFAMP)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80368AF" w14:textId="77777777" w:rsidR="00195AE6" w:rsidRDefault="00195AE6" w:rsidP="00746E93">
            <w:pPr>
              <w:pStyle w:val="TableText"/>
              <w:jc w:val="both"/>
            </w:pPr>
            <w:r>
              <w:t>The average price of a single form and dosage unit of a drug that is paid by non-federal entities for the NDC-11 in question, taking into account any cash discounts, chargebacks, rebates or similar price reductions during that period to wholesaler.</w:t>
            </w:r>
          </w:p>
        </w:tc>
      </w:tr>
      <w:tr w:rsidR="00195AE6" w14:paraId="31DC4E94"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CCC0D9" w:themeFill="accent4" w:themeFillTint="66"/>
            <w:hideMark/>
          </w:tcPr>
          <w:p w14:paraId="4A02D549" w14:textId="77777777" w:rsidR="00195AE6" w:rsidRDefault="00195AE6">
            <w:pPr>
              <w:spacing w:after="0"/>
              <w:rPr>
                <w:sz w:val="24"/>
              </w:rPr>
            </w:pPr>
            <w:r>
              <w:rPr>
                <w:sz w:val="24"/>
              </w:rPr>
              <w:t>Q</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9BD2C68" w14:textId="77777777" w:rsidR="00195AE6" w:rsidRDefault="00195AE6" w:rsidP="00746E93">
            <w:pPr>
              <w:pStyle w:val="TableText"/>
              <w:jc w:val="both"/>
            </w:pPr>
            <w:r>
              <w:t>Industry Funding Fee (IFF)</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95D7849" w14:textId="77777777" w:rsidR="00195AE6" w:rsidRDefault="00195AE6" w:rsidP="00746E93">
            <w:pPr>
              <w:pStyle w:val="TableText"/>
              <w:jc w:val="both"/>
            </w:pPr>
            <w:r>
              <w:t>A fee paid by pharmaceutical manufacturers that is a reimbursement to the General Services Administration (GSA) for costs associated with operating the FSS program. As of January 1, 2011, the IFF equals 0.5% (one-half of one percent) of the total quarterly FSS sales reported through the GSA Sales Portal. As of October 1, 2010, all sales are reported and IFF fees are paid electronically via the GSA portal. The IFF fee is embedded in the manufacturer's FSS price. The FSS price inclusive of the IFF Fee is calculated by taking the FSS price divided by 0.995</w:t>
            </w:r>
          </w:p>
        </w:tc>
      </w:tr>
      <w:tr w:rsidR="00195AE6" w14:paraId="44786643"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FBD4B4" w:themeFill="accent6" w:themeFillTint="66"/>
            <w:hideMark/>
          </w:tcPr>
          <w:p w14:paraId="6BBF573C" w14:textId="77777777" w:rsidR="00195AE6" w:rsidRDefault="00195AE6">
            <w:pPr>
              <w:spacing w:after="0"/>
              <w:rPr>
                <w:sz w:val="24"/>
              </w:rPr>
            </w:pPr>
            <w:r>
              <w:rPr>
                <w:sz w:val="24"/>
              </w:rPr>
              <w:t>Y</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6827FFA" w14:textId="77777777" w:rsidR="00195AE6" w:rsidRDefault="00195AE6" w:rsidP="00746E93">
            <w:pPr>
              <w:pStyle w:val="TableText"/>
              <w:jc w:val="both"/>
            </w:pPr>
            <w:r>
              <w:t>Annual Non-Federal Average Manufacturer Price (ANFAMP)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77451F0" w14:textId="77777777" w:rsidR="00195AE6" w:rsidRDefault="00195AE6" w:rsidP="00746E93">
            <w:pPr>
              <w:pStyle w:val="TableText"/>
              <w:jc w:val="both"/>
            </w:pPr>
            <w:r>
              <w:t>The average price of a single form and dosage unit of a drug that is paid by non-federal entities for the NDC-11 in question, taking into account any cash discounts, chargebacks, rebates or similar price reductions during that period to wholesaler. Same as NFAMP but recorded on an annual basis and only performed during third quarter</w:t>
            </w:r>
          </w:p>
        </w:tc>
      </w:tr>
      <w:tr w:rsidR="00195AE6" w14:paraId="3B378890" w14:textId="77777777" w:rsidTr="00195AE6">
        <w:tc>
          <w:tcPr>
            <w:tcW w:w="53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FBD4B4" w:themeFill="accent6" w:themeFillTint="66"/>
            <w:hideMark/>
          </w:tcPr>
          <w:p w14:paraId="59F7FEC4" w14:textId="77777777" w:rsidR="00195AE6" w:rsidRDefault="00195AE6">
            <w:pPr>
              <w:spacing w:after="0"/>
              <w:rPr>
                <w:sz w:val="24"/>
              </w:rPr>
            </w:pPr>
            <w:r>
              <w:rPr>
                <w:sz w:val="24"/>
              </w:rPr>
              <w:t>Y</w:t>
            </w:r>
          </w:p>
        </w:tc>
        <w:tc>
          <w:tcPr>
            <w:tcW w:w="360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9F58AA9" w14:textId="77777777" w:rsidR="00195AE6" w:rsidRDefault="00195AE6" w:rsidP="00746E93">
            <w:pPr>
              <w:pStyle w:val="TableText"/>
              <w:jc w:val="both"/>
            </w:pPr>
            <w:r>
              <w:t>Federal Ceiling Price (FCP)</w:t>
            </w:r>
          </w:p>
        </w:tc>
        <w:tc>
          <w:tcPr>
            <w:tcW w:w="549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BD5269E" w14:textId="07503845" w:rsidR="00195AE6" w:rsidRDefault="00195AE6" w:rsidP="00746E93">
            <w:pPr>
              <w:pStyle w:val="TableText"/>
              <w:jc w:val="both"/>
            </w:pPr>
            <w:r>
              <w:t>The maximum price manufacturers can charge for FSS-listed brand name drugs to the Big 4, even if the FSS price is higher. FCP must be at least 24 percent below the non-Federal average manufacturer price. FCP p</w:t>
            </w:r>
            <w:r w:rsidR="00FB350A">
              <w:t>rices are not publicly available</w:t>
            </w:r>
          </w:p>
        </w:tc>
      </w:tr>
      <w:bookmarkEnd w:id="0"/>
    </w:tbl>
    <w:p w14:paraId="4AE919DE" w14:textId="27DE6351" w:rsidR="00B2749F" w:rsidRPr="00285244" w:rsidRDefault="00B2749F" w:rsidP="00FB350A">
      <w:pPr>
        <w:rPr>
          <w:b/>
          <w:sz w:val="24"/>
        </w:rPr>
      </w:pPr>
    </w:p>
    <w:sectPr w:rsidR="00B2749F" w:rsidRPr="00285244" w:rsidSect="00DB0692">
      <w:headerReference w:type="default" r:id="rId29"/>
      <w:footerReference w:type="default" r:id="rId30"/>
      <w:footerReference w:type="first" r:id="rId31"/>
      <w:pgSz w:w="12240" w:h="15840"/>
      <w:pgMar w:top="850" w:right="850" w:bottom="850" w:left="1417" w:header="331" w:footer="32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836E4" w14:textId="77777777" w:rsidR="0052607A" w:rsidRDefault="0052607A" w:rsidP="00B83A87">
      <w:pPr>
        <w:spacing w:after="0"/>
      </w:pPr>
      <w:r>
        <w:separator/>
      </w:r>
    </w:p>
    <w:p w14:paraId="063EB0E8" w14:textId="77777777" w:rsidR="0052607A" w:rsidRDefault="0052607A"/>
  </w:endnote>
  <w:endnote w:type="continuationSeparator" w:id="0">
    <w:p w14:paraId="07F21B5E" w14:textId="77777777" w:rsidR="0052607A" w:rsidRDefault="0052607A" w:rsidP="00B83A87">
      <w:pPr>
        <w:spacing w:after="0"/>
      </w:pPr>
      <w:r>
        <w:continuationSeparator/>
      </w:r>
    </w:p>
    <w:p w14:paraId="6E108777" w14:textId="77777777" w:rsidR="0052607A" w:rsidRDefault="00526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Segoe UI Semibold">
    <w:panose1 w:val="020B0702040204020203"/>
    <w:charset w:val="CC"/>
    <w:family w:val="swiss"/>
    <w:pitch w:val="variable"/>
    <w:sig w:usb0="E00002FF" w:usb1="4000A47B"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Segoe UI Light">
    <w:panose1 w:val="020B0502040204020203"/>
    <w:charset w:val="CC"/>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jc w:val="right"/>
      <w:tblBorders>
        <w:top w:val="single" w:sz="8" w:space="0" w:color="D9D9D9" w:themeColor="background1" w:themeShade="D9"/>
        <w:insideH w:val="single" w:sz="8" w:space="0" w:color="auto"/>
        <w:insideV w:val="single" w:sz="8" w:space="0" w:color="D9D9D9" w:themeColor="background1" w:themeShade="D9"/>
      </w:tblBorders>
      <w:tblLook w:val="04A0" w:firstRow="1" w:lastRow="0" w:firstColumn="1" w:lastColumn="0" w:noHBand="0" w:noVBand="1"/>
    </w:tblPr>
    <w:tblGrid>
      <w:gridCol w:w="9356"/>
      <w:gridCol w:w="581"/>
    </w:tblGrid>
    <w:tr w:rsidR="002E2416" w:rsidRPr="002E2416" w14:paraId="448B7ADF" w14:textId="77777777" w:rsidTr="00884F90">
      <w:trPr>
        <w:trHeight w:val="270"/>
        <w:jc w:val="right"/>
      </w:trPr>
      <w:tc>
        <w:tcPr>
          <w:tcW w:w="9356" w:type="dxa"/>
        </w:tcPr>
        <w:p w14:paraId="28C27FCC" w14:textId="77777777" w:rsidR="00956B9A" w:rsidRPr="00FC6B5C" w:rsidRDefault="00956B9A" w:rsidP="00956B9A">
          <w:pPr>
            <w:pStyle w:val="Footer"/>
          </w:pPr>
          <w:proofErr w:type="spellStart"/>
          <w:r>
            <w:t>SoftServe</w:t>
          </w:r>
          <w:proofErr w:type="spellEnd"/>
          <w:r>
            <w:t xml:space="preserve"> Confidential</w:t>
          </w:r>
        </w:p>
      </w:tc>
      <w:tc>
        <w:tcPr>
          <w:tcW w:w="581" w:type="dxa"/>
        </w:tcPr>
        <w:p w14:paraId="48AD89C7" w14:textId="77777777" w:rsidR="001021EF" w:rsidRPr="002E2416" w:rsidRDefault="00F41B0E" w:rsidP="002E2416">
          <w:pPr>
            <w:pStyle w:val="Footer"/>
          </w:pPr>
          <w:r w:rsidRPr="002E2416">
            <w:fldChar w:fldCharType="begin"/>
          </w:r>
          <w:r w:rsidR="001021EF" w:rsidRPr="002E2416">
            <w:instrText xml:space="preserve"> PAGE   \* MERGEFORMAT </w:instrText>
          </w:r>
          <w:r w:rsidRPr="002E2416">
            <w:fldChar w:fldCharType="separate"/>
          </w:r>
          <w:r w:rsidR="007A7C33">
            <w:rPr>
              <w:noProof/>
            </w:rPr>
            <w:t>13</w:t>
          </w:r>
          <w:r w:rsidRPr="002E2416">
            <w:fldChar w:fldCharType="end"/>
          </w:r>
        </w:p>
      </w:tc>
    </w:tr>
  </w:tbl>
  <w:p w14:paraId="0508FEB7" w14:textId="77777777" w:rsidR="00524080" w:rsidRDefault="00524080" w:rsidP="00DB06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Date"/>
      <w:id w:val="1372731240"/>
      <w:dataBinding w:prefixMappings="xmlns:ns0='http://schemas.microsoft.com/office/2006/coverPageProps'" w:xpath="/ns0:CoverPageProperties[1]/ns0:PublishDate[1]" w:storeItemID="{55AF091B-3C7A-41E3-B477-F2FDAA23CFDA}"/>
      <w:date w:fullDate="2015-07-24T00:00:00Z">
        <w:dateFormat w:val="M/d/yyyy"/>
        <w:lid w:val="en-US"/>
        <w:storeMappedDataAs w:val="dateTime"/>
        <w:calendar w:val="gregorian"/>
      </w:date>
    </w:sdtPr>
    <w:sdtEndPr/>
    <w:sdtContent>
      <w:p w14:paraId="210FBBA0" w14:textId="33B1577D" w:rsidR="00035AB6" w:rsidRPr="00644449" w:rsidRDefault="00A71EAB" w:rsidP="002E2416">
        <w:pPr>
          <w:pStyle w:val="Titlepagedate"/>
        </w:pPr>
        <w:r>
          <w:t>7/24/2015</w:t>
        </w:r>
      </w:p>
    </w:sdtContent>
  </w:sdt>
  <w:p w14:paraId="739DB76C" w14:textId="77777777" w:rsidR="00120BE9" w:rsidRDefault="00120BE9" w:rsidP="002E2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8D116" w14:textId="77777777" w:rsidR="0052607A" w:rsidRDefault="0052607A" w:rsidP="00B83A87">
      <w:pPr>
        <w:spacing w:after="0"/>
      </w:pPr>
      <w:r>
        <w:separator/>
      </w:r>
    </w:p>
    <w:p w14:paraId="1B89F1A4" w14:textId="77777777" w:rsidR="0052607A" w:rsidRDefault="0052607A"/>
  </w:footnote>
  <w:footnote w:type="continuationSeparator" w:id="0">
    <w:p w14:paraId="4736708D" w14:textId="77777777" w:rsidR="0052607A" w:rsidRDefault="0052607A" w:rsidP="00B83A87">
      <w:pPr>
        <w:spacing w:after="0"/>
      </w:pPr>
      <w:r>
        <w:continuationSeparator/>
      </w:r>
    </w:p>
    <w:p w14:paraId="0E88B03C" w14:textId="77777777" w:rsidR="0052607A" w:rsidRDefault="005260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500035132"/>
      <w:dataBinding w:prefixMappings="xmlns:ns0='http://schemas.openxmlformats.org/package/2006/metadata/core-properties' xmlns:ns1='http://purl.org/dc/elements/1.1/'" w:xpath="/ns0:coreProperties[1]/ns1:title[1]" w:storeItemID="{6C3C8BC8-F283-45AE-878A-BAB7291924A1}"/>
      <w:text/>
    </w:sdtPr>
    <w:sdtEndPr/>
    <w:sdtContent>
      <w:p w14:paraId="21B7471B" w14:textId="4514CEA7" w:rsidR="00524080" w:rsidRDefault="00342B81" w:rsidP="00DB0692">
        <w:pPr>
          <w:pStyle w:val="Header"/>
        </w:pPr>
        <w:proofErr w:type="spellStart"/>
        <w:r>
          <w:rPr>
            <w:lang w:val="uk-UA"/>
          </w:rPr>
          <w:t>CalcPartner</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48BE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FE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BEAA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340820"/>
    <w:lvl w:ilvl="0">
      <w:start w:val="1"/>
      <w:numFmt w:val="lowerLetter"/>
      <w:pStyle w:val="ListNumber2"/>
      <w:lvlText w:val="%1."/>
      <w:lvlJc w:val="left"/>
      <w:pPr>
        <w:ind w:left="720" w:hanging="360"/>
      </w:pPr>
      <w:rPr>
        <w:color w:val="404040" w:themeColor="text1" w:themeTint="BF"/>
      </w:rPr>
    </w:lvl>
  </w:abstractNum>
  <w:abstractNum w:abstractNumId="4" w15:restartNumberingAfterBreak="0">
    <w:nsid w:val="FFFFFF80"/>
    <w:multiLevelType w:val="singleLevel"/>
    <w:tmpl w:val="32B472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7203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90DCE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45C609F6"/>
    <w:lvl w:ilvl="0">
      <w:start w:val="1"/>
      <w:numFmt w:val="bullet"/>
      <w:pStyle w:val="ListBullet2"/>
      <w:lvlText w:val=""/>
      <w:lvlJc w:val="left"/>
      <w:pPr>
        <w:ind w:left="720" w:hanging="360"/>
      </w:pPr>
      <w:rPr>
        <w:rFonts w:ascii="Wingdings" w:hAnsi="Wingdings" w:hint="default"/>
        <w:color w:val="404040" w:themeColor="text1" w:themeTint="BF"/>
      </w:rPr>
    </w:lvl>
  </w:abstractNum>
  <w:abstractNum w:abstractNumId="8" w15:restartNumberingAfterBreak="0">
    <w:nsid w:val="FFFFFF88"/>
    <w:multiLevelType w:val="singleLevel"/>
    <w:tmpl w:val="B75CC1B4"/>
    <w:lvl w:ilvl="0">
      <w:start w:val="1"/>
      <w:numFmt w:val="decimal"/>
      <w:pStyle w:val="ListNumber"/>
      <w:lvlText w:val="%1."/>
      <w:lvlJc w:val="left"/>
      <w:pPr>
        <w:tabs>
          <w:tab w:val="num" w:pos="360"/>
        </w:tabs>
        <w:ind w:left="360" w:hanging="360"/>
      </w:pPr>
      <w:rPr>
        <w:color w:val="404040" w:themeColor="text1" w:themeTint="BF"/>
      </w:rPr>
    </w:lvl>
  </w:abstractNum>
  <w:abstractNum w:abstractNumId="9" w15:restartNumberingAfterBreak="0">
    <w:nsid w:val="FFFFFF89"/>
    <w:multiLevelType w:val="singleLevel"/>
    <w:tmpl w:val="D7AA27EC"/>
    <w:lvl w:ilvl="0">
      <w:start w:val="1"/>
      <w:numFmt w:val="bullet"/>
      <w:lvlText w:val=""/>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01151F3D"/>
    <w:multiLevelType w:val="hybridMultilevel"/>
    <w:tmpl w:val="2ED2B59A"/>
    <w:lvl w:ilvl="0" w:tplc="4A7CDA5C">
      <w:start w:val="1"/>
      <w:numFmt w:val="lowerRoman"/>
      <w:pStyle w:val="ListNumber3"/>
      <w:lvlText w:val="%1."/>
      <w:lvlJc w:val="right"/>
      <w:pPr>
        <w:ind w:left="1080" w:hanging="360"/>
      </w:pPr>
      <w:rPr>
        <w:color w:val="404040" w:themeColor="text1" w:themeTint="BF"/>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017C2AC7"/>
    <w:multiLevelType w:val="hybridMultilevel"/>
    <w:tmpl w:val="B7360C8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2" w15:restartNumberingAfterBreak="0">
    <w:nsid w:val="05C63C78"/>
    <w:multiLevelType w:val="hybridMultilevel"/>
    <w:tmpl w:val="572240EE"/>
    <w:lvl w:ilvl="0" w:tplc="667AD4F4">
      <w:start w:val="1"/>
      <w:numFmt w:val="bullet"/>
      <w:pStyle w:val="ListBullet"/>
      <w:lvlText w:val=""/>
      <w:lvlJc w:val="left"/>
      <w:pPr>
        <w:ind w:left="360" w:hanging="360"/>
      </w:pPr>
      <w:rPr>
        <w:rFonts w:ascii="Symbol" w:hAnsi="Symbol" w:hint="default"/>
        <w:color w:val="404040" w:themeColor="text1" w:themeTint="BF"/>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15:restartNumberingAfterBreak="0">
    <w:nsid w:val="073E04FA"/>
    <w:multiLevelType w:val="hybridMultilevel"/>
    <w:tmpl w:val="442808E8"/>
    <w:lvl w:ilvl="0" w:tplc="EECEF42A">
      <w:start w:val="1"/>
      <w:numFmt w:val="lowerLetter"/>
      <w:lvlText w:val="%1"/>
      <w:lvlJc w:val="left"/>
      <w:pPr>
        <w:ind w:left="1080" w:hanging="360"/>
      </w:pPr>
      <w:rPr>
        <w:rFonts w:ascii="Segoe UI" w:hAnsi="Segoe UI" w:hint="default"/>
        <w:b w:val="0"/>
        <w:i w:val="0"/>
        <w:color w:val="404040" w:themeColor="text1" w:themeTint="BF"/>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19818A3"/>
    <w:multiLevelType w:val="hybridMultilevel"/>
    <w:tmpl w:val="DBBE9DF4"/>
    <w:lvl w:ilvl="0" w:tplc="AEA0B16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F97612"/>
    <w:multiLevelType w:val="multilevel"/>
    <w:tmpl w:val="EBBE5F12"/>
    <w:lvl w:ilvl="0">
      <w:start w:val="1"/>
      <w:numFmt w:val="none"/>
      <w:pStyle w:val="TipText"/>
      <w:lvlText w:val="Tip:"/>
      <w:lvlJc w:val="left"/>
      <w:pPr>
        <w:tabs>
          <w:tab w:val="num" w:pos="1800"/>
        </w:tabs>
        <w:ind w:left="1800" w:hanging="360"/>
      </w:pPr>
      <w:rPr>
        <w:rFonts w:ascii="Segoe UI Semibold" w:hAnsi="Segoe UI Semibold" w:hint="default"/>
        <w:b w:val="0"/>
        <w:bCs w:val="0"/>
        <w:i w:val="0"/>
        <w:iCs w:val="0"/>
        <w:caps w:val="0"/>
        <w:smallCaps w:val="0"/>
        <w:strike w:val="0"/>
        <w:dstrike w:val="0"/>
        <w:outline w:val="0"/>
        <w:shadow w:val="0"/>
        <w:emboss w:val="0"/>
        <w:imprint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5760"/>
        </w:tabs>
        <w:ind w:left="5760" w:hanging="360"/>
      </w:pPr>
      <w:rPr>
        <w:rFonts w:hint="default"/>
      </w:rPr>
    </w:lvl>
    <w:lvl w:ilvl="2">
      <w:start w:val="1"/>
      <w:numFmt w:val="lowerRoman"/>
      <w:lvlText w:val="%3)"/>
      <w:lvlJc w:val="left"/>
      <w:pPr>
        <w:tabs>
          <w:tab w:val="num" w:pos="6120"/>
        </w:tabs>
        <w:ind w:left="6120" w:hanging="360"/>
      </w:pPr>
      <w:rPr>
        <w:rFonts w:hint="default"/>
      </w:rPr>
    </w:lvl>
    <w:lvl w:ilvl="3">
      <w:start w:val="1"/>
      <w:numFmt w:val="decimal"/>
      <w:lvlText w:val="(%4)"/>
      <w:lvlJc w:val="left"/>
      <w:pPr>
        <w:tabs>
          <w:tab w:val="num" w:pos="6480"/>
        </w:tabs>
        <w:ind w:left="6480" w:hanging="360"/>
      </w:pPr>
      <w:rPr>
        <w:rFonts w:hint="default"/>
      </w:rPr>
    </w:lvl>
    <w:lvl w:ilvl="4">
      <w:start w:val="1"/>
      <w:numFmt w:val="lowerLetter"/>
      <w:lvlText w:val="(%5)"/>
      <w:lvlJc w:val="left"/>
      <w:pPr>
        <w:tabs>
          <w:tab w:val="num" w:pos="6840"/>
        </w:tabs>
        <w:ind w:left="6840" w:hanging="360"/>
      </w:pPr>
      <w:rPr>
        <w:rFonts w:hint="default"/>
      </w:rPr>
    </w:lvl>
    <w:lvl w:ilvl="5">
      <w:start w:val="1"/>
      <w:numFmt w:val="lowerRoman"/>
      <w:lvlText w:val="(%6)"/>
      <w:lvlJc w:val="left"/>
      <w:pPr>
        <w:tabs>
          <w:tab w:val="num" w:pos="7200"/>
        </w:tabs>
        <w:ind w:left="7200" w:hanging="360"/>
      </w:pPr>
      <w:rPr>
        <w:rFonts w:hint="default"/>
      </w:rPr>
    </w:lvl>
    <w:lvl w:ilvl="6">
      <w:start w:val="1"/>
      <w:numFmt w:val="decimal"/>
      <w:lvlText w:val="%7."/>
      <w:lvlJc w:val="left"/>
      <w:pPr>
        <w:tabs>
          <w:tab w:val="num" w:pos="7560"/>
        </w:tabs>
        <w:ind w:left="7560" w:hanging="360"/>
      </w:pPr>
      <w:rPr>
        <w:rFonts w:hint="default"/>
      </w:rPr>
    </w:lvl>
    <w:lvl w:ilvl="7">
      <w:start w:val="1"/>
      <w:numFmt w:val="lowerLetter"/>
      <w:lvlText w:val="%8."/>
      <w:lvlJc w:val="left"/>
      <w:pPr>
        <w:tabs>
          <w:tab w:val="num" w:pos="7920"/>
        </w:tabs>
        <w:ind w:left="7920" w:hanging="360"/>
      </w:pPr>
      <w:rPr>
        <w:rFonts w:hint="default"/>
      </w:rPr>
    </w:lvl>
    <w:lvl w:ilvl="8">
      <w:start w:val="1"/>
      <w:numFmt w:val="lowerRoman"/>
      <w:lvlText w:val="%9."/>
      <w:lvlJc w:val="left"/>
      <w:pPr>
        <w:tabs>
          <w:tab w:val="num" w:pos="8280"/>
        </w:tabs>
        <w:ind w:left="8280" w:hanging="360"/>
      </w:pPr>
      <w:rPr>
        <w:rFonts w:hint="default"/>
      </w:rPr>
    </w:lvl>
  </w:abstractNum>
  <w:abstractNum w:abstractNumId="16" w15:restartNumberingAfterBreak="0">
    <w:nsid w:val="34C0744F"/>
    <w:multiLevelType w:val="hybridMultilevel"/>
    <w:tmpl w:val="A006AA7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7" w15:restartNumberingAfterBreak="0">
    <w:nsid w:val="3944162E"/>
    <w:multiLevelType w:val="multilevel"/>
    <w:tmpl w:val="B4FE1542"/>
    <w:lvl w:ilvl="0">
      <w:start w:val="1"/>
      <w:numFmt w:val="none"/>
      <w:pStyle w:val="TipTextIndented"/>
      <w:lvlText w:val="Tip: "/>
      <w:lvlJc w:val="left"/>
      <w:pPr>
        <w:ind w:left="1224" w:hanging="504"/>
      </w:pPr>
      <w:rPr>
        <w:rFonts w:ascii="Segoe UI Semibold" w:hAnsi="Segoe UI Semibold" w:hint="default"/>
        <w:b w:val="0"/>
        <w:bCs w:val="0"/>
        <w:i w:val="0"/>
        <w:iCs w:val="0"/>
        <w:caps w:val="0"/>
        <w:smallCaps w:val="0"/>
        <w:strike w:val="0"/>
        <w:dstrike w:val="0"/>
        <w:outline w:val="0"/>
        <w:shadow w:val="0"/>
        <w:emboss w:val="0"/>
        <w:imprint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3C6D631F"/>
    <w:multiLevelType w:val="hybridMultilevel"/>
    <w:tmpl w:val="AFF6FAE2"/>
    <w:lvl w:ilvl="0" w:tplc="52E81D9C">
      <w:start w:val="1"/>
      <w:numFmt w:val="decimal"/>
      <w:lvlText w:val="%1"/>
      <w:lvlJc w:val="left"/>
      <w:pPr>
        <w:ind w:left="360" w:hanging="360"/>
      </w:pPr>
      <w:rPr>
        <w:rFonts w:ascii="Segoe UI" w:hAnsi="Segoe UI" w:hint="default"/>
        <w:b w:val="0"/>
        <w:i w:val="0"/>
        <w:color w:val="404040" w:themeColor="text1" w:themeTint="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6A27E2"/>
    <w:multiLevelType w:val="hybridMultilevel"/>
    <w:tmpl w:val="2A3811AA"/>
    <w:lvl w:ilvl="0" w:tplc="AEB03B9C">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106C7"/>
    <w:multiLevelType w:val="hybridMultilevel"/>
    <w:tmpl w:val="808E6FC0"/>
    <w:lvl w:ilvl="0" w:tplc="6AE6636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0E4793"/>
    <w:multiLevelType w:val="hybridMultilevel"/>
    <w:tmpl w:val="26C0E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02676D0"/>
    <w:multiLevelType w:val="hybridMultilevel"/>
    <w:tmpl w:val="9B14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47B3054"/>
    <w:multiLevelType w:val="multilevel"/>
    <w:tmpl w:val="0C82486E"/>
    <w:lvl w:ilvl="0">
      <w:start w:val="1"/>
      <w:numFmt w:val="none"/>
      <w:pStyle w:val="ImportantText"/>
      <w:lvlText w:val="Important:"/>
      <w:lvlJc w:val="left"/>
      <w:pPr>
        <w:tabs>
          <w:tab w:val="num" w:pos="360"/>
        </w:tabs>
        <w:ind w:left="360" w:hanging="360"/>
      </w:pPr>
      <w:rPr>
        <w:rFonts w:ascii="Segoe UI Semibold" w:hAnsi="Segoe UI Semibold" w:cs="Segoe UI" w:hint="default"/>
        <w:b w:val="0"/>
        <w:bCs w:val="0"/>
        <w:i w:val="0"/>
        <w:iCs w:val="0"/>
        <w:caps w:val="0"/>
        <w:smallCaps w:val="0"/>
        <w:strike w:val="0"/>
        <w:dstrike w:val="0"/>
        <w:outline w:val="0"/>
        <w:shadow w:val="0"/>
        <w:emboss w:val="0"/>
        <w:imprint w:val="0"/>
        <w:noProof w:val="0"/>
        <w:vanish w:val="0"/>
        <w:color w:val="404040" w:themeColor="text1" w:themeTint="BF"/>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360"/>
      </w:pPr>
      <w:rPr>
        <w:rFonts w:hint="default"/>
      </w:rPr>
    </w:lvl>
    <w:lvl w:ilvl="2">
      <w:start w:val="1"/>
      <w:numFmt w:val="lowerRoman"/>
      <w:lvlText w:val="%3)"/>
      <w:lvlJc w:val="left"/>
      <w:pPr>
        <w:tabs>
          <w:tab w:val="num" w:pos="4680"/>
        </w:tabs>
        <w:ind w:left="4680" w:hanging="360"/>
      </w:pPr>
      <w:rPr>
        <w:rFonts w:hint="default"/>
      </w:rPr>
    </w:lvl>
    <w:lvl w:ilvl="3">
      <w:start w:val="1"/>
      <w:numFmt w:val="decimal"/>
      <w:lvlText w:val="(%4)"/>
      <w:lvlJc w:val="left"/>
      <w:pPr>
        <w:tabs>
          <w:tab w:val="num" w:pos="5040"/>
        </w:tabs>
        <w:ind w:left="5040" w:hanging="360"/>
      </w:pPr>
      <w:rPr>
        <w:rFonts w:hint="default"/>
      </w:rPr>
    </w:lvl>
    <w:lvl w:ilvl="4">
      <w:start w:val="1"/>
      <w:numFmt w:val="lowerLetter"/>
      <w:lvlText w:val="(%5)"/>
      <w:lvlJc w:val="left"/>
      <w:pPr>
        <w:tabs>
          <w:tab w:val="num" w:pos="5400"/>
        </w:tabs>
        <w:ind w:left="5400" w:hanging="360"/>
      </w:pPr>
      <w:rPr>
        <w:rFonts w:hint="default"/>
      </w:rPr>
    </w:lvl>
    <w:lvl w:ilvl="5">
      <w:start w:val="1"/>
      <w:numFmt w:val="lowerRoman"/>
      <w:lvlText w:val="(%6)"/>
      <w:lvlJc w:val="left"/>
      <w:pPr>
        <w:tabs>
          <w:tab w:val="num" w:pos="5760"/>
        </w:tabs>
        <w:ind w:left="5760" w:hanging="36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left"/>
      <w:pPr>
        <w:tabs>
          <w:tab w:val="num" w:pos="6840"/>
        </w:tabs>
        <w:ind w:left="6840" w:hanging="360"/>
      </w:pPr>
      <w:rPr>
        <w:rFonts w:hint="default"/>
      </w:rPr>
    </w:lvl>
  </w:abstractNum>
  <w:abstractNum w:abstractNumId="24" w15:restartNumberingAfterBreak="0">
    <w:nsid w:val="66936FD1"/>
    <w:multiLevelType w:val="hybridMultilevel"/>
    <w:tmpl w:val="4D8079E2"/>
    <w:lvl w:ilvl="0" w:tplc="38185D9A">
      <w:start w:val="1"/>
      <w:numFmt w:val="decimal"/>
      <w:lvlText w:val="%1"/>
      <w:lvlJc w:val="left"/>
      <w:pPr>
        <w:ind w:left="720" w:hanging="360"/>
      </w:pPr>
      <w:rPr>
        <w:rFonts w:ascii="Segoe UI" w:hAnsi="Segoe UI" w:hint="default"/>
        <w:b w:val="0"/>
        <w:bCs w:val="0"/>
        <w:i w:val="0"/>
        <w:iCs w:val="0"/>
        <w:caps w:val="0"/>
        <w:strike w:val="0"/>
        <w:dstrike w:val="0"/>
        <w:vanish w:val="0"/>
        <w:color w:val="5790D5"/>
        <w:spacing w:val="0"/>
        <w:kern w:val="0"/>
        <w:position w:val="0"/>
        <w:sz w:val="4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9314A"/>
    <w:multiLevelType w:val="multilevel"/>
    <w:tmpl w:val="59C086B6"/>
    <w:lvl w:ilvl="0">
      <w:start w:val="1"/>
      <w:numFmt w:val="none"/>
      <w:pStyle w:val="NoteText"/>
      <w:lvlText w:val="Note: "/>
      <w:lvlJc w:val="left"/>
      <w:pPr>
        <w:ind w:left="720" w:hanging="720"/>
      </w:pPr>
      <w:rPr>
        <w:rFonts w:ascii="Segoe UI Semibold" w:hAnsi="Segoe UI Semibold" w:cs="Segoe UI" w:hint="default"/>
        <w:b w:val="0"/>
        <w:i w:val="0"/>
        <w:color w:val="404040" w:themeColor="text1" w:themeTint="BF"/>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DCB49BC"/>
    <w:multiLevelType w:val="multilevel"/>
    <w:tmpl w:val="C5F84BA2"/>
    <w:lvl w:ilvl="0">
      <w:start w:val="1"/>
      <w:numFmt w:val="none"/>
      <w:pStyle w:val="ImportantTex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18"/>
  </w:num>
  <w:num w:numId="9">
    <w:abstractNumId w:val="2"/>
  </w:num>
  <w:num w:numId="10">
    <w:abstractNumId w:val="1"/>
  </w:num>
  <w:num w:numId="11">
    <w:abstractNumId w:val="0"/>
  </w:num>
  <w:num w:numId="12">
    <w:abstractNumId w:val="13"/>
  </w:num>
  <w:num w:numId="13">
    <w:abstractNumId w:val="23"/>
  </w:num>
  <w:num w:numId="14">
    <w:abstractNumId w:val="26"/>
    <w:lvlOverride w:ilvl="0">
      <w:lvl w:ilvl="0">
        <w:start w:val="1"/>
        <w:numFmt w:val="none"/>
        <w:pStyle w:val="ImportantTextIndented"/>
        <w:lvlText w:val="Important: "/>
        <w:lvlJc w:val="left"/>
        <w:pPr>
          <w:ind w:left="1584" w:hanging="1224"/>
        </w:pPr>
        <w:rPr>
          <w:rFonts w:ascii="Segoe UI Semibold" w:hAnsi="Segoe UI Semibold" w:cs="Segoe UI" w:hint="default"/>
          <w:b w:val="0"/>
          <w:i w:val="0"/>
          <w:color w:val="404040" w:themeColor="text1" w:themeTint="BF"/>
          <w:sz w:val="20"/>
          <w:szCs w:val="20"/>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15"/>
  </w:num>
  <w:num w:numId="16">
    <w:abstractNumId w:val="17"/>
  </w:num>
  <w:num w:numId="17">
    <w:abstractNumId w:val="25"/>
  </w:num>
  <w:num w:numId="18">
    <w:abstractNumId w:val="20"/>
  </w:num>
  <w:num w:numId="19">
    <w:abstractNumId w:val="18"/>
    <w:lvlOverride w:ilvl="0">
      <w:startOverride w:val="1"/>
    </w:lvlOverride>
  </w:num>
  <w:num w:numId="20">
    <w:abstractNumId w:val="13"/>
    <w:lvlOverride w:ilvl="0">
      <w:startOverride w:val="1"/>
    </w:lvlOverride>
  </w:num>
  <w:num w:numId="21">
    <w:abstractNumId w:val="14"/>
  </w:num>
  <w:num w:numId="22">
    <w:abstractNumId w:val="8"/>
    <w:lvlOverride w:ilvl="0">
      <w:startOverride w:val="1"/>
    </w:lvlOverride>
  </w:num>
  <w:num w:numId="23">
    <w:abstractNumId w:val="8"/>
    <w:lvlOverride w:ilvl="0">
      <w:startOverride w:val="1"/>
    </w:lvlOverride>
  </w:num>
  <w:num w:numId="24">
    <w:abstractNumId w:val="24"/>
  </w:num>
  <w:num w:numId="25">
    <w:abstractNumId w:val="12"/>
  </w:num>
  <w:num w:numId="26">
    <w:abstractNumId w:val="8"/>
    <w:lvlOverride w:ilvl="0">
      <w:startOverride w:val="1"/>
    </w:lvlOverride>
  </w:num>
  <w:num w:numId="27">
    <w:abstractNumId w:val="10"/>
  </w:num>
  <w:num w:numId="28">
    <w:abstractNumId w:val="19"/>
  </w:num>
  <w:num w:numId="29">
    <w:abstractNumId w:val="16"/>
  </w:num>
  <w:num w:numId="30">
    <w:abstractNumId w:val="22"/>
  </w:num>
  <w:num w:numId="31">
    <w:abstractNumId w:val="1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81"/>
    <w:rsid w:val="00013E39"/>
    <w:rsid w:val="00027836"/>
    <w:rsid w:val="00035AB6"/>
    <w:rsid w:val="00035DFB"/>
    <w:rsid w:val="00041C1D"/>
    <w:rsid w:val="000623C9"/>
    <w:rsid w:val="00073582"/>
    <w:rsid w:val="000862BE"/>
    <w:rsid w:val="00096AAB"/>
    <w:rsid w:val="000A07C0"/>
    <w:rsid w:val="000C0C41"/>
    <w:rsid w:val="000D0B27"/>
    <w:rsid w:val="000D16D6"/>
    <w:rsid w:val="001021EF"/>
    <w:rsid w:val="00103D60"/>
    <w:rsid w:val="00104CDF"/>
    <w:rsid w:val="0010555D"/>
    <w:rsid w:val="00105578"/>
    <w:rsid w:val="001112B2"/>
    <w:rsid w:val="0011204D"/>
    <w:rsid w:val="00112FA3"/>
    <w:rsid w:val="00113754"/>
    <w:rsid w:val="00120BE9"/>
    <w:rsid w:val="00133CBC"/>
    <w:rsid w:val="001402CE"/>
    <w:rsid w:val="00141B73"/>
    <w:rsid w:val="00143A1F"/>
    <w:rsid w:val="00163573"/>
    <w:rsid w:val="00176090"/>
    <w:rsid w:val="00180D5D"/>
    <w:rsid w:val="00182FBA"/>
    <w:rsid w:val="00187CF6"/>
    <w:rsid w:val="00191981"/>
    <w:rsid w:val="00195AE6"/>
    <w:rsid w:val="001B1168"/>
    <w:rsid w:val="00236083"/>
    <w:rsid w:val="00253A34"/>
    <w:rsid w:val="002622B6"/>
    <w:rsid w:val="0027510E"/>
    <w:rsid w:val="00285244"/>
    <w:rsid w:val="002A0694"/>
    <w:rsid w:val="002C1450"/>
    <w:rsid w:val="002D56CE"/>
    <w:rsid w:val="002E2416"/>
    <w:rsid w:val="00303230"/>
    <w:rsid w:val="00321B72"/>
    <w:rsid w:val="003248BE"/>
    <w:rsid w:val="003330DF"/>
    <w:rsid w:val="00335105"/>
    <w:rsid w:val="00342B81"/>
    <w:rsid w:val="00374344"/>
    <w:rsid w:val="00382470"/>
    <w:rsid w:val="003A06F4"/>
    <w:rsid w:val="003B3938"/>
    <w:rsid w:val="003B4B2A"/>
    <w:rsid w:val="003B6BF3"/>
    <w:rsid w:val="003D6599"/>
    <w:rsid w:val="003F765B"/>
    <w:rsid w:val="00410CD2"/>
    <w:rsid w:val="00411594"/>
    <w:rsid w:val="004160AF"/>
    <w:rsid w:val="004220AD"/>
    <w:rsid w:val="00434494"/>
    <w:rsid w:val="0044435D"/>
    <w:rsid w:val="00454894"/>
    <w:rsid w:val="00456466"/>
    <w:rsid w:val="0049104E"/>
    <w:rsid w:val="004960EC"/>
    <w:rsid w:val="004C2FBA"/>
    <w:rsid w:val="004C57C0"/>
    <w:rsid w:val="004D6519"/>
    <w:rsid w:val="004F1F3B"/>
    <w:rsid w:val="00503451"/>
    <w:rsid w:val="0051462D"/>
    <w:rsid w:val="00524080"/>
    <w:rsid w:val="0052607A"/>
    <w:rsid w:val="0053345A"/>
    <w:rsid w:val="005413BC"/>
    <w:rsid w:val="005534AF"/>
    <w:rsid w:val="005563D5"/>
    <w:rsid w:val="0055736C"/>
    <w:rsid w:val="00565965"/>
    <w:rsid w:val="0057431C"/>
    <w:rsid w:val="00575872"/>
    <w:rsid w:val="00595D04"/>
    <w:rsid w:val="005A0F4D"/>
    <w:rsid w:val="005B0357"/>
    <w:rsid w:val="005D6922"/>
    <w:rsid w:val="00616A17"/>
    <w:rsid w:val="0063437C"/>
    <w:rsid w:val="00644449"/>
    <w:rsid w:val="00660E31"/>
    <w:rsid w:val="006735AC"/>
    <w:rsid w:val="00683C3F"/>
    <w:rsid w:val="006946FB"/>
    <w:rsid w:val="0069614A"/>
    <w:rsid w:val="0069761A"/>
    <w:rsid w:val="006A1060"/>
    <w:rsid w:val="006D23EF"/>
    <w:rsid w:val="006E03F3"/>
    <w:rsid w:val="006E5110"/>
    <w:rsid w:val="007023A2"/>
    <w:rsid w:val="0070625C"/>
    <w:rsid w:val="007237FD"/>
    <w:rsid w:val="007244AD"/>
    <w:rsid w:val="00726507"/>
    <w:rsid w:val="00744134"/>
    <w:rsid w:val="00746E93"/>
    <w:rsid w:val="00753B57"/>
    <w:rsid w:val="00760693"/>
    <w:rsid w:val="00765CC7"/>
    <w:rsid w:val="00771CEC"/>
    <w:rsid w:val="00775F04"/>
    <w:rsid w:val="007824F7"/>
    <w:rsid w:val="00782A65"/>
    <w:rsid w:val="00792481"/>
    <w:rsid w:val="0079433B"/>
    <w:rsid w:val="007A7C33"/>
    <w:rsid w:val="007B3D41"/>
    <w:rsid w:val="007C3D72"/>
    <w:rsid w:val="00807C3F"/>
    <w:rsid w:val="00807DF9"/>
    <w:rsid w:val="00813568"/>
    <w:rsid w:val="00833472"/>
    <w:rsid w:val="008346AE"/>
    <w:rsid w:val="00852852"/>
    <w:rsid w:val="0085590A"/>
    <w:rsid w:val="00884F90"/>
    <w:rsid w:val="008A3731"/>
    <w:rsid w:val="008A7066"/>
    <w:rsid w:val="008C2A51"/>
    <w:rsid w:val="008C6CC0"/>
    <w:rsid w:val="008C7FBB"/>
    <w:rsid w:val="008D6E52"/>
    <w:rsid w:val="008E2DD0"/>
    <w:rsid w:val="008F2898"/>
    <w:rsid w:val="00901CB3"/>
    <w:rsid w:val="00904DB3"/>
    <w:rsid w:val="00915E2D"/>
    <w:rsid w:val="009311A9"/>
    <w:rsid w:val="009404BA"/>
    <w:rsid w:val="00956B9A"/>
    <w:rsid w:val="00965890"/>
    <w:rsid w:val="009820D5"/>
    <w:rsid w:val="00984A1D"/>
    <w:rsid w:val="009A4458"/>
    <w:rsid w:val="009A5E0B"/>
    <w:rsid w:val="009A6A38"/>
    <w:rsid w:val="009C7F27"/>
    <w:rsid w:val="009D1BB2"/>
    <w:rsid w:val="009D7DF1"/>
    <w:rsid w:val="009E6660"/>
    <w:rsid w:val="00A01421"/>
    <w:rsid w:val="00A04021"/>
    <w:rsid w:val="00A1789D"/>
    <w:rsid w:val="00A220F1"/>
    <w:rsid w:val="00A348BD"/>
    <w:rsid w:val="00A41693"/>
    <w:rsid w:val="00A51E71"/>
    <w:rsid w:val="00A61ACE"/>
    <w:rsid w:val="00A71EAB"/>
    <w:rsid w:val="00A73570"/>
    <w:rsid w:val="00A77D39"/>
    <w:rsid w:val="00A82F49"/>
    <w:rsid w:val="00A8662B"/>
    <w:rsid w:val="00A900F9"/>
    <w:rsid w:val="00A9706A"/>
    <w:rsid w:val="00A97F42"/>
    <w:rsid w:val="00AC1D5B"/>
    <w:rsid w:val="00AC29C9"/>
    <w:rsid w:val="00AC348B"/>
    <w:rsid w:val="00AC4409"/>
    <w:rsid w:val="00AE7316"/>
    <w:rsid w:val="00B01DE7"/>
    <w:rsid w:val="00B2749F"/>
    <w:rsid w:val="00B533EA"/>
    <w:rsid w:val="00B57211"/>
    <w:rsid w:val="00B83A87"/>
    <w:rsid w:val="00B87BFC"/>
    <w:rsid w:val="00BB72B5"/>
    <w:rsid w:val="00BD0F33"/>
    <w:rsid w:val="00BF4420"/>
    <w:rsid w:val="00C417E3"/>
    <w:rsid w:val="00C61F68"/>
    <w:rsid w:val="00C67AA0"/>
    <w:rsid w:val="00C70BF7"/>
    <w:rsid w:val="00C9377E"/>
    <w:rsid w:val="00C95940"/>
    <w:rsid w:val="00CA18C3"/>
    <w:rsid w:val="00CD238C"/>
    <w:rsid w:val="00CD34FC"/>
    <w:rsid w:val="00CE17C0"/>
    <w:rsid w:val="00CE7BAB"/>
    <w:rsid w:val="00D12334"/>
    <w:rsid w:val="00D24A1E"/>
    <w:rsid w:val="00D56F41"/>
    <w:rsid w:val="00D739E9"/>
    <w:rsid w:val="00D7531A"/>
    <w:rsid w:val="00D834D6"/>
    <w:rsid w:val="00D9766E"/>
    <w:rsid w:val="00DB0692"/>
    <w:rsid w:val="00DC2A57"/>
    <w:rsid w:val="00DD0B90"/>
    <w:rsid w:val="00DD3D62"/>
    <w:rsid w:val="00DE505D"/>
    <w:rsid w:val="00E30351"/>
    <w:rsid w:val="00E40A8F"/>
    <w:rsid w:val="00E46D11"/>
    <w:rsid w:val="00E534BD"/>
    <w:rsid w:val="00E65A8B"/>
    <w:rsid w:val="00E73ABF"/>
    <w:rsid w:val="00E75471"/>
    <w:rsid w:val="00E8692A"/>
    <w:rsid w:val="00F127DA"/>
    <w:rsid w:val="00F1611F"/>
    <w:rsid w:val="00F41B0E"/>
    <w:rsid w:val="00F47B0B"/>
    <w:rsid w:val="00F60118"/>
    <w:rsid w:val="00F62C55"/>
    <w:rsid w:val="00F94E83"/>
    <w:rsid w:val="00F9570F"/>
    <w:rsid w:val="00F9659E"/>
    <w:rsid w:val="00FA58C6"/>
    <w:rsid w:val="00FB350A"/>
    <w:rsid w:val="00FC6B5C"/>
    <w:rsid w:val="00FD4EB2"/>
    <w:rsid w:val="00FE08C4"/>
    <w:rsid w:val="00FF0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9814"/>
  <w15:docId w15:val="{943CE036-C9AF-43C5-BE35-73C736D3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692"/>
    <w:pPr>
      <w:spacing w:after="120" w:line="240" w:lineRule="auto"/>
    </w:pPr>
    <w:rPr>
      <w:rFonts w:ascii="Segoe UI" w:hAnsi="Segoe UI"/>
      <w:sz w:val="20"/>
    </w:rPr>
  </w:style>
  <w:style w:type="paragraph" w:styleId="Heading1">
    <w:name w:val="heading 1"/>
    <w:basedOn w:val="Normal"/>
    <w:next w:val="Normal"/>
    <w:link w:val="Heading1Char"/>
    <w:uiPriority w:val="9"/>
    <w:qFormat/>
    <w:rsid w:val="0010555D"/>
    <w:pPr>
      <w:keepNext/>
      <w:keepLines/>
      <w:spacing w:before="480" w:after="240"/>
      <w:outlineLvl w:val="0"/>
    </w:pPr>
    <w:rPr>
      <w:rFonts w:ascii="Segoe UI Light" w:eastAsiaTheme="majorEastAsia" w:hAnsi="Segoe UI Light" w:cstheme="majorBidi"/>
      <w:bCs/>
      <w:color w:val="017EB8"/>
      <w:sz w:val="60"/>
      <w:szCs w:val="60"/>
    </w:rPr>
  </w:style>
  <w:style w:type="paragraph" w:styleId="Heading2">
    <w:name w:val="heading 2"/>
    <w:basedOn w:val="Normal"/>
    <w:next w:val="Normal"/>
    <w:link w:val="Heading2Char"/>
    <w:uiPriority w:val="9"/>
    <w:unhideWhenUsed/>
    <w:qFormat/>
    <w:rsid w:val="00915E2D"/>
    <w:pPr>
      <w:keepNext/>
      <w:keepLines/>
      <w:spacing w:before="240"/>
      <w:outlineLvl w:val="1"/>
    </w:pPr>
    <w:rPr>
      <w:rFonts w:ascii="Segoe UI Light" w:eastAsiaTheme="majorEastAsia" w:hAnsi="Segoe UI Light" w:cs="Segoe UI"/>
      <w:bCs/>
      <w:color w:val="017EB8"/>
      <w:sz w:val="48"/>
      <w:szCs w:val="26"/>
    </w:rPr>
  </w:style>
  <w:style w:type="paragraph" w:styleId="Heading3">
    <w:name w:val="heading 3"/>
    <w:basedOn w:val="Normal"/>
    <w:next w:val="Normal"/>
    <w:link w:val="Heading3Char"/>
    <w:uiPriority w:val="9"/>
    <w:unhideWhenUsed/>
    <w:qFormat/>
    <w:rsid w:val="00915E2D"/>
    <w:pPr>
      <w:keepNext/>
      <w:keepLines/>
      <w:spacing w:before="240"/>
      <w:outlineLvl w:val="2"/>
    </w:pPr>
    <w:rPr>
      <w:rFonts w:ascii="Segoe UI Light" w:eastAsiaTheme="majorEastAsia" w:hAnsi="Segoe UI Light" w:cstheme="majorBidi"/>
      <w:bCs/>
      <w:color w:val="017EB8"/>
      <w:sz w:val="40"/>
    </w:rPr>
  </w:style>
  <w:style w:type="paragraph" w:styleId="Heading4">
    <w:name w:val="heading 4"/>
    <w:basedOn w:val="Heading3"/>
    <w:next w:val="Normal"/>
    <w:link w:val="Heading4Char"/>
    <w:uiPriority w:val="9"/>
    <w:unhideWhenUsed/>
    <w:qFormat/>
    <w:rsid w:val="00FF006A"/>
    <w:pPr>
      <w:outlineLvl w:val="3"/>
    </w:pPr>
    <w:rPr>
      <w:sz w:val="32"/>
    </w:rPr>
  </w:style>
  <w:style w:type="paragraph" w:styleId="Heading5">
    <w:name w:val="heading 5"/>
    <w:basedOn w:val="Normal"/>
    <w:next w:val="Normal"/>
    <w:link w:val="Heading5Char"/>
    <w:uiPriority w:val="9"/>
    <w:unhideWhenUsed/>
    <w:qFormat/>
    <w:rsid w:val="007B3D41"/>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07DF9"/>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6735AC"/>
    <w:pPr>
      <w:keepNext/>
      <w:keepLines/>
      <w:spacing w:before="200" w:after="0"/>
      <w:outlineLvl w:val="6"/>
    </w:pPr>
    <w:rPr>
      <w:rFonts w:eastAsiaTheme="majorEastAsia" w:cstheme="majorBidi"/>
      <w:i/>
      <w:iCs/>
      <w:color w:val="5790D5"/>
    </w:rPr>
  </w:style>
  <w:style w:type="paragraph" w:styleId="Heading8">
    <w:name w:val="heading 8"/>
    <w:basedOn w:val="Normal"/>
    <w:next w:val="Normal"/>
    <w:link w:val="Heading8Char"/>
    <w:uiPriority w:val="9"/>
    <w:unhideWhenUsed/>
    <w:qFormat/>
    <w:rsid w:val="00807DF9"/>
    <w:pPr>
      <w:keepNext/>
      <w:keepLines/>
      <w:spacing w:before="200" w:after="0"/>
      <w:outlineLvl w:val="7"/>
    </w:pPr>
    <w:rPr>
      <w:rFonts w:eastAsiaTheme="majorEastAsia" w:cstheme="majorBidi"/>
      <w:color w:val="404040" w:themeColor="text1" w:themeTint="BF"/>
      <w:sz w:val="18"/>
      <w:szCs w:val="20"/>
    </w:rPr>
  </w:style>
  <w:style w:type="paragraph" w:styleId="Heading9">
    <w:name w:val="heading 9"/>
    <w:basedOn w:val="Normal"/>
    <w:next w:val="Normal"/>
    <w:link w:val="Heading9Char"/>
    <w:uiPriority w:val="9"/>
    <w:unhideWhenUsed/>
    <w:qFormat/>
    <w:rsid w:val="00807DF9"/>
    <w:pPr>
      <w:keepNext/>
      <w:keepLines/>
      <w:spacing w:before="200" w:after="0"/>
      <w:outlineLvl w:val="8"/>
    </w:pPr>
    <w:rPr>
      <w:rFonts w:eastAsiaTheme="majorEastAsia" w:cstheme="majorBidi"/>
      <w:i/>
      <w:iCs/>
      <w:color w:val="404040" w:themeColor="text1" w:themeTint="B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5D"/>
    <w:rPr>
      <w:rFonts w:ascii="Segoe UI Light" w:eastAsiaTheme="majorEastAsia" w:hAnsi="Segoe UI Light" w:cstheme="majorBidi"/>
      <w:bCs/>
      <w:color w:val="017EB8"/>
      <w:sz w:val="60"/>
      <w:szCs w:val="60"/>
    </w:rPr>
  </w:style>
  <w:style w:type="paragraph" w:styleId="NoSpacing">
    <w:name w:val="No Spacing"/>
    <w:link w:val="NoSpacingChar"/>
    <w:uiPriority w:val="1"/>
    <w:qFormat/>
    <w:rsid w:val="00792481"/>
    <w:pPr>
      <w:spacing w:after="0" w:line="240" w:lineRule="auto"/>
    </w:pPr>
  </w:style>
  <w:style w:type="character" w:customStyle="1" w:styleId="Heading2Char">
    <w:name w:val="Heading 2 Char"/>
    <w:basedOn w:val="DefaultParagraphFont"/>
    <w:link w:val="Heading2"/>
    <w:uiPriority w:val="9"/>
    <w:rsid w:val="00915E2D"/>
    <w:rPr>
      <w:rFonts w:ascii="Segoe UI Light" w:eastAsiaTheme="majorEastAsia" w:hAnsi="Segoe UI Light" w:cs="Segoe UI"/>
      <w:bCs/>
      <w:color w:val="017EB8"/>
      <w:sz w:val="48"/>
      <w:szCs w:val="26"/>
    </w:rPr>
  </w:style>
  <w:style w:type="character" w:customStyle="1" w:styleId="Heading3Char">
    <w:name w:val="Heading 3 Char"/>
    <w:basedOn w:val="DefaultParagraphFont"/>
    <w:link w:val="Heading3"/>
    <w:uiPriority w:val="9"/>
    <w:rsid w:val="00915E2D"/>
    <w:rPr>
      <w:rFonts w:ascii="Segoe UI Light" w:eastAsiaTheme="majorEastAsia" w:hAnsi="Segoe UI Light" w:cstheme="majorBidi"/>
      <w:bCs/>
      <w:color w:val="017EB8"/>
      <w:sz w:val="40"/>
    </w:rPr>
  </w:style>
  <w:style w:type="paragraph" w:styleId="BodyText">
    <w:name w:val="Body Text"/>
    <w:basedOn w:val="Normal"/>
    <w:link w:val="BodyTextChar"/>
    <w:uiPriority w:val="99"/>
    <w:unhideWhenUsed/>
    <w:rsid w:val="00792481"/>
  </w:style>
  <w:style w:type="character" w:customStyle="1" w:styleId="BodyTextChar">
    <w:name w:val="Body Text Char"/>
    <w:basedOn w:val="DefaultParagraphFont"/>
    <w:link w:val="BodyText"/>
    <w:uiPriority w:val="99"/>
    <w:rsid w:val="00792481"/>
    <w:rPr>
      <w:rFonts w:ascii="Segoe UI" w:hAnsi="Segoe UI"/>
      <w:sz w:val="20"/>
    </w:rPr>
  </w:style>
  <w:style w:type="paragraph" w:styleId="BodyText2">
    <w:name w:val="Body Text 2"/>
    <w:basedOn w:val="Normal"/>
    <w:link w:val="BodyText2Char"/>
    <w:uiPriority w:val="99"/>
    <w:unhideWhenUsed/>
    <w:rsid w:val="00792481"/>
    <w:pPr>
      <w:ind w:left="360"/>
      <w:contextualSpacing/>
    </w:pPr>
  </w:style>
  <w:style w:type="character" w:customStyle="1" w:styleId="BodyText2Char">
    <w:name w:val="Body Text 2 Char"/>
    <w:basedOn w:val="DefaultParagraphFont"/>
    <w:link w:val="BodyText2"/>
    <w:uiPriority w:val="99"/>
    <w:rsid w:val="00792481"/>
    <w:rPr>
      <w:rFonts w:ascii="Segoe UI" w:hAnsi="Segoe UI"/>
      <w:sz w:val="20"/>
    </w:rPr>
  </w:style>
  <w:style w:type="table" w:customStyle="1" w:styleId="TableTCO">
    <w:name w:val="Table_TCO"/>
    <w:basedOn w:val="TableNormal"/>
    <w:uiPriority w:val="99"/>
    <w:rsid w:val="00503451"/>
    <w:pPr>
      <w:spacing w:before="60" w:after="60" w:line="240" w:lineRule="auto"/>
    </w:pPr>
    <w:rPr>
      <w:rFonts w:ascii="Segoe UI" w:hAnsi="Segoe UI"/>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Pr>
    <w:tcPr>
      <w:shd w:val="clear" w:color="auto" w:fill="FFFFFF" w:themeFill="background1"/>
      <w:vAlign w:val="center"/>
    </w:tcPr>
    <w:tblStylePr w:type="firstRow">
      <w:pPr>
        <w:wordWrap/>
        <w:spacing w:beforeLines="0" w:before="60" w:beforeAutospacing="0" w:afterLines="0" w:after="60" w:afterAutospacing="0"/>
      </w:pPr>
      <w:rPr>
        <w:rFonts w:ascii="Segoe UI Semibold" w:hAnsi="Segoe UI Semibold"/>
        <w:color w:val="404040" w:themeColor="text1" w:themeTint="BF"/>
        <w:sz w:val="20"/>
      </w:rPr>
      <w:tblPr/>
      <w:tcPr>
        <w:shd w:val="clear" w:color="auto" w:fill="F2F2F2" w:themeFill="background1" w:themeFillShade="F2"/>
      </w:tcPr>
    </w:tblStylePr>
  </w:style>
  <w:style w:type="table" w:styleId="PlainTable2">
    <w:name w:val="Plain Table 2"/>
    <w:basedOn w:val="TableNormal"/>
    <w:uiPriority w:val="42"/>
    <w:rsid w:val="00A735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AC29C9"/>
    <w:pPr>
      <w:numPr>
        <w:numId w:val="25"/>
      </w:numPr>
      <w:contextualSpacing/>
    </w:pPr>
  </w:style>
  <w:style w:type="paragraph" w:styleId="ListBullet2">
    <w:name w:val="List Bullet 2"/>
    <w:basedOn w:val="Normal"/>
    <w:uiPriority w:val="99"/>
    <w:unhideWhenUsed/>
    <w:rsid w:val="00AC29C9"/>
    <w:pPr>
      <w:numPr>
        <w:numId w:val="2"/>
      </w:numPr>
      <w:contextualSpacing/>
    </w:pPr>
  </w:style>
  <w:style w:type="paragraph" w:styleId="BalloonText">
    <w:name w:val="Balloon Text"/>
    <w:basedOn w:val="Normal"/>
    <w:link w:val="BalloonTextChar"/>
    <w:uiPriority w:val="99"/>
    <w:semiHidden/>
    <w:unhideWhenUsed/>
    <w:rsid w:val="00F94E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E83"/>
    <w:rPr>
      <w:rFonts w:ascii="Tahoma" w:hAnsi="Tahoma" w:cs="Tahoma"/>
      <w:sz w:val="16"/>
      <w:szCs w:val="16"/>
    </w:rPr>
  </w:style>
  <w:style w:type="paragraph" w:customStyle="1" w:styleId="Images">
    <w:name w:val="Images"/>
    <w:basedOn w:val="NoSpacing"/>
    <w:next w:val="BodyText"/>
    <w:qFormat/>
    <w:rsid w:val="00901CB3"/>
    <w:pPr>
      <w:jc w:val="center"/>
    </w:pPr>
    <w:rPr>
      <w:rFonts w:ascii="Segoe UI" w:hAnsi="Segoe UI"/>
      <w:noProof/>
      <w:sz w:val="20"/>
      <w:lang w:val="uk-UA" w:eastAsia="uk-UA"/>
    </w:rPr>
  </w:style>
  <w:style w:type="table" w:styleId="TableGrid">
    <w:name w:val="Table Grid"/>
    <w:basedOn w:val="TableNormal"/>
    <w:uiPriority w:val="39"/>
    <w:rsid w:val="0002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02783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6"/>
    <w:next w:val="Normal"/>
    <w:uiPriority w:val="39"/>
    <w:unhideWhenUsed/>
    <w:qFormat/>
    <w:rsid w:val="00AC1D5B"/>
    <w:pPr>
      <w:spacing w:before="480" w:after="240"/>
    </w:pPr>
    <w:rPr>
      <w:rFonts w:ascii="Segoe UI Light" w:hAnsi="Segoe UI Light"/>
      <w:bCs/>
      <w:i w:val="0"/>
      <w:iCs w:val="0"/>
      <w:color w:val="017EB8"/>
      <w:sz w:val="60"/>
      <w:szCs w:val="60"/>
    </w:rPr>
  </w:style>
  <w:style w:type="paragraph" w:styleId="TOC1">
    <w:name w:val="toc 1"/>
    <w:basedOn w:val="Normal"/>
    <w:next w:val="Normal"/>
    <w:autoRedefine/>
    <w:uiPriority w:val="39"/>
    <w:unhideWhenUsed/>
    <w:rsid w:val="00456466"/>
    <w:pPr>
      <w:tabs>
        <w:tab w:val="right" w:leader="dot" w:pos="9963"/>
      </w:tabs>
      <w:spacing w:after="100"/>
    </w:pPr>
    <w:rPr>
      <w:rFonts w:ascii="Segoe UI Semibold" w:hAnsi="Segoe UI Semibold"/>
      <w:noProof/>
      <w:color w:val="404040" w:themeColor="text1" w:themeTint="BF"/>
    </w:rPr>
  </w:style>
  <w:style w:type="paragraph" w:styleId="TOC2">
    <w:name w:val="toc 2"/>
    <w:basedOn w:val="Normal"/>
    <w:next w:val="Normal"/>
    <w:autoRedefine/>
    <w:uiPriority w:val="39"/>
    <w:unhideWhenUsed/>
    <w:rsid w:val="00456466"/>
    <w:pPr>
      <w:tabs>
        <w:tab w:val="right" w:leader="dot" w:pos="9963"/>
      </w:tabs>
      <w:spacing w:after="100"/>
      <w:ind w:left="360"/>
    </w:pPr>
    <w:rPr>
      <w:noProof/>
    </w:rPr>
  </w:style>
  <w:style w:type="paragraph" w:styleId="TOC3">
    <w:name w:val="toc 3"/>
    <w:basedOn w:val="Normal"/>
    <w:next w:val="Normal"/>
    <w:autoRedefine/>
    <w:uiPriority w:val="39"/>
    <w:unhideWhenUsed/>
    <w:rsid w:val="007244AD"/>
    <w:pPr>
      <w:tabs>
        <w:tab w:val="right" w:leader="dot" w:pos="9963"/>
      </w:tabs>
      <w:spacing w:after="100"/>
      <w:ind w:left="720"/>
    </w:pPr>
    <w:rPr>
      <w:noProof/>
    </w:rPr>
  </w:style>
  <w:style w:type="character" w:styleId="Hyperlink">
    <w:name w:val="Hyperlink"/>
    <w:basedOn w:val="DefaultParagraphFont"/>
    <w:uiPriority w:val="99"/>
    <w:unhideWhenUsed/>
    <w:rsid w:val="00A77D39"/>
    <w:rPr>
      <w:color w:val="017EB8"/>
      <w:u w:val="single"/>
    </w:rPr>
  </w:style>
  <w:style w:type="character" w:customStyle="1" w:styleId="NoSpacingChar">
    <w:name w:val="No Spacing Char"/>
    <w:basedOn w:val="DefaultParagraphFont"/>
    <w:link w:val="NoSpacing"/>
    <w:uiPriority w:val="1"/>
    <w:rsid w:val="00176090"/>
  </w:style>
  <w:style w:type="paragraph" w:styleId="Header">
    <w:name w:val="header"/>
    <w:basedOn w:val="Titlepage1"/>
    <w:link w:val="HeaderChar"/>
    <w:uiPriority w:val="99"/>
    <w:unhideWhenUsed/>
    <w:rsid w:val="00DB0692"/>
    <w:rPr>
      <w:color w:val="000000" w:themeColor="text1"/>
      <w:sz w:val="18"/>
      <w:szCs w:val="20"/>
      <w14:textFill>
        <w14:solidFill>
          <w14:schemeClr w14:val="tx1">
            <w14:lumMod w14:val="75000"/>
            <w14:lumOff w14:val="25000"/>
            <w14:lumMod w14:val="75000"/>
            <w14:lumOff w14:val="25000"/>
          </w14:schemeClr>
        </w14:solidFill>
      </w14:textFill>
    </w:rPr>
  </w:style>
  <w:style w:type="character" w:customStyle="1" w:styleId="HeaderChar">
    <w:name w:val="Header Char"/>
    <w:basedOn w:val="DefaultParagraphFont"/>
    <w:link w:val="Header"/>
    <w:uiPriority w:val="99"/>
    <w:rsid w:val="00DB0692"/>
    <w:rPr>
      <w:rFonts w:ascii="Segoe UI Light" w:hAnsi="Segoe UI Light" w:cs="Segoe UI"/>
      <w:color w:val="000000" w:themeColor="text1"/>
      <w:sz w:val="18"/>
      <w:szCs w:val="20"/>
      <w14:textFill>
        <w14:solidFill>
          <w14:schemeClr w14:val="tx1">
            <w14:lumMod w14:val="75000"/>
            <w14:lumOff w14:val="25000"/>
            <w14:lumMod w14:val="75000"/>
            <w14:lumOff w14:val="25000"/>
          </w14:schemeClr>
        </w14:solidFill>
      </w14:textFill>
    </w:rPr>
  </w:style>
  <w:style w:type="paragraph" w:styleId="Footer">
    <w:name w:val="footer"/>
    <w:basedOn w:val="Normal"/>
    <w:link w:val="FooterChar"/>
    <w:uiPriority w:val="99"/>
    <w:unhideWhenUsed/>
    <w:rsid w:val="00DB0692"/>
    <w:pPr>
      <w:tabs>
        <w:tab w:val="center" w:pos="4986"/>
        <w:tab w:val="right" w:pos="9973"/>
      </w:tabs>
      <w:spacing w:before="40" w:after="0"/>
      <w:jc w:val="right"/>
    </w:pPr>
    <w:rPr>
      <w:rFonts w:ascii="Segoe UI Light" w:hAnsi="Segoe UI Light" w:cs="Segoe UI"/>
      <w:color w:val="404040" w:themeColor="text1" w:themeTint="BF"/>
      <w:sz w:val="18"/>
      <w:szCs w:val="18"/>
    </w:rPr>
  </w:style>
  <w:style w:type="character" w:customStyle="1" w:styleId="FooterChar">
    <w:name w:val="Footer Char"/>
    <w:basedOn w:val="DefaultParagraphFont"/>
    <w:link w:val="Footer"/>
    <w:uiPriority w:val="99"/>
    <w:rsid w:val="00DB0692"/>
    <w:rPr>
      <w:rFonts w:ascii="Segoe UI Light" w:hAnsi="Segoe UI Light" w:cs="Segoe UI"/>
      <w:color w:val="404040" w:themeColor="text1" w:themeTint="BF"/>
      <w:sz w:val="18"/>
      <w:szCs w:val="18"/>
    </w:rPr>
  </w:style>
  <w:style w:type="paragraph" w:styleId="Title">
    <w:name w:val="Title"/>
    <w:basedOn w:val="Normal"/>
    <w:next w:val="BodyText"/>
    <w:link w:val="TitleChar"/>
    <w:qFormat/>
    <w:rsid w:val="00965890"/>
    <w:pPr>
      <w:spacing w:after="240"/>
      <w:jc w:val="both"/>
    </w:pPr>
    <w:rPr>
      <w:rFonts w:ascii="Segoe UI Light" w:eastAsia="Times New Roman" w:hAnsi="Segoe UI Light" w:cs="Arial"/>
      <w:bCs/>
      <w:color w:val="017EB8"/>
      <w:sz w:val="60"/>
      <w:szCs w:val="60"/>
      <w:lang w:eastAsia="en-US"/>
    </w:rPr>
  </w:style>
  <w:style w:type="character" w:customStyle="1" w:styleId="TitleChar">
    <w:name w:val="Title Char"/>
    <w:basedOn w:val="DefaultParagraphFont"/>
    <w:link w:val="Title"/>
    <w:rsid w:val="00965890"/>
    <w:rPr>
      <w:rFonts w:ascii="Segoe UI Light" w:eastAsia="Times New Roman" w:hAnsi="Segoe UI Light" w:cs="Arial"/>
      <w:bCs/>
      <w:color w:val="017EB8"/>
      <w:sz w:val="60"/>
      <w:szCs w:val="60"/>
      <w:lang w:eastAsia="en-US"/>
    </w:rPr>
  </w:style>
  <w:style w:type="table" w:styleId="PlainTable4">
    <w:name w:val="Plain Table 4"/>
    <w:basedOn w:val="TableNormal"/>
    <w:uiPriority w:val="44"/>
    <w:rsid w:val="00A735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rsid w:val="009A5E0B"/>
    <w:pPr>
      <w:spacing w:after="0"/>
    </w:pPr>
    <w:rPr>
      <w:rFonts w:eastAsia="Times New Roman" w:cs="Times New Roman"/>
      <w:szCs w:val="24"/>
      <w:lang w:eastAsia="en-US"/>
    </w:rPr>
  </w:style>
  <w:style w:type="character" w:customStyle="1" w:styleId="Heading4Char">
    <w:name w:val="Heading 4 Char"/>
    <w:basedOn w:val="DefaultParagraphFont"/>
    <w:link w:val="Heading4"/>
    <w:uiPriority w:val="9"/>
    <w:rsid w:val="00FF006A"/>
    <w:rPr>
      <w:rFonts w:ascii="Segoe UI Light" w:eastAsiaTheme="majorEastAsia" w:hAnsi="Segoe UI Light" w:cstheme="majorBidi"/>
      <w:bCs/>
      <w:color w:val="017EB8"/>
      <w:sz w:val="32"/>
    </w:rPr>
  </w:style>
  <w:style w:type="character" w:customStyle="1" w:styleId="Heading5Char">
    <w:name w:val="Heading 5 Char"/>
    <w:basedOn w:val="DefaultParagraphFont"/>
    <w:link w:val="Heading5"/>
    <w:uiPriority w:val="9"/>
    <w:rsid w:val="007B3D41"/>
    <w:rPr>
      <w:rFonts w:ascii="Segoe UI" w:eastAsiaTheme="majorEastAsia" w:hAnsi="Segoe UI" w:cstheme="majorBidi"/>
      <w:color w:val="243F60" w:themeColor="accent1" w:themeShade="7F"/>
      <w:sz w:val="20"/>
    </w:rPr>
  </w:style>
  <w:style w:type="paragraph" w:customStyle="1" w:styleId="ImportantTextIndented">
    <w:name w:val="Important Text Indented"/>
    <w:basedOn w:val="ImportantText"/>
    <w:next w:val="BodyText2"/>
    <w:qFormat/>
    <w:rsid w:val="00E75471"/>
    <w:pPr>
      <w:numPr>
        <w:numId w:val="14"/>
      </w:numPr>
      <w:tabs>
        <w:tab w:val="left" w:pos="1627"/>
      </w:tabs>
    </w:pPr>
  </w:style>
  <w:style w:type="paragraph" w:customStyle="1" w:styleId="ImportantText">
    <w:name w:val="Important Text"/>
    <w:basedOn w:val="Normal"/>
    <w:next w:val="BodyText"/>
    <w:rsid w:val="00E75471"/>
    <w:pPr>
      <w:numPr>
        <w:numId w:val="13"/>
      </w:numPr>
      <w:tabs>
        <w:tab w:val="clear" w:pos="360"/>
        <w:tab w:val="left" w:pos="1260"/>
      </w:tabs>
      <w:spacing w:before="120"/>
      <w:ind w:left="1260" w:hanging="1260"/>
    </w:pPr>
    <w:rPr>
      <w:rFonts w:eastAsia="Times New Roman" w:cs="Arial"/>
      <w:szCs w:val="20"/>
      <w:lang w:eastAsia="en-US"/>
    </w:rPr>
  </w:style>
  <w:style w:type="paragraph" w:customStyle="1" w:styleId="TipText">
    <w:name w:val="Tip Text"/>
    <w:basedOn w:val="BodyText"/>
    <w:next w:val="BodyText"/>
    <w:rsid w:val="00D9766E"/>
    <w:pPr>
      <w:numPr>
        <w:numId w:val="15"/>
      </w:numPr>
      <w:tabs>
        <w:tab w:val="clear" w:pos="1800"/>
        <w:tab w:val="num" w:pos="540"/>
        <w:tab w:val="left" w:pos="576"/>
      </w:tabs>
      <w:spacing w:before="120"/>
      <w:ind w:left="540" w:hanging="540"/>
    </w:pPr>
    <w:rPr>
      <w:rFonts w:eastAsia="Times New Roman" w:cs="Arial"/>
      <w:szCs w:val="20"/>
      <w:lang w:eastAsia="en-US"/>
    </w:rPr>
  </w:style>
  <w:style w:type="paragraph" w:customStyle="1" w:styleId="TipTextIndented">
    <w:name w:val="Tip Text Indented"/>
    <w:basedOn w:val="TipText"/>
    <w:next w:val="BodyText2"/>
    <w:qFormat/>
    <w:rsid w:val="00D9766E"/>
    <w:pPr>
      <w:numPr>
        <w:numId w:val="16"/>
      </w:numPr>
      <w:ind w:left="864"/>
    </w:pPr>
  </w:style>
  <w:style w:type="paragraph" w:customStyle="1" w:styleId="Titlepage1">
    <w:name w:val="Title page1"/>
    <w:basedOn w:val="NoSpacing"/>
    <w:qFormat/>
    <w:rsid w:val="00321B72"/>
    <w:pPr>
      <w:jc w:val="right"/>
    </w:pPr>
    <w:rPr>
      <w:rFonts w:ascii="Segoe UI Light" w:hAnsi="Segoe UI Light" w:cs="Segoe UI"/>
      <w:color w:val="017EB8"/>
      <w:sz w:val="120"/>
      <w:szCs w:val="120"/>
    </w:rPr>
  </w:style>
  <w:style w:type="paragraph" w:customStyle="1" w:styleId="Titlepage2">
    <w:name w:val="Title page2"/>
    <w:basedOn w:val="NoSpacing"/>
    <w:qFormat/>
    <w:rsid w:val="008E2DD0"/>
    <w:pPr>
      <w:jc w:val="right"/>
    </w:pPr>
    <w:rPr>
      <w:rFonts w:ascii="Segoe UI Light" w:hAnsi="Segoe UI Light" w:cs="Segoe UI"/>
      <w:color w:val="404040" w:themeColor="text1" w:themeTint="BF"/>
      <w:sz w:val="56"/>
      <w:szCs w:val="40"/>
    </w:rPr>
  </w:style>
  <w:style w:type="paragraph" w:customStyle="1" w:styleId="Titlepage3">
    <w:name w:val="Title page3"/>
    <w:basedOn w:val="NoSpacing"/>
    <w:qFormat/>
    <w:rsid w:val="008E2DD0"/>
    <w:pPr>
      <w:jc w:val="right"/>
    </w:pPr>
    <w:rPr>
      <w:rFonts w:ascii="Segoe UI" w:hAnsi="Segoe UI" w:cs="Segoe UI"/>
      <w:color w:val="404040" w:themeColor="text1" w:themeTint="BF"/>
      <w:sz w:val="28"/>
    </w:rPr>
  </w:style>
  <w:style w:type="paragraph" w:customStyle="1" w:styleId="Titlepagedate">
    <w:name w:val="Title page date"/>
    <w:basedOn w:val="NoSpacing"/>
    <w:qFormat/>
    <w:rsid w:val="002E2416"/>
    <w:pPr>
      <w:jc w:val="center"/>
    </w:pPr>
    <w:rPr>
      <w:rFonts w:ascii="Segoe UI Light" w:hAnsi="Segoe UI Light" w:cs="Segoe UI"/>
      <w:color w:val="404040" w:themeColor="text1" w:themeTint="BF"/>
      <w:sz w:val="28"/>
    </w:rPr>
  </w:style>
  <w:style w:type="paragraph" w:customStyle="1" w:styleId="NoteText">
    <w:name w:val="Note Text"/>
    <w:basedOn w:val="Normal"/>
    <w:next w:val="BodyText"/>
    <w:qFormat/>
    <w:rsid w:val="00E75471"/>
    <w:pPr>
      <w:numPr>
        <w:numId w:val="17"/>
      </w:numPr>
      <w:spacing w:before="200" w:after="200"/>
    </w:pPr>
    <w:rPr>
      <w:rFonts w:eastAsia="Times New Roman" w:cs="Segoe UI"/>
      <w:szCs w:val="20"/>
      <w:lang w:eastAsia="en-US"/>
    </w:rPr>
  </w:style>
  <w:style w:type="paragraph" w:customStyle="1" w:styleId="NoteTextIndented">
    <w:name w:val="Note Text Indented"/>
    <w:basedOn w:val="NoteText"/>
    <w:next w:val="BodyText2"/>
    <w:qFormat/>
    <w:rsid w:val="00E75471"/>
    <w:pPr>
      <w:ind w:left="1080"/>
    </w:pPr>
  </w:style>
  <w:style w:type="paragraph" w:styleId="ListParagraph">
    <w:name w:val="List Paragraph"/>
    <w:basedOn w:val="Normal"/>
    <w:uiPriority w:val="34"/>
    <w:qFormat/>
    <w:rsid w:val="000D16D6"/>
    <w:pPr>
      <w:ind w:left="720"/>
      <w:contextualSpacing/>
    </w:pPr>
  </w:style>
  <w:style w:type="table" w:styleId="GridTable1Light">
    <w:name w:val="Grid Table 1 Light"/>
    <w:basedOn w:val="TableNormal"/>
    <w:uiPriority w:val="46"/>
    <w:rsid w:val="00A735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Bullet3">
    <w:name w:val="List Bullet 3"/>
    <w:basedOn w:val="Normal"/>
    <w:uiPriority w:val="99"/>
    <w:unhideWhenUsed/>
    <w:rsid w:val="00FA58C6"/>
    <w:pPr>
      <w:numPr>
        <w:numId w:val="3"/>
      </w:numPr>
      <w:contextualSpacing/>
    </w:pPr>
  </w:style>
  <w:style w:type="character" w:customStyle="1" w:styleId="Heading6Char">
    <w:name w:val="Heading 6 Char"/>
    <w:basedOn w:val="DefaultParagraphFont"/>
    <w:link w:val="Heading6"/>
    <w:uiPriority w:val="9"/>
    <w:rsid w:val="00807DF9"/>
    <w:rPr>
      <w:rFonts w:ascii="Segoe UI" w:eastAsiaTheme="majorEastAsia" w:hAnsi="Segoe UI" w:cstheme="majorBidi"/>
      <w:i/>
      <w:iCs/>
      <w:color w:val="243F60" w:themeColor="accent1" w:themeShade="7F"/>
      <w:sz w:val="20"/>
    </w:rPr>
  </w:style>
  <w:style w:type="character" w:customStyle="1" w:styleId="Heading7Char">
    <w:name w:val="Heading 7 Char"/>
    <w:basedOn w:val="DefaultParagraphFont"/>
    <w:link w:val="Heading7"/>
    <w:uiPriority w:val="9"/>
    <w:rsid w:val="006735AC"/>
    <w:rPr>
      <w:rFonts w:ascii="Segoe UI" w:eastAsiaTheme="majorEastAsia" w:hAnsi="Segoe UI" w:cstheme="majorBidi"/>
      <w:i/>
      <w:iCs/>
      <w:color w:val="5790D5"/>
      <w:sz w:val="20"/>
    </w:rPr>
  </w:style>
  <w:style w:type="character" w:customStyle="1" w:styleId="Heading8Char">
    <w:name w:val="Heading 8 Char"/>
    <w:basedOn w:val="DefaultParagraphFont"/>
    <w:link w:val="Heading8"/>
    <w:uiPriority w:val="9"/>
    <w:rsid w:val="00807DF9"/>
    <w:rPr>
      <w:rFonts w:ascii="Segoe UI" w:eastAsiaTheme="majorEastAsia" w:hAnsi="Segoe UI" w:cstheme="majorBidi"/>
      <w:color w:val="404040" w:themeColor="text1" w:themeTint="BF"/>
      <w:sz w:val="18"/>
      <w:szCs w:val="20"/>
    </w:rPr>
  </w:style>
  <w:style w:type="character" w:customStyle="1" w:styleId="Heading9Char">
    <w:name w:val="Heading 9 Char"/>
    <w:basedOn w:val="DefaultParagraphFont"/>
    <w:link w:val="Heading9"/>
    <w:uiPriority w:val="9"/>
    <w:rsid w:val="00807DF9"/>
    <w:rPr>
      <w:rFonts w:ascii="Segoe UI" w:eastAsiaTheme="majorEastAsia" w:hAnsi="Segoe UI" w:cstheme="majorBidi"/>
      <w:i/>
      <w:iCs/>
      <w:color w:val="404040" w:themeColor="text1" w:themeTint="BF"/>
      <w:sz w:val="18"/>
      <w:szCs w:val="20"/>
    </w:rPr>
  </w:style>
  <w:style w:type="paragraph" w:styleId="NormalWeb">
    <w:name w:val="Normal (Web)"/>
    <w:basedOn w:val="Normal"/>
    <w:uiPriority w:val="99"/>
    <w:semiHidden/>
    <w:unhideWhenUsed/>
    <w:rsid w:val="00D834D6"/>
    <w:pPr>
      <w:spacing w:before="100" w:beforeAutospacing="1" w:after="100" w:afterAutospacing="1"/>
    </w:pPr>
    <w:rPr>
      <w:rFonts w:ascii="Times New Roman" w:eastAsia="Times New Roman" w:hAnsi="Times New Roman" w:cs="Times New Roman"/>
      <w:sz w:val="24"/>
      <w:szCs w:val="24"/>
      <w:lang w:val="uk-UA" w:eastAsia="uk-UA"/>
    </w:rPr>
  </w:style>
  <w:style w:type="paragraph" w:styleId="ListNumber">
    <w:name w:val="List Number"/>
    <w:basedOn w:val="Normal"/>
    <w:uiPriority w:val="99"/>
    <w:unhideWhenUsed/>
    <w:rsid w:val="00D834D6"/>
    <w:pPr>
      <w:numPr>
        <w:numId w:val="6"/>
      </w:numPr>
      <w:contextualSpacing/>
    </w:pPr>
  </w:style>
  <w:style w:type="paragraph" w:styleId="ListNumber2">
    <w:name w:val="List Number 2"/>
    <w:basedOn w:val="Normal"/>
    <w:uiPriority w:val="99"/>
    <w:unhideWhenUsed/>
    <w:rsid w:val="00BF4420"/>
    <w:pPr>
      <w:numPr>
        <w:numId w:val="7"/>
      </w:numPr>
      <w:contextualSpacing/>
    </w:pPr>
  </w:style>
  <w:style w:type="paragraph" w:styleId="ListNumber3">
    <w:name w:val="List Number 3"/>
    <w:basedOn w:val="Normal"/>
    <w:uiPriority w:val="99"/>
    <w:unhideWhenUsed/>
    <w:rsid w:val="00BF4420"/>
    <w:pPr>
      <w:numPr>
        <w:numId w:val="27"/>
      </w:numPr>
      <w:contextualSpacing/>
    </w:pPr>
  </w:style>
  <w:style w:type="paragraph" w:customStyle="1" w:styleId="TableHeader">
    <w:name w:val="Table Header"/>
    <w:basedOn w:val="TableText"/>
    <w:qFormat/>
    <w:rsid w:val="00A73570"/>
    <w:pPr>
      <w:spacing w:before="60" w:after="60"/>
    </w:pPr>
    <w:rPr>
      <w:rFonts w:ascii="Segoe UI Semibold" w:hAnsi="Segoe UI Semibold"/>
    </w:rPr>
  </w:style>
  <w:style w:type="character" w:styleId="CommentReference">
    <w:name w:val="annotation reference"/>
    <w:basedOn w:val="DefaultParagraphFont"/>
    <w:uiPriority w:val="99"/>
    <w:semiHidden/>
    <w:unhideWhenUsed/>
    <w:rsid w:val="00187CF6"/>
    <w:rPr>
      <w:sz w:val="16"/>
      <w:szCs w:val="16"/>
    </w:rPr>
  </w:style>
  <w:style w:type="paragraph" w:styleId="CommentText">
    <w:name w:val="annotation text"/>
    <w:basedOn w:val="Normal"/>
    <w:link w:val="CommentTextChar"/>
    <w:uiPriority w:val="99"/>
    <w:semiHidden/>
    <w:unhideWhenUsed/>
    <w:rsid w:val="00187CF6"/>
    <w:rPr>
      <w:szCs w:val="20"/>
    </w:rPr>
  </w:style>
  <w:style w:type="character" w:customStyle="1" w:styleId="CommentTextChar">
    <w:name w:val="Comment Text Char"/>
    <w:basedOn w:val="DefaultParagraphFont"/>
    <w:link w:val="CommentText"/>
    <w:uiPriority w:val="99"/>
    <w:semiHidden/>
    <w:rsid w:val="00187CF6"/>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87CF6"/>
    <w:rPr>
      <w:b/>
      <w:bCs/>
    </w:rPr>
  </w:style>
  <w:style w:type="character" w:customStyle="1" w:styleId="CommentSubjectChar">
    <w:name w:val="Comment Subject Char"/>
    <w:basedOn w:val="CommentTextChar"/>
    <w:link w:val="CommentSubject"/>
    <w:uiPriority w:val="99"/>
    <w:semiHidden/>
    <w:rsid w:val="00187CF6"/>
    <w:rPr>
      <w:rFonts w:ascii="Segoe UI" w:hAnsi="Segoe UI"/>
      <w:b/>
      <w:bCs/>
      <w:sz w:val="20"/>
      <w:szCs w:val="20"/>
    </w:rPr>
  </w:style>
  <w:style w:type="paragraph" w:styleId="Caption">
    <w:name w:val="caption"/>
    <w:basedOn w:val="Normal"/>
    <w:next w:val="Normal"/>
    <w:uiPriority w:val="35"/>
    <w:unhideWhenUsed/>
    <w:qFormat/>
    <w:rsid w:val="00901CB3"/>
    <w:pPr>
      <w:spacing w:after="200"/>
      <w:jc w:val="center"/>
    </w:pPr>
    <w:rPr>
      <w:iCs/>
      <w:color w:val="404040" w:themeColor="text1" w:themeTint="BF"/>
      <w:sz w:val="18"/>
      <w:szCs w:val="18"/>
    </w:rPr>
  </w:style>
  <w:style w:type="table" w:styleId="TableGridLight">
    <w:name w:val="Grid Table Light"/>
    <w:basedOn w:val="TableNormal"/>
    <w:uiPriority w:val="40"/>
    <w:rsid w:val="00195AE6"/>
    <w:pPr>
      <w:spacing w:after="0" w:line="240" w:lineRule="auto"/>
    </w:pPr>
    <w:rPr>
      <w:rFonts w:eastAsiaTheme="minorHAnsi"/>
      <w:lang w:val="uk-UA" w:eastAsia="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195AE6"/>
    <w:pPr>
      <w:spacing w:after="0" w:line="240" w:lineRule="auto"/>
    </w:pPr>
    <w:rPr>
      <w:rFonts w:eastAsiaTheme="minorHAnsi"/>
      <w:lang w:val="uk-UA" w:eastAsia="en-US"/>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54100">
      <w:bodyDiv w:val="1"/>
      <w:marLeft w:val="0"/>
      <w:marRight w:val="0"/>
      <w:marTop w:val="0"/>
      <w:marBottom w:val="0"/>
      <w:divBdr>
        <w:top w:val="none" w:sz="0" w:space="0" w:color="auto"/>
        <w:left w:val="none" w:sz="0" w:space="0" w:color="auto"/>
        <w:bottom w:val="none" w:sz="0" w:space="0" w:color="auto"/>
        <w:right w:val="none" w:sz="0" w:space="0" w:color="auto"/>
      </w:divBdr>
    </w:div>
    <w:div w:id="1587425077">
      <w:bodyDiv w:val="1"/>
      <w:marLeft w:val="0"/>
      <w:marRight w:val="0"/>
      <w:marTop w:val="0"/>
      <w:marBottom w:val="0"/>
      <w:divBdr>
        <w:top w:val="none" w:sz="0" w:space="0" w:color="auto"/>
        <w:left w:val="none" w:sz="0" w:space="0" w:color="auto"/>
        <w:bottom w:val="none" w:sz="0" w:space="0" w:color="auto"/>
        <w:right w:val="none" w:sz="0" w:space="0" w:color="auto"/>
      </w:divBdr>
      <w:divsChild>
        <w:div w:id="642390223">
          <w:marLeft w:val="0"/>
          <w:marRight w:val="0"/>
          <w:marTop w:val="0"/>
          <w:marBottom w:val="0"/>
          <w:divBdr>
            <w:top w:val="none" w:sz="0" w:space="0" w:color="auto"/>
            <w:left w:val="none" w:sz="0" w:space="0" w:color="auto"/>
            <w:bottom w:val="none" w:sz="0" w:space="0" w:color="auto"/>
            <w:right w:val="none" w:sz="0" w:space="0" w:color="auto"/>
          </w:divBdr>
          <w:divsChild>
            <w:div w:id="1440951611">
              <w:marLeft w:val="0"/>
              <w:marRight w:val="0"/>
              <w:marTop w:val="0"/>
              <w:marBottom w:val="0"/>
              <w:divBdr>
                <w:top w:val="none" w:sz="0" w:space="0" w:color="auto"/>
                <w:left w:val="none" w:sz="0" w:space="0" w:color="auto"/>
                <w:bottom w:val="none" w:sz="0" w:space="0" w:color="auto"/>
                <w:right w:val="none" w:sz="0" w:space="0" w:color="auto"/>
              </w:divBdr>
            </w:div>
            <w:div w:id="1477801266">
              <w:marLeft w:val="0"/>
              <w:marRight w:val="0"/>
              <w:marTop w:val="0"/>
              <w:marBottom w:val="0"/>
              <w:divBdr>
                <w:top w:val="none" w:sz="0" w:space="0" w:color="auto"/>
                <w:left w:val="none" w:sz="0" w:space="0" w:color="auto"/>
                <w:bottom w:val="none" w:sz="0" w:space="0" w:color="auto"/>
                <w:right w:val="none" w:sz="0" w:space="0" w:color="auto"/>
              </w:divBdr>
            </w:div>
            <w:div w:id="555822542">
              <w:marLeft w:val="0"/>
              <w:marRight w:val="0"/>
              <w:marTop w:val="0"/>
              <w:marBottom w:val="0"/>
              <w:divBdr>
                <w:top w:val="none" w:sz="0" w:space="0" w:color="auto"/>
                <w:left w:val="none" w:sz="0" w:space="0" w:color="auto"/>
                <w:bottom w:val="none" w:sz="0" w:space="0" w:color="auto"/>
                <w:right w:val="none" w:sz="0" w:space="0" w:color="auto"/>
              </w:divBdr>
            </w:div>
            <w:div w:id="983240043">
              <w:marLeft w:val="0"/>
              <w:marRight w:val="0"/>
              <w:marTop w:val="0"/>
              <w:marBottom w:val="0"/>
              <w:divBdr>
                <w:top w:val="none" w:sz="0" w:space="0" w:color="auto"/>
                <w:left w:val="none" w:sz="0" w:space="0" w:color="auto"/>
                <w:bottom w:val="none" w:sz="0" w:space="0" w:color="auto"/>
                <w:right w:val="none" w:sz="0" w:space="0" w:color="auto"/>
              </w:divBdr>
            </w:div>
            <w:div w:id="1438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EB519-9527-4837-AA3B-CA15AC7E4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13454</Words>
  <Characters>7669</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CalcPartner</vt:lpstr>
    </vt:vector>
  </TitlesOfParts>
  <Company>CIS - Deloitte</Company>
  <LinksUpToDate>false</LinksUpToDate>
  <CharactersWithSpaces>21081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CalcPartner</dc:title>
  <dc:subject>Functional Overview v1.0</dc:subject>
  <dc:creator>ostrelch</dc:creator>
  <cp:lastModifiedBy>Nadiia Koval</cp:lastModifiedBy>
  <cp:revision>5</cp:revision>
  <dcterms:created xsi:type="dcterms:W3CDTF">2015-07-24T11:47:00Z</dcterms:created>
  <dcterms:modified xsi:type="dcterms:W3CDTF">2015-07-24T12:51:00Z</dcterms:modified>
</cp:coreProperties>
</file>