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AA586" w14:textId="270C4F38" w:rsidR="002D041E" w:rsidRPr="00BD2C08" w:rsidRDefault="002D041E" w:rsidP="004918F9">
      <w:pPr>
        <w:spacing w:after="60" w:line="240" w:lineRule="auto"/>
        <w:rPr>
          <w:rFonts w:ascii="Times New Roman" w:hAnsi="Times New Roman" w:cs="Times New Roman"/>
          <w:sz w:val="22"/>
          <w:szCs w:val="22"/>
        </w:rPr>
      </w:pPr>
      <w:r w:rsidRPr="00BD2C08">
        <w:rPr>
          <w:rFonts w:ascii="Times New Roman" w:hAnsi="Times New Roman" w:cs="Times New Roman"/>
          <w:sz w:val="22"/>
          <w:szCs w:val="22"/>
        </w:rPr>
        <w:t>Jarred Randall</w:t>
      </w:r>
    </w:p>
    <w:p w14:paraId="1B79E20E" w14:textId="5815067C" w:rsidR="002D041E" w:rsidRPr="00BD2C08" w:rsidRDefault="002D041E" w:rsidP="004918F9">
      <w:pPr>
        <w:spacing w:after="60" w:line="240" w:lineRule="auto"/>
        <w:rPr>
          <w:rFonts w:ascii="Times New Roman" w:hAnsi="Times New Roman" w:cs="Times New Roman"/>
          <w:sz w:val="22"/>
          <w:szCs w:val="22"/>
        </w:rPr>
      </w:pPr>
      <w:r w:rsidRPr="00BD2C08">
        <w:rPr>
          <w:rFonts w:ascii="Times New Roman" w:hAnsi="Times New Roman" w:cs="Times New Roman"/>
          <w:sz w:val="22"/>
          <w:szCs w:val="22"/>
        </w:rPr>
        <w:t>C</w:t>
      </w:r>
      <w:r w:rsidR="000C6E76" w:rsidRPr="00BD2C08">
        <w:rPr>
          <w:rFonts w:ascii="Times New Roman" w:hAnsi="Times New Roman" w:cs="Times New Roman"/>
          <w:sz w:val="22"/>
          <w:szCs w:val="22"/>
        </w:rPr>
        <w:t>PLN 6440</w:t>
      </w:r>
    </w:p>
    <w:p w14:paraId="6D4B604A" w14:textId="6F5CA0BD" w:rsidR="002D041E" w:rsidRPr="00BD2C08" w:rsidRDefault="002D041E" w:rsidP="004918F9">
      <w:pPr>
        <w:spacing w:after="60" w:line="240" w:lineRule="auto"/>
        <w:rPr>
          <w:rFonts w:ascii="Times New Roman" w:hAnsi="Times New Roman" w:cs="Times New Roman"/>
          <w:sz w:val="22"/>
          <w:szCs w:val="22"/>
        </w:rPr>
      </w:pPr>
      <w:r w:rsidRPr="00BD2C08">
        <w:rPr>
          <w:rFonts w:ascii="Times New Roman" w:hAnsi="Times New Roman" w:cs="Times New Roman"/>
          <w:sz w:val="22"/>
          <w:szCs w:val="22"/>
        </w:rPr>
        <w:t>0</w:t>
      </w:r>
      <w:r w:rsidR="0088228A" w:rsidRPr="00BD2C08">
        <w:rPr>
          <w:rFonts w:ascii="Times New Roman" w:hAnsi="Times New Roman" w:cs="Times New Roman"/>
          <w:sz w:val="22"/>
          <w:szCs w:val="22"/>
        </w:rPr>
        <w:t>4</w:t>
      </w:r>
      <w:r w:rsidRPr="00BD2C08">
        <w:rPr>
          <w:rFonts w:ascii="Times New Roman" w:hAnsi="Times New Roman" w:cs="Times New Roman"/>
          <w:sz w:val="22"/>
          <w:szCs w:val="22"/>
        </w:rPr>
        <w:t>/1</w:t>
      </w:r>
      <w:r w:rsidR="0088228A" w:rsidRPr="00BD2C08">
        <w:rPr>
          <w:rFonts w:ascii="Times New Roman" w:hAnsi="Times New Roman" w:cs="Times New Roman"/>
          <w:sz w:val="22"/>
          <w:szCs w:val="22"/>
        </w:rPr>
        <w:t>4</w:t>
      </w:r>
      <w:r w:rsidRPr="00BD2C08">
        <w:rPr>
          <w:rFonts w:ascii="Times New Roman" w:hAnsi="Times New Roman" w:cs="Times New Roman"/>
          <w:sz w:val="22"/>
          <w:szCs w:val="22"/>
        </w:rPr>
        <w:t>/2024</w:t>
      </w:r>
    </w:p>
    <w:p w14:paraId="4F57911D" w14:textId="77777777" w:rsidR="004918F9" w:rsidRPr="00BD2C08" w:rsidRDefault="004918F9" w:rsidP="002D041E">
      <w:pPr>
        <w:jc w:val="center"/>
        <w:rPr>
          <w:rFonts w:ascii="Times New Roman" w:hAnsi="Times New Roman" w:cs="Times New Roman"/>
          <w:b/>
          <w:bCs/>
          <w:sz w:val="22"/>
          <w:szCs w:val="22"/>
        </w:rPr>
      </w:pPr>
    </w:p>
    <w:p w14:paraId="312B7107" w14:textId="3F33D554" w:rsidR="001E0BED" w:rsidRPr="00BD2C08" w:rsidRDefault="00B34BDE" w:rsidP="00417F36">
      <w:pPr>
        <w:jc w:val="center"/>
        <w:rPr>
          <w:rFonts w:ascii="Times New Roman" w:hAnsi="Times New Roman" w:cs="Times New Roman"/>
          <w:b/>
          <w:bCs/>
          <w:sz w:val="22"/>
          <w:szCs w:val="22"/>
        </w:rPr>
      </w:pPr>
      <w:r w:rsidRPr="00BD2C08">
        <w:rPr>
          <w:rFonts w:ascii="Times New Roman" w:hAnsi="Times New Roman" w:cs="Times New Roman"/>
          <w:b/>
          <w:bCs/>
          <w:sz w:val="22"/>
          <w:szCs w:val="22"/>
        </w:rPr>
        <w:t>City of Miami Affordable Housing Master Plan Budget Analysis</w:t>
      </w:r>
    </w:p>
    <w:p w14:paraId="40221333" w14:textId="28C98D9E" w:rsidR="006A7A20" w:rsidRPr="00BD2C08" w:rsidRDefault="001E0BED" w:rsidP="001E0BED">
      <w:pPr>
        <w:rPr>
          <w:rFonts w:ascii="Times New Roman" w:hAnsi="Times New Roman" w:cs="Times New Roman"/>
          <w:sz w:val="22"/>
          <w:szCs w:val="22"/>
        </w:rPr>
      </w:pPr>
      <w:r w:rsidRPr="00BD2C08">
        <w:rPr>
          <w:rFonts w:ascii="Times New Roman" w:hAnsi="Times New Roman" w:cs="Times New Roman"/>
          <w:sz w:val="22"/>
          <w:szCs w:val="22"/>
        </w:rPr>
        <w:t xml:space="preserve">Miami's housing landscape </w:t>
      </w:r>
      <w:r w:rsidR="00BD7C80" w:rsidRPr="00BD2C08">
        <w:rPr>
          <w:rFonts w:ascii="Times New Roman" w:hAnsi="Times New Roman" w:cs="Times New Roman"/>
          <w:sz w:val="22"/>
          <w:szCs w:val="22"/>
        </w:rPr>
        <w:t xml:space="preserve">is </w:t>
      </w:r>
      <w:r w:rsidRPr="00BD2C08">
        <w:rPr>
          <w:rFonts w:ascii="Times New Roman" w:hAnsi="Times New Roman" w:cs="Times New Roman"/>
          <w:sz w:val="22"/>
          <w:szCs w:val="22"/>
        </w:rPr>
        <w:t xml:space="preserve">characterized by a sharp decline in affordable housing and a rapid gentrification of its </w:t>
      </w:r>
      <w:r w:rsidR="00BD7C80" w:rsidRPr="00BD2C08">
        <w:rPr>
          <w:rFonts w:ascii="Times New Roman" w:hAnsi="Times New Roman" w:cs="Times New Roman"/>
          <w:sz w:val="22"/>
          <w:szCs w:val="22"/>
        </w:rPr>
        <w:t>historic</w:t>
      </w:r>
      <w:r w:rsidRPr="00BD2C08">
        <w:rPr>
          <w:rFonts w:ascii="Times New Roman" w:hAnsi="Times New Roman" w:cs="Times New Roman"/>
          <w:sz w:val="22"/>
          <w:szCs w:val="22"/>
        </w:rPr>
        <w:t xml:space="preserve"> neighborhoods. This </w:t>
      </w:r>
      <w:r w:rsidR="00CB5979" w:rsidRPr="00BD2C08">
        <w:rPr>
          <w:rFonts w:ascii="Times New Roman" w:hAnsi="Times New Roman" w:cs="Times New Roman"/>
          <w:sz w:val="22"/>
          <w:szCs w:val="22"/>
        </w:rPr>
        <w:t xml:space="preserve">affordable housing </w:t>
      </w:r>
      <w:r w:rsidRPr="00BD2C08">
        <w:rPr>
          <w:rFonts w:ascii="Times New Roman" w:hAnsi="Times New Roman" w:cs="Times New Roman"/>
          <w:sz w:val="22"/>
          <w:szCs w:val="22"/>
        </w:rPr>
        <w:t>crisis</w:t>
      </w:r>
      <w:r w:rsidR="002A2CBB" w:rsidRPr="00BD2C08">
        <w:rPr>
          <w:rFonts w:ascii="Times New Roman" w:hAnsi="Times New Roman" w:cs="Times New Roman"/>
          <w:sz w:val="22"/>
          <w:szCs w:val="22"/>
        </w:rPr>
        <w:t xml:space="preserve"> </w:t>
      </w:r>
      <w:r w:rsidR="00EC5CBD" w:rsidRPr="00BD2C08">
        <w:rPr>
          <w:rFonts w:ascii="Times New Roman" w:hAnsi="Times New Roman" w:cs="Times New Roman"/>
          <w:sz w:val="22"/>
          <w:szCs w:val="22"/>
        </w:rPr>
        <w:t>threatens both</w:t>
      </w:r>
      <w:r w:rsidR="00AC0240" w:rsidRPr="00BD2C08">
        <w:rPr>
          <w:rFonts w:ascii="Times New Roman" w:hAnsi="Times New Roman" w:cs="Times New Roman"/>
          <w:sz w:val="22"/>
          <w:szCs w:val="22"/>
        </w:rPr>
        <w:t xml:space="preserve"> the economic viability of </w:t>
      </w:r>
      <w:r w:rsidR="00FC1730" w:rsidRPr="00BD2C08">
        <w:rPr>
          <w:rFonts w:ascii="Times New Roman" w:hAnsi="Times New Roman" w:cs="Times New Roman"/>
          <w:sz w:val="22"/>
          <w:szCs w:val="22"/>
        </w:rPr>
        <w:t xml:space="preserve">the </w:t>
      </w:r>
      <w:r w:rsidR="00EC5CBD" w:rsidRPr="00BD2C08">
        <w:rPr>
          <w:rFonts w:ascii="Times New Roman" w:hAnsi="Times New Roman" w:cs="Times New Roman"/>
          <w:sz w:val="22"/>
          <w:szCs w:val="22"/>
        </w:rPr>
        <w:t>city’s</w:t>
      </w:r>
      <w:r w:rsidR="00AC0240" w:rsidRPr="00BD2C08">
        <w:rPr>
          <w:rFonts w:ascii="Times New Roman" w:hAnsi="Times New Roman" w:cs="Times New Roman"/>
          <w:sz w:val="22"/>
          <w:szCs w:val="22"/>
        </w:rPr>
        <w:t xml:space="preserve"> residents as well as </w:t>
      </w:r>
      <w:r w:rsidRPr="00BD2C08">
        <w:rPr>
          <w:rFonts w:ascii="Times New Roman" w:hAnsi="Times New Roman" w:cs="Times New Roman"/>
          <w:sz w:val="22"/>
          <w:szCs w:val="22"/>
        </w:rPr>
        <w:t>the preservation of</w:t>
      </w:r>
      <w:r w:rsidR="003743A7" w:rsidRPr="00BD2C08">
        <w:rPr>
          <w:rFonts w:ascii="Times New Roman" w:hAnsi="Times New Roman" w:cs="Times New Roman"/>
          <w:sz w:val="22"/>
          <w:szCs w:val="22"/>
        </w:rPr>
        <w:t xml:space="preserve"> the city’s</w:t>
      </w:r>
      <w:r w:rsidRPr="00BD2C08">
        <w:rPr>
          <w:rFonts w:ascii="Times New Roman" w:hAnsi="Times New Roman" w:cs="Times New Roman"/>
          <w:sz w:val="22"/>
          <w:szCs w:val="22"/>
        </w:rPr>
        <w:t xml:space="preserve"> cultural and social fabric.</w:t>
      </w:r>
      <w:r w:rsidR="00734E74" w:rsidRPr="00BD2C08">
        <w:rPr>
          <w:rStyle w:val="FootnoteReference"/>
          <w:rFonts w:ascii="Times New Roman" w:hAnsi="Times New Roman" w:cs="Times New Roman"/>
          <w:sz w:val="22"/>
          <w:szCs w:val="22"/>
        </w:rPr>
        <w:footnoteReference w:id="1"/>
      </w:r>
      <w:r w:rsidR="00284348">
        <w:rPr>
          <w:rFonts w:ascii="Times New Roman" w:hAnsi="Times New Roman" w:cs="Times New Roman"/>
          <w:sz w:val="22"/>
          <w:szCs w:val="22"/>
        </w:rPr>
        <w:t xml:space="preserve"> </w:t>
      </w:r>
      <w:r w:rsidR="00FC1730" w:rsidRPr="00BD2C08">
        <w:rPr>
          <w:rFonts w:ascii="Times New Roman" w:hAnsi="Times New Roman" w:cs="Times New Roman"/>
          <w:sz w:val="22"/>
          <w:szCs w:val="22"/>
        </w:rPr>
        <w:t>Miami’s affordability crisis has been defined by the staggering number of households burdened by housing costs.</w:t>
      </w:r>
      <w:r w:rsidR="002E0CE7" w:rsidRPr="00BD2C08">
        <w:rPr>
          <w:rFonts w:ascii="Times New Roman" w:hAnsi="Times New Roman" w:cs="Times New Roman"/>
          <w:sz w:val="22"/>
          <w:szCs w:val="22"/>
        </w:rPr>
        <w:t xml:space="preserve"> </w:t>
      </w:r>
      <w:r w:rsidR="00FC1730" w:rsidRPr="00BD2C08">
        <w:rPr>
          <w:rFonts w:ascii="Times New Roman" w:hAnsi="Times New Roman" w:cs="Times New Roman"/>
          <w:sz w:val="22"/>
          <w:szCs w:val="22"/>
        </w:rPr>
        <w:t xml:space="preserve"> 57% of households </w:t>
      </w:r>
      <w:r w:rsidR="00B2006B" w:rsidRPr="00BD2C08">
        <w:rPr>
          <w:rFonts w:ascii="Times New Roman" w:hAnsi="Times New Roman" w:cs="Times New Roman"/>
          <w:sz w:val="22"/>
          <w:szCs w:val="22"/>
        </w:rPr>
        <w:t>spend</w:t>
      </w:r>
      <w:r w:rsidR="00FC1730" w:rsidRPr="00BD2C08">
        <w:rPr>
          <w:rFonts w:ascii="Times New Roman" w:hAnsi="Times New Roman" w:cs="Times New Roman"/>
          <w:sz w:val="22"/>
          <w:szCs w:val="22"/>
        </w:rPr>
        <w:t xml:space="preserve"> more than 30% of their income </w:t>
      </w:r>
      <w:r w:rsidR="00B2006B" w:rsidRPr="00BD2C08">
        <w:rPr>
          <w:rFonts w:ascii="Times New Roman" w:hAnsi="Times New Roman" w:cs="Times New Roman"/>
          <w:sz w:val="22"/>
          <w:szCs w:val="22"/>
        </w:rPr>
        <w:t>on</w:t>
      </w:r>
      <w:r w:rsidR="00FC1730" w:rsidRPr="00BD2C08">
        <w:rPr>
          <w:rFonts w:ascii="Times New Roman" w:hAnsi="Times New Roman" w:cs="Times New Roman"/>
          <w:sz w:val="22"/>
          <w:szCs w:val="22"/>
        </w:rPr>
        <w:t xml:space="preserve"> housing and 32.3% of </w:t>
      </w:r>
      <w:r w:rsidR="004708F1" w:rsidRPr="00BD2C08">
        <w:rPr>
          <w:rFonts w:ascii="Times New Roman" w:hAnsi="Times New Roman" w:cs="Times New Roman"/>
          <w:sz w:val="22"/>
          <w:szCs w:val="22"/>
        </w:rPr>
        <w:t>rent</w:t>
      </w:r>
      <w:r w:rsidR="00130869" w:rsidRPr="00BD2C08">
        <w:rPr>
          <w:rFonts w:ascii="Times New Roman" w:hAnsi="Times New Roman" w:cs="Times New Roman"/>
          <w:sz w:val="22"/>
          <w:szCs w:val="22"/>
        </w:rPr>
        <w:t>al</w:t>
      </w:r>
      <w:r w:rsidR="00FC1730" w:rsidRPr="00BD2C08">
        <w:rPr>
          <w:rFonts w:ascii="Times New Roman" w:hAnsi="Times New Roman" w:cs="Times New Roman"/>
          <w:sz w:val="22"/>
          <w:szCs w:val="22"/>
        </w:rPr>
        <w:t xml:space="preserve"> households </w:t>
      </w:r>
      <w:r w:rsidR="00353203" w:rsidRPr="00BD2C08">
        <w:rPr>
          <w:rFonts w:ascii="Times New Roman" w:hAnsi="Times New Roman" w:cs="Times New Roman"/>
          <w:sz w:val="22"/>
          <w:szCs w:val="22"/>
        </w:rPr>
        <w:t>spend</w:t>
      </w:r>
      <w:r w:rsidR="00FC1730" w:rsidRPr="00BD2C08">
        <w:rPr>
          <w:rFonts w:ascii="Times New Roman" w:hAnsi="Times New Roman" w:cs="Times New Roman"/>
          <w:sz w:val="22"/>
          <w:szCs w:val="22"/>
        </w:rPr>
        <w:t xml:space="preserve"> over 50% of their income on rent</w:t>
      </w:r>
      <w:r w:rsidR="00D10C72" w:rsidRPr="00BD2C08">
        <w:rPr>
          <w:rFonts w:ascii="Times New Roman" w:hAnsi="Times New Roman" w:cs="Times New Roman"/>
          <w:sz w:val="22"/>
          <w:szCs w:val="22"/>
        </w:rPr>
        <w:t>.</w:t>
      </w:r>
      <w:r w:rsidR="00D10C72" w:rsidRPr="00BD2C08">
        <w:rPr>
          <w:rStyle w:val="FootnoteReference"/>
          <w:rFonts w:ascii="Times New Roman" w:hAnsi="Times New Roman" w:cs="Times New Roman"/>
          <w:sz w:val="22"/>
          <w:szCs w:val="22"/>
        </w:rPr>
        <w:footnoteReference w:id="2"/>
      </w:r>
      <w:r w:rsidR="007A7D55" w:rsidRPr="00BD2C08">
        <w:rPr>
          <w:rFonts w:ascii="Times New Roman" w:hAnsi="Times New Roman" w:cs="Times New Roman"/>
          <w:sz w:val="22"/>
          <w:szCs w:val="22"/>
        </w:rPr>
        <w:t xml:space="preserve"> </w:t>
      </w:r>
      <w:r w:rsidR="005E6906" w:rsidRPr="00BD2C08">
        <w:rPr>
          <w:rFonts w:ascii="Times New Roman" w:hAnsi="Times New Roman" w:cs="Times New Roman"/>
          <w:sz w:val="22"/>
          <w:szCs w:val="22"/>
        </w:rPr>
        <w:t xml:space="preserve">Although Miami is not the most expensive housing market in the country it </w:t>
      </w:r>
      <w:r w:rsidR="005E6906" w:rsidRPr="00BD2C08">
        <w:rPr>
          <w:rFonts w:ascii="Times New Roman" w:hAnsi="Times New Roman" w:cs="Times New Roman"/>
          <w:sz w:val="22"/>
          <w:szCs w:val="22"/>
        </w:rPr>
        <w:t>is the least</w:t>
      </w:r>
      <w:r w:rsidR="005E6906" w:rsidRPr="00BD2C08">
        <w:rPr>
          <w:rFonts w:ascii="Times New Roman" w:hAnsi="Times New Roman" w:cs="Times New Roman"/>
          <w:sz w:val="22"/>
          <w:szCs w:val="22"/>
        </w:rPr>
        <w:t xml:space="preserve"> </w:t>
      </w:r>
      <w:r w:rsidR="004A624B" w:rsidRPr="00BD2C08">
        <w:rPr>
          <w:rFonts w:ascii="Times New Roman" w:hAnsi="Times New Roman" w:cs="Times New Roman"/>
          <w:sz w:val="22"/>
          <w:szCs w:val="22"/>
        </w:rPr>
        <w:t>afforda</w:t>
      </w:r>
      <w:r w:rsidR="00E442AA" w:rsidRPr="00BD2C08">
        <w:rPr>
          <w:rFonts w:ascii="Times New Roman" w:hAnsi="Times New Roman" w:cs="Times New Roman"/>
          <w:sz w:val="22"/>
          <w:szCs w:val="22"/>
        </w:rPr>
        <w:t>ble</w:t>
      </w:r>
      <w:r w:rsidR="00D10C72" w:rsidRPr="00BD2C08">
        <w:rPr>
          <w:rFonts w:ascii="Times New Roman" w:hAnsi="Times New Roman" w:cs="Times New Roman"/>
          <w:sz w:val="22"/>
          <w:szCs w:val="22"/>
        </w:rPr>
        <w:t>.</w:t>
      </w:r>
      <w:r w:rsidR="007A7D55" w:rsidRPr="00BD2C08">
        <w:rPr>
          <w:rStyle w:val="FootnoteReference"/>
          <w:rFonts w:ascii="Times New Roman" w:hAnsi="Times New Roman" w:cs="Times New Roman"/>
          <w:sz w:val="22"/>
          <w:szCs w:val="22"/>
        </w:rPr>
        <w:footnoteReference w:id="3"/>
      </w:r>
      <w:r w:rsidR="00D10C72" w:rsidRPr="00BD2C08">
        <w:rPr>
          <w:rFonts w:ascii="Times New Roman" w:hAnsi="Times New Roman" w:cs="Times New Roman"/>
          <w:sz w:val="22"/>
          <w:szCs w:val="22"/>
        </w:rPr>
        <w:t xml:space="preserve"> </w:t>
      </w:r>
      <w:r w:rsidR="0017351D" w:rsidRPr="00BD2C08">
        <w:rPr>
          <w:rFonts w:ascii="Times New Roman" w:hAnsi="Times New Roman" w:cs="Times New Roman"/>
          <w:sz w:val="22"/>
          <w:szCs w:val="22"/>
        </w:rPr>
        <w:t xml:space="preserve">This is the result </w:t>
      </w:r>
      <w:r w:rsidR="00353203" w:rsidRPr="00BD2C08">
        <w:rPr>
          <w:rFonts w:ascii="Times New Roman" w:hAnsi="Times New Roman" w:cs="Times New Roman"/>
          <w:sz w:val="22"/>
          <w:szCs w:val="22"/>
        </w:rPr>
        <w:t>of</w:t>
      </w:r>
      <w:r w:rsidR="0017351D" w:rsidRPr="00BD2C08">
        <w:rPr>
          <w:rFonts w:ascii="Times New Roman" w:hAnsi="Times New Roman" w:cs="Times New Roman"/>
          <w:sz w:val="22"/>
          <w:szCs w:val="22"/>
        </w:rPr>
        <w:t xml:space="preserve"> </w:t>
      </w:r>
      <w:r w:rsidR="00353203" w:rsidRPr="00BD2C08">
        <w:rPr>
          <w:rFonts w:ascii="Times New Roman" w:hAnsi="Times New Roman" w:cs="Times New Roman"/>
          <w:sz w:val="22"/>
          <w:szCs w:val="22"/>
        </w:rPr>
        <w:t>skyrocketing</w:t>
      </w:r>
      <w:r w:rsidR="0017351D" w:rsidRPr="00BD2C08">
        <w:rPr>
          <w:rFonts w:ascii="Times New Roman" w:hAnsi="Times New Roman" w:cs="Times New Roman"/>
          <w:sz w:val="22"/>
          <w:szCs w:val="22"/>
        </w:rPr>
        <w:t xml:space="preserve"> housing </w:t>
      </w:r>
      <w:r w:rsidR="00353203" w:rsidRPr="00BD2C08">
        <w:rPr>
          <w:rFonts w:ascii="Times New Roman" w:hAnsi="Times New Roman" w:cs="Times New Roman"/>
          <w:sz w:val="22"/>
          <w:szCs w:val="22"/>
        </w:rPr>
        <w:t>prices</w:t>
      </w:r>
      <w:r w:rsidR="0017351D" w:rsidRPr="00BD2C08">
        <w:rPr>
          <w:rFonts w:ascii="Times New Roman" w:hAnsi="Times New Roman" w:cs="Times New Roman"/>
          <w:sz w:val="22"/>
          <w:szCs w:val="22"/>
        </w:rPr>
        <w:t xml:space="preserve"> and </w:t>
      </w:r>
      <w:r w:rsidR="006A7A20" w:rsidRPr="00BD2C08">
        <w:rPr>
          <w:rFonts w:ascii="Times New Roman" w:hAnsi="Times New Roman" w:cs="Times New Roman"/>
          <w:sz w:val="22"/>
          <w:szCs w:val="22"/>
        </w:rPr>
        <w:t xml:space="preserve">a </w:t>
      </w:r>
      <w:r w:rsidR="00353203" w:rsidRPr="00BD2C08">
        <w:rPr>
          <w:rFonts w:ascii="Times New Roman" w:hAnsi="Times New Roman" w:cs="Times New Roman"/>
          <w:sz w:val="22"/>
          <w:szCs w:val="22"/>
        </w:rPr>
        <w:t>low</w:t>
      </w:r>
      <w:r w:rsidR="006A7A20" w:rsidRPr="00BD2C08">
        <w:rPr>
          <w:rFonts w:ascii="Times New Roman" w:hAnsi="Times New Roman" w:cs="Times New Roman"/>
          <w:sz w:val="22"/>
          <w:szCs w:val="22"/>
        </w:rPr>
        <w:t xml:space="preserve"> </w:t>
      </w:r>
      <w:r w:rsidR="00353203" w:rsidRPr="00BD2C08">
        <w:rPr>
          <w:rFonts w:ascii="Times New Roman" w:hAnsi="Times New Roman" w:cs="Times New Roman"/>
          <w:sz w:val="22"/>
          <w:szCs w:val="22"/>
        </w:rPr>
        <w:t>median income</w:t>
      </w:r>
      <w:r w:rsidR="006A7A20" w:rsidRPr="00BD2C08">
        <w:rPr>
          <w:rFonts w:ascii="Times New Roman" w:hAnsi="Times New Roman" w:cs="Times New Roman"/>
          <w:sz w:val="22"/>
          <w:szCs w:val="22"/>
        </w:rPr>
        <w:t xml:space="preserve"> of $33,999</w:t>
      </w:r>
      <w:r w:rsidR="003A1DDC" w:rsidRPr="00BD2C08">
        <w:rPr>
          <w:rFonts w:ascii="Times New Roman" w:hAnsi="Times New Roman" w:cs="Times New Roman"/>
          <w:sz w:val="22"/>
          <w:szCs w:val="22"/>
        </w:rPr>
        <w:t>, which is only 59 percent of</w:t>
      </w:r>
      <w:r w:rsidR="00353203" w:rsidRPr="00BD2C08">
        <w:rPr>
          <w:rFonts w:ascii="Times New Roman" w:hAnsi="Times New Roman" w:cs="Times New Roman"/>
          <w:sz w:val="22"/>
          <w:szCs w:val="22"/>
        </w:rPr>
        <w:t xml:space="preserve"> the </w:t>
      </w:r>
      <w:r w:rsidR="00E956CD" w:rsidRPr="00BD2C08">
        <w:rPr>
          <w:rFonts w:ascii="Times New Roman" w:hAnsi="Times New Roman" w:cs="Times New Roman"/>
          <w:sz w:val="22"/>
          <w:szCs w:val="22"/>
        </w:rPr>
        <w:t xml:space="preserve">national </w:t>
      </w:r>
      <w:r w:rsidR="00353203" w:rsidRPr="00BD2C08">
        <w:rPr>
          <w:rFonts w:ascii="Times New Roman" w:hAnsi="Times New Roman" w:cs="Times New Roman"/>
          <w:sz w:val="22"/>
          <w:szCs w:val="22"/>
        </w:rPr>
        <w:t>median household income.</w:t>
      </w:r>
      <w:r w:rsidR="00D85804" w:rsidRPr="00BD2C08">
        <w:rPr>
          <w:rStyle w:val="FootnoteReference"/>
          <w:rFonts w:ascii="Times New Roman" w:hAnsi="Times New Roman" w:cs="Times New Roman"/>
          <w:sz w:val="22"/>
          <w:szCs w:val="22"/>
        </w:rPr>
        <w:footnoteReference w:id="4"/>
      </w:r>
      <w:r w:rsidR="004708F1" w:rsidRPr="00BD2C08">
        <w:rPr>
          <w:rFonts w:ascii="Times New Roman" w:hAnsi="Times New Roman" w:cs="Times New Roman"/>
          <w:sz w:val="22"/>
          <w:szCs w:val="22"/>
        </w:rPr>
        <w:t xml:space="preserve"> In response to these issues</w:t>
      </w:r>
      <w:r w:rsidR="00E97F02" w:rsidRPr="00BD2C08">
        <w:rPr>
          <w:rFonts w:ascii="Times New Roman" w:hAnsi="Times New Roman" w:cs="Times New Roman"/>
          <w:sz w:val="22"/>
          <w:szCs w:val="22"/>
        </w:rPr>
        <w:t>,</w:t>
      </w:r>
      <w:r w:rsidR="004708F1" w:rsidRPr="00BD2C08">
        <w:rPr>
          <w:rFonts w:ascii="Times New Roman" w:hAnsi="Times New Roman" w:cs="Times New Roman"/>
          <w:sz w:val="22"/>
          <w:szCs w:val="22"/>
        </w:rPr>
        <w:t xml:space="preserve"> the city of Miami has developed the Miami Affordable Housing Master Plan. This master plan </w:t>
      </w:r>
      <w:r w:rsidR="004708F1" w:rsidRPr="00BD2C08">
        <w:rPr>
          <w:rFonts w:ascii="Times New Roman" w:hAnsi="Times New Roman" w:cs="Times New Roman"/>
          <w:sz w:val="22"/>
          <w:szCs w:val="22"/>
        </w:rPr>
        <w:t xml:space="preserve">supports a spectrum of housing choices and opportunities, </w:t>
      </w:r>
      <w:r w:rsidR="000766ED" w:rsidRPr="00BD2C08">
        <w:rPr>
          <w:rFonts w:ascii="Times New Roman" w:hAnsi="Times New Roman" w:cs="Times New Roman"/>
          <w:sz w:val="22"/>
          <w:szCs w:val="22"/>
        </w:rPr>
        <w:t>that aim to</w:t>
      </w:r>
      <w:r w:rsidR="004708F1" w:rsidRPr="00BD2C08">
        <w:rPr>
          <w:rFonts w:ascii="Times New Roman" w:hAnsi="Times New Roman" w:cs="Times New Roman"/>
          <w:sz w:val="22"/>
          <w:szCs w:val="22"/>
        </w:rPr>
        <w:t xml:space="preserve"> substantially increase the quantity and quality of affordable </w:t>
      </w:r>
      <w:r w:rsidR="004708F1" w:rsidRPr="00BD2C08">
        <w:rPr>
          <w:rFonts w:ascii="Times New Roman" w:hAnsi="Times New Roman" w:cs="Times New Roman"/>
          <w:sz w:val="22"/>
          <w:szCs w:val="22"/>
        </w:rPr>
        <w:t>housing.</w:t>
      </w:r>
      <w:r w:rsidR="0012462D" w:rsidRPr="00BD2C08">
        <w:rPr>
          <w:rFonts w:ascii="Times New Roman" w:hAnsi="Times New Roman" w:cs="Times New Roman"/>
          <w:sz w:val="22"/>
          <w:szCs w:val="22"/>
        </w:rPr>
        <w:t xml:space="preserve"> </w:t>
      </w:r>
      <w:r w:rsidR="0012462D" w:rsidRPr="00BD2C08">
        <w:rPr>
          <w:rFonts w:ascii="Times New Roman" w:hAnsi="Times New Roman" w:cs="Times New Roman"/>
          <w:sz w:val="22"/>
          <w:szCs w:val="22"/>
        </w:rPr>
        <w:t xml:space="preserve">This paper sets out to assess Miami's budget proposal and the associated initiatives outlined in the Affordable Housing Master Plan. </w:t>
      </w:r>
    </w:p>
    <w:p w14:paraId="5A55E12A" w14:textId="54AD83C9" w:rsidR="00E6750A" w:rsidRPr="00BD2C08" w:rsidRDefault="00EC44A8" w:rsidP="001E0BED">
      <w:pPr>
        <w:rPr>
          <w:rFonts w:ascii="Times New Roman" w:hAnsi="Times New Roman" w:cs="Times New Roman"/>
          <w:sz w:val="22"/>
          <w:szCs w:val="22"/>
        </w:rPr>
      </w:pPr>
      <w:r w:rsidRPr="00BD2C08">
        <w:rPr>
          <w:rFonts w:ascii="Times New Roman" w:hAnsi="Times New Roman" w:cs="Times New Roman"/>
          <w:sz w:val="22"/>
          <w:szCs w:val="22"/>
        </w:rPr>
        <w:t xml:space="preserve">The Miami Affordable Housing Master Plan outlines a comprehensive approach to </w:t>
      </w:r>
      <w:r w:rsidR="00701CA4" w:rsidRPr="00BD2C08">
        <w:rPr>
          <w:rFonts w:ascii="Times New Roman" w:hAnsi="Times New Roman" w:cs="Times New Roman"/>
          <w:sz w:val="22"/>
          <w:szCs w:val="22"/>
        </w:rPr>
        <w:t>tackling</w:t>
      </w:r>
      <w:r w:rsidRPr="00BD2C08">
        <w:rPr>
          <w:rFonts w:ascii="Times New Roman" w:hAnsi="Times New Roman" w:cs="Times New Roman"/>
          <w:sz w:val="22"/>
          <w:szCs w:val="22"/>
        </w:rPr>
        <w:t xml:space="preserve"> the city’s critical affordable housing crisis through a variety of strategic initiatives and financial mechanisms.</w:t>
      </w:r>
      <w:r w:rsidR="003205D0" w:rsidRPr="00BD2C08">
        <w:rPr>
          <w:rFonts w:ascii="Times New Roman" w:hAnsi="Times New Roman" w:cs="Times New Roman"/>
          <w:sz w:val="22"/>
          <w:szCs w:val="22"/>
        </w:rPr>
        <w:t xml:space="preserve"> These Mechanisms include</w:t>
      </w:r>
      <w:r w:rsidR="00093B31" w:rsidRPr="00BD2C08">
        <w:rPr>
          <w:rFonts w:ascii="Times New Roman" w:hAnsi="Times New Roman" w:cs="Times New Roman"/>
          <w:sz w:val="22"/>
          <w:szCs w:val="22"/>
        </w:rPr>
        <w:t xml:space="preserve">: </w:t>
      </w:r>
      <w:r w:rsidR="00F05FBB" w:rsidRPr="00BD2C08">
        <w:rPr>
          <w:rFonts w:ascii="Times New Roman" w:hAnsi="Times New Roman" w:cs="Times New Roman"/>
          <w:b/>
          <w:bCs/>
          <w:i/>
          <w:iCs/>
          <w:sz w:val="22"/>
          <w:szCs w:val="22"/>
        </w:rPr>
        <w:t>(1)</w:t>
      </w:r>
      <w:r w:rsidR="00F05FBB" w:rsidRPr="00BD2C08">
        <w:rPr>
          <w:rFonts w:ascii="Times New Roman" w:hAnsi="Times New Roman" w:cs="Times New Roman"/>
          <w:sz w:val="22"/>
          <w:szCs w:val="22"/>
        </w:rPr>
        <w:t xml:space="preserve"> </w:t>
      </w:r>
      <w:r w:rsidR="00336D0E" w:rsidRPr="00BD2C08">
        <w:rPr>
          <w:rFonts w:ascii="Times New Roman" w:hAnsi="Times New Roman" w:cs="Times New Roman"/>
          <w:b/>
          <w:bCs/>
          <w:i/>
          <w:iCs/>
          <w:sz w:val="22"/>
          <w:szCs w:val="22"/>
        </w:rPr>
        <w:t>F</w:t>
      </w:r>
      <w:r w:rsidR="00F05FBB" w:rsidRPr="00BD2C08">
        <w:rPr>
          <w:rFonts w:ascii="Times New Roman" w:hAnsi="Times New Roman" w:cs="Times New Roman"/>
          <w:b/>
          <w:bCs/>
          <w:i/>
          <w:iCs/>
          <w:sz w:val="22"/>
          <w:szCs w:val="22"/>
        </w:rPr>
        <w:t>ocusing on affordable housing development</w:t>
      </w:r>
      <w:r w:rsidR="00715AFE" w:rsidRPr="00BD2C08">
        <w:rPr>
          <w:rFonts w:ascii="Times New Roman" w:hAnsi="Times New Roman" w:cs="Times New Roman"/>
          <w:sz w:val="22"/>
          <w:szCs w:val="22"/>
        </w:rPr>
        <w:t xml:space="preserve"> (</w:t>
      </w:r>
      <w:r w:rsidR="00906B83" w:rsidRPr="00BD2C08">
        <w:rPr>
          <w:rFonts w:ascii="Times New Roman" w:hAnsi="Times New Roman" w:cs="Times New Roman"/>
          <w:sz w:val="22"/>
          <w:szCs w:val="22"/>
        </w:rPr>
        <w:t xml:space="preserve">improving, </w:t>
      </w:r>
      <w:r w:rsidR="005320D4" w:rsidRPr="00BD2C08">
        <w:rPr>
          <w:rFonts w:ascii="Times New Roman" w:hAnsi="Times New Roman" w:cs="Times New Roman"/>
          <w:sz w:val="22"/>
          <w:szCs w:val="22"/>
        </w:rPr>
        <w:t>protecting</w:t>
      </w:r>
      <w:r w:rsidR="00906B83" w:rsidRPr="00BD2C08">
        <w:rPr>
          <w:rFonts w:ascii="Times New Roman" w:hAnsi="Times New Roman" w:cs="Times New Roman"/>
          <w:sz w:val="22"/>
          <w:szCs w:val="22"/>
        </w:rPr>
        <w:t>, and building</w:t>
      </w:r>
      <w:r w:rsidR="004B55CE" w:rsidRPr="00BD2C08">
        <w:rPr>
          <w:rFonts w:ascii="Times New Roman" w:hAnsi="Times New Roman" w:cs="Times New Roman"/>
          <w:sz w:val="22"/>
          <w:szCs w:val="22"/>
        </w:rPr>
        <w:t xml:space="preserve"> single &amp; multi-family homes), </w:t>
      </w:r>
      <w:r w:rsidR="004B55CE" w:rsidRPr="00BD2C08">
        <w:rPr>
          <w:rFonts w:ascii="Times New Roman" w:hAnsi="Times New Roman" w:cs="Times New Roman"/>
          <w:b/>
          <w:bCs/>
          <w:i/>
          <w:iCs/>
          <w:sz w:val="22"/>
          <w:szCs w:val="22"/>
        </w:rPr>
        <w:t>(2)</w:t>
      </w:r>
      <w:r w:rsidR="00134B8B" w:rsidRPr="00BD2C08">
        <w:rPr>
          <w:rFonts w:ascii="Times New Roman" w:hAnsi="Times New Roman" w:cs="Times New Roman"/>
          <w:sz w:val="22"/>
          <w:szCs w:val="22"/>
        </w:rPr>
        <w:t xml:space="preserve"> </w:t>
      </w:r>
      <w:r w:rsidR="0023304D" w:rsidRPr="00BD2C08">
        <w:rPr>
          <w:rFonts w:ascii="Times New Roman" w:hAnsi="Times New Roman" w:cs="Times New Roman"/>
          <w:b/>
          <w:bCs/>
          <w:i/>
          <w:iCs/>
          <w:sz w:val="22"/>
          <w:szCs w:val="22"/>
        </w:rPr>
        <w:t>Creating</w:t>
      </w:r>
      <w:r w:rsidR="00134B8B" w:rsidRPr="00BD2C08">
        <w:rPr>
          <w:rFonts w:ascii="Times New Roman" w:hAnsi="Times New Roman" w:cs="Times New Roman"/>
          <w:b/>
          <w:bCs/>
          <w:i/>
          <w:iCs/>
          <w:sz w:val="22"/>
          <w:szCs w:val="22"/>
        </w:rPr>
        <w:t xml:space="preserve"> the Miami Affordable Housing </w:t>
      </w:r>
      <w:r w:rsidR="005320D4" w:rsidRPr="00BD2C08">
        <w:rPr>
          <w:rFonts w:ascii="Times New Roman" w:hAnsi="Times New Roman" w:cs="Times New Roman"/>
          <w:b/>
          <w:bCs/>
          <w:i/>
          <w:iCs/>
          <w:sz w:val="22"/>
          <w:szCs w:val="22"/>
        </w:rPr>
        <w:t>Finance</w:t>
      </w:r>
      <w:r w:rsidR="00134B8B" w:rsidRPr="00BD2C08">
        <w:rPr>
          <w:rFonts w:ascii="Times New Roman" w:hAnsi="Times New Roman" w:cs="Times New Roman"/>
          <w:b/>
          <w:bCs/>
          <w:i/>
          <w:iCs/>
          <w:sz w:val="22"/>
          <w:szCs w:val="22"/>
        </w:rPr>
        <w:t xml:space="preserve"> Corporation</w:t>
      </w:r>
      <w:r w:rsidR="00134B8B" w:rsidRPr="00BD2C08">
        <w:rPr>
          <w:rFonts w:ascii="Times New Roman" w:hAnsi="Times New Roman" w:cs="Times New Roman"/>
          <w:sz w:val="22"/>
          <w:szCs w:val="22"/>
        </w:rPr>
        <w:t xml:space="preserve"> (</w:t>
      </w:r>
      <w:r w:rsidR="00AC1928" w:rsidRPr="00BD2C08">
        <w:rPr>
          <w:rFonts w:ascii="Times New Roman" w:hAnsi="Times New Roman" w:cs="Times New Roman"/>
          <w:sz w:val="22"/>
          <w:szCs w:val="22"/>
        </w:rPr>
        <w:t xml:space="preserve"> which will focus on </w:t>
      </w:r>
      <w:r w:rsidR="005320D4" w:rsidRPr="00BD2C08">
        <w:rPr>
          <w:rFonts w:ascii="Times New Roman" w:hAnsi="Times New Roman" w:cs="Times New Roman"/>
          <w:sz w:val="22"/>
          <w:szCs w:val="22"/>
        </w:rPr>
        <w:t>providing low-cost loans, grants, and tax incentives for affordable housing development),</w:t>
      </w:r>
      <w:r w:rsidR="005320D4" w:rsidRPr="00BD2C08">
        <w:rPr>
          <w:rFonts w:ascii="Times New Roman" w:hAnsi="Times New Roman" w:cs="Times New Roman"/>
          <w:b/>
          <w:bCs/>
          <w:i/>
          <w:iCs/>
          <w:sz w:val="22"/>
          <w:szCs w:val="22"/>
        </w:rPr>
        <w:t>(3)</w:t>
      </w:r>
      <w:r w:rsidR="00AC1DD2" w:rsidRPr="00BD2C08">
        <w:rPr>
          <w:rFonts w:ascii="Times New Roman" w:hAnsi="Times New Roman" w:cs="Times New Roman"/>
          <w:sz w:val="22"/>
          <w:szCs w:val="22"/>
        </w:rPr>
        <w:t xml:space="preserve"> </w:t>
      </w:r>
      <w:r w:rsidR="00AC1DD2" w:rsidRPr="00BD2C08">
        <w:rPr>
          <w:rFonts w:ascii="Times New Roman" w:hAnsi="Times New Roman" w:cs="Times New Roman"/>
          <w:b/>
          <w:bCs/>
          <w:i/>
          <w:iCs/>
          <w:sz w:val="22"/>
          <w:szCs w:val="22"/>
        </w:rPr>
        <w:t>the Miami Affordable Housing Innovation Fund</w:t>
      </w:r>
      <w:r w:rsidR="00401D0B" w:rsidRPr="00BD2C08">
        <w:rPr>
          <w:rFonts w:ascii="Times New Roman" w:hAnsi="Times New Roman" w:cs="Times New Roman"/>
          <w:sz w:val="22"/>
          <w:szCs w:val="22"/>
        </w:rPr>
        <w:t xml:space="preserve"> (</w:t>
      </w:r>
      <w:r w:rsidR="004A3D6A" w:rsidRPr="00BD2C08">
        <w:rPr>
          <w:rFonts w:ascii="Times New Roman" w:hAnsi="Times New Roman" w:cs="Times New Roman"/>
          <w:sz w:val="22"/>
          <w:szCs w:val="22"/>
        </w:rPr>
        <w:t>Utilizes $85 million from the City Forever Bond to leverage additional funds aimed at creating a $1 billion pool from various sources for affordable housing projects</w:t>
      </w:r>
      <w:r w:rsidR="004A3D6A" w:rsidRPr="00BD2C08">
        <w:rPr>
          <w:rFonts w:ascii="Times New Roman" w:hAnsi="Times New Roman" w:cs="Times New Roman"/>
          <w:sz w:val="22"/>
          <w:szCs w:val="22"/>
        </w:rPr>
        <w:t>),</w:t>
      </w:r>
      <w:r w:rsidR="00701CA4" w:rsidRPr="00BD2C08">
        <w:rPr>
          <w:rFonts w:ascii="Times New Roman" w:hAnsi="Times New Roman" w:cs="Times New Roman"/>
          <w:sz w:val="22"/>
          <w:szCs w:val="22"/>
        </w:rPr>
        <w:t xml:space="preserve"> </w:t>
      </w:r>
      <w:r w:rsidR="00701CA4" w:rsidRPr="00BD2C08">
        <w:rPr>
          <w:rFonts w:ascii="Times New Roman" w:hAnsi="Times New Roman" w:cs="Times New Roman"/>
          <w:b/>
          <w:bCs/>
          <w:i/>
          <w:iCs/>
          <w:sz w:val="22"/>
          <w:szCs w:val="22"/>
        </w:rPr>
        <w:t>(4)</w:t>
      </w:r>
      <w:r w:rsidR="00C31AEB" w:rsidRPr="00BD2C08">
        <w:rPr>
          <w:rFonts w:ascii="Times New Roman" w:hAnsi="Times New Roman" w:cs="Times New Roman"/>
          <w:b/>
          <w:bCs/>
          <w:i/>
          <w:iCs/>
          <w:sz w:val="22"/>
          <w:szCs w:val="22"/>
        </w:rPr>
        <w:t xml:space="preserve"> Streamlining </w:t>
      </w:r>
      <w:r w:rsidR="006F6F38" w:rsidRPr="00BD2C08">
        <w:rPr>
          <w:rFonts w:ascii="Times New Roman" w:hAnsi="Times New Roman" w:cs="Times New Roman"/>
          <w:b/>
          <w:bCs/>
          <w:i/>
          <w:iCs/>
          <w:sz w:val="22"/>
          <w:szCs w:val="22"/>
        </w:rPr>
        <w:t>Affordable Housing Development for all Residents</w:t>
      </w:r>
      <w:r w:rsidR="006F6F38" w:rsidRPr="00BD2C08">
        <w:rPr>
          <w:rFonts w:ascii="Times New Roman" w:hAnsi="Times New Roman" w:cs="Times New Roman"/>
          <w:sz w:val="22"/>
          <w:szCs w:val="22"/>
        </w:rPr>
        <w:t xml:space="preserve"> (</w:t>
      </w:r>
      <w:r w:rsidR="00C31AEB" w:rsidRPr="00BD2C08">
        <w:rPr>
          <w:rFonts w:ascii="Times New Roman" w:hAnsi="Times New Roman" w:cs="Times New Roman"/>
          <w:sz w:val="22"/>
          <w:szCs w:val="22"/>
        </w:rPr>
        <w:t xml:space="preserve"> </w:t>
      </w:r>
      <w:r w:rsidR="006F6F38" w:rsidRPr="00BD2C08">
        <w:rPr>
          <w:rFonts w:ascii="Times New Roman" w:hAnsi="Times New Roman" w:cs="Times New Roman"/>
          <w:sz w:val="22"/>
          <w:szCs w:val="22"/>
        </w:rPr>
        <w:t>Focuses on zoning changes, permitting process simplifications, and fee reductions to expedite affordable housing projects</w:t>
      </w:r>
      <w:r w:rsidR="006F6F38" w:rsidRPr="00BD2C08">
        <w:rPr>
          <w:rFonts w:ascii="Times New Roman" w:hAnsi="Times New Roman" w:cs="Times New Roman"/>
          <w:sz w:val="22"/>
          <w:szCs w:val="22"/>
        </w:rPr>
        <w:t>)</w:t>
      </w:r>
      <w:r w:rsidR="0013323B" w:rsidRPr="00BD2C08">
        <w:rPr>
          <w:rFonts w:ascii="Times New Roman" w:hAnsi="Times New Roman" w:cs="Times New Roman"/>
          <w:sz w:val="22"/>
          <w:szCs w:val="22"/>
        </w:rPr>
        <w:t xml:space="preserve">, </w:t>
      </w:r>
      <w:r w:rsidR="0013323B" w:rsidRPr="00BD2C08">
        <w:rPr>
          <w:rFonts w:ascii="Times New Roman" w:hAnsi="Times New Roman" w:cs="Times New Roman"/>
          <w:b/>
          <w:bCs/>
          <w:i/>
          <w:iCs/>
          <w:sz w:val="22"/>
          <w:szCs w:val="22"/>
        </w:rPr>
        <w:t>(5)</w:t>
      </w:r>
      <w:r w:rsidR="0013323B" w:rsidRPr="00BD2C08">
        <w:rPr>
          <w:rFonts w:ascii="Times New Roman" w:hAnsi="Times New Roman" w:cs="Times New Roman"/>
          <w:sz w:val="22"/>
          <w:szCs w:val="22"/>
        </w:rPr>
        <w:t xml:space="preserve"> </w:t>
      </w:r>
      <w:r w:rsidR="00812333" w:rsidRPr="00BD2C08">
        <w:rPr>
          <w:rFonts w:ascii="Times New Roman" w:hAnsi="Times New Roman" w:cs="Times New Roman"/>
          <w:b/>
          <w:bCs/>
          <w:i/>
          <w:iCs/>
          <w:sz w:val="22"/>
          <w:szCs w:val="22"/>
        </w:rPr>
        <w:t>Creating New businesses &amp; Jobs</w:t>
      </w:r>
      <w:r w:rsidR="00812333" w:rsidRPr="00BD2C08">
        <w:rPr>
          <w:rFonts w:ascii="Times New Roman" w:hAnsi="Times New Roman" w:cs="Times New Roman"/>
          <w:sz w:val="22"/>
          <w:szCs w:val="22"/>
        </w:rPr>
        <w:t xml:space="preserve"> (</w:t>
      </w:r>
      <w:r w:rsidR="00E6750A" w:rsidRPr="00BD2C08">
        <w:rPr>
          <w:rFonts w:ascii="Times New Roman" w:hAnsi="Times New Roman" w:cs="Times New Roman"/>
          <w:sz w:val="22"/>
          <w:szCs w:val="22"/>
        </w:rPr>
        <w:t>Links housing development to economic development by creating jobs and supporting local businesses through construction and beyond</w:t>
      </w:r>
      <w:r w:rsidR="00E6750A" w:rsidRPr="00BD2C08">
        <w:rPr>
          <w:rFonts w:ascii="Times New Roman" w:hAnsi="Times New Roman" w:cs="Times New Roman"/>
          <w:sz w:val="22"/>
          <w:szCs w:val="22"/>
        </w:rPr>
        <w:t>).</w:t>
      </w:r>
    </w:p>
    <w:p w14:paraId="25C7FFAB" w14:textId="3CB361B8" w:rsidR="001464E5" w:rsidRPr="00BD2C08" w:rsidRDefault="00C46C6F" w:rsidP="00C46C6F">
      <w:pPr>
        <w:rPr>
          <w:rFonts w:ascii="Times New Roman" w:hAnsi="Times New Roman" w:cs="Times New Roman"/>
          <w:sz w:val="22"/>
          <w:szCs w:val="22"/>
        </w:rPr>
      </w:pPr>
      <w:r w:rsidRPr="00BD2C08">
        <w:rPr>
          <w:rFonts w:ascii="Times New Roman" w:hAnsi="Times New Roman" w:cs="Times New Roman"/>
          <w:sz w:val="22"/>
          <w:szCs w:val="22"/>
        </w:rPr>
        <w:t xml:space="preserve">The plan to address Miami's housing affordability crisis is underpinned by the establishment of the </w:t>
      </w:r>
      <w:r w:rsidRPr="00BD2C08">
        <w:rPr>
          <w:rFonts w:ascii="Times New Roman" w:hAnsi="Times New Roman" w:cs="Times New Roman"/>
          <w:b/>
          <w:bCs/>
          <w:i/>
          <w:iCs/>
          <w:sz w:val="22"/>
          <w:szCs w:val="22"/>
        </w:rPr>
        <w:t>Miami Affordable Housing Finance Corporation</w:t>
      </w:r>
      <w:r w:rsidRPr="00BD2C08">
        <w:rPr>
          <w:rFonts w:ascii="Times New Roman" w:hAnsi="Times New Roman" w:cs="Times New Roman"/>
          <w:sz w:val="22"/>
          <w:szCs w:val="22"/>
        </w:rPr>
        <w:t xml:space="preserve">. This entity is designed to provide a critical financial mechanism to support the development, acquisition, or rehabilitation of affordable housing. The corporation is tasked with </w:t>
      </w:r>
      <w:r w:rsidR="00496A40" w:rsidRPr="00BD2C08">
        <w:rPr>
          <w:rFonts w:ascii="Times New Roman" w:hAnsi="Times New Roman" w:cs="Times New Roman"/>
          <w:sz w:val="22"/>
          <w:szCs w:val="22"/>
        </w:rPr>
        <w:t xml:space="preserve">managing the </w:t>
      </w:r>
      <w:r w:rsidR="00F1364C" w:rsidRPr="00BD2C08">
        <w:rPr>
          <w:rFonts w:ascii="Times New Roman" w:hAnsi="Times New Roman" w:cs="Times New Roman"/>
          <w:b/>
          <w:bCs/>
          <w:i/>
          <w:iCs/>
          <w:sz w:val="22"/>
          <w:szCs w:val="22"/>
        </w:rPr>
        <w:t xml:space="preserve">Affordable Housing </w:t>
      </w:r>
      <w:r w:rsidR="00782BC4" w:rsidRPr="00BD2C08">
        <w:rPr>
          <w:rFonts w:ascii="Times New Roman" w:hAnsi="Times New Roman" w:cs="Times New Roman"/>
          <w:b/>
          <w:bCs/>
          <w:i/>
          <w:iCs/>
          <w:sz w:val="22"/>
          <w:szCs w:val="22"/>
        </w:rPr>
        <w:t>Innovation</w:t>
      </w:r>
      <w:r w:rsidR="00F1364C" w:rsidRPr="00BD2C08">
        <w:rPr>
          <w:rFonts w:ascii="Times New Roman" w:hAnsi="Times New Roman" w:cs="Times New Roman"/>
          <w:b/>
          <w:bCs/>
          <w:i/>
          <w:iCs/>
          <w:sz w:val="22"/>
          <w:szCs w:val="22"/>
        </w:rPr>
        <w:t xml:space="preserve"> Fund</w:t>
      </w:r>
      <w:r w:rsidR="00F1364C" w:rsidRPr="00BD2C08">
        <w:rPr>
          <w:rFonts w:ascii="Times New Roman" w:hAnsi="Times New Roman" w:cs="Times New Roman"/>
          <w:sz w:val="22"/>
          <w:szCs w:val="22"/>
        </w:rPr>
        <w:t xml:space="preserve">, </w:t>
      </w:r>
      <w:r w:rsidR="00C14CE1" w:rsidRPr="00BD2C08">
        <w:rPr>
          <w:rFonts w:ascii="Times New Roman" w:hAnsi="Times New Roman" w:cs="Times New Roman"/>
          <w:sz w:val="22"/>
          <w:szCs w:val="22"/>
        </w:rPr>
        <w:t>administering</w:t>
      </w:r>
      <w:r w:rsidRPr="00BD2C08">
        <w:rPr>
          <w:rFonts w:ascii="Times New Roman" w:hAnsi="Times New Roman" w:cs="Times New Roman"/>
          <w:sz w:val="22"/>
          <w:szCs w:val="22"/>
        </w:rPr>
        <w:t xml:space="preserve"> low-cost loans, grants, tax incentives</w:t>
      </w:r>
      <w:r w:rsidR="00782BC4" w:rsidRPr="00BD2C08">
        <w:rPr>
          <w:rFonts w:ascii="Times New Roman" w:hAnsi="Times New Roman" w:cs="Times New Roman"/>
          <w:sz w:val="22"/>
          <w:szCs w:val="22"/>
        </w:rPr>
        <w:t>,</w:t>
      </w:r>
      <w:r w:rsidRPr="00BD2C08">
        <w:rPr>
          <w:rFonts w:ascii="Times New Roman" w:hAnsi="Times New Roman" w:cs="Times New Roman"/>
          <w:sz w:val="22"/>
          <w:szCs w:val="22"/>
        </w:rPr>
        <w:t xml:space="preserve"> </w:t>
      </w:r>
      <w:r w:rsidR="00947146" w:rsidRPr="00BD2C08">
        <w:rPr>
          <w:rFonts w:ascii="Times New Roman" w:hAnsi="Times New Roman" w:cs="Times New Roman"/>
          <w:sz w:val="22"/>
          <w:szCs w:val="22"/>
        </w:rPr>
        <w:t>and “expert” assistance to anyone</w:t>
      </w:r>
      <w:r w:rsidR="00CF7D75" w:rsidRPr="00BD2C08">
        <w:rPr>
          <w:rFonts w:ascii="Times New Roman" w:hAnsi="Times New Roman" w:cs="Times New Roman"/>
          <w:sz w:val="22"/>
          <w:szCs w:val="22"/>
        </w:rPr>
        <w:t xml:space="preserve"> planning to develop, acquire</w:t>
      </w:r>
      <w:r w:rsidR="00782BC4" w:rsidRPr="00BD2C08">
        <w:rPr>
          <w:rFonts w:ascii="Times New Roman" w:hAnsi="Times New Roman" w:cs="Times New Roman"/>
          <w:sz w:val="22"/>
          <w:szCs w:val="22"/>
        </w:rPr>
        <w:t>,</w:t>
      </w:r>
      <w:r w:rsidR="00CF7D75" w:rsidRPr="00BD2C08">
        <w:rPr>
          <w:rFonts w:ascii="Times New Roman" w:hAnsi="Times New Roman" w:cs="Times New Roman"/>
          <w:sz w:val="22"/>
          <w:szCs w:val="22"/>
        </w:rPr>
        <w:t xml:space="preserve"> or rehab</w:t>
      </w:r>
      <w:r w:rsidR="00782BC4" w:rsidRPr="00BD2C08">
        <w:rPr>
          <w:rFonts w:ascii="Times New Roman" w:hAnsi="Times New Roman" w:cs="Times New Roman"/>
          <w:sz w:val="22"/>
          <w:szCs w:val="22"/>
        </w:rPr>
        <w:t xml:space="preserve"> affordable housing in Miami. </w:t>
      </w:r>
      <w:r w:rsidR="00F005B5" w:rsidRPr="00BD2C08">
        <w:rPr>
          <w:rFonts w:ascii="Times New Roman" w:hAnsi="Times New Roman" w:cs="Times New Roman"/>
          <w:sz w:val="22"/>
          <w:szCs w:val="22"/>
        </w:rPr>
        <w:t xml:space="preserve">The Corporation is an independent entity created under the Master Plan to facilitate the rapid and efficient growth of funding sources needed to address the city’s affordable housing </w:t>
      </w:r>
      <w:r w:rsidR="00F005B5" w:rsidRPr="00BD2C08">
        <w:rPr>
          <w:rFonts w:ascii="Times New Roman" w:hAnsi="Times New Roman" w:cs="Times New Roman"/>
          <w:sz w:val="22"/>
          <w:szCs w:val="22"/>
        </w:rPr>
        <w:lastRenderedPageBreak/>
        <w:t>needs. It operates under close city oversight, ensuring its initiatives align with the broader goals of enhancing urban development and increasing</w:t>
      </w:r>
      <w:r w:rsidR="00012B78" w:rsidRPr="00BD2C08">
        <w:rPr>
          <w:rFonts w:ascii="Times New Roman" w:hAnsi="Times New Roman" w:cs="Times New Roman"/>
          <w:sz w:val="22"/>
          <w:szCs w:val="22"/>
        </w:rPr>
        <w:t xml:space="preserve"> affordable</w:t>
      </w:r>
      <w:r w:rsidR="00F005B5" w:rsidRPr="00BD2C08">
        <w:rPr>
          <w:rFonts w:ascii="Times New Roman" w:hAnsi="Times New Roman" w:cs="Times New Roman"/>
          <w:sz w:val="22"/>
          <w:szCs w:val="22"/>
        </w:rPr>
        <w:t xml:space="preserve"> housing availability for Miami’s residents.</w:t>
      </w:r>
      <w:r w:rsidR="001464E5" w:rsidRPr="00BD2C08">
        <w:rPr>
          <w:rFonts w:ascii="Times New Roman" w:hAnsi="Times New Roman" w:cs="Times New Roman"/>
          <w:sz w:val="22"/>
          <w:szCs w:val="22"/>
        </w:rPr>
        <w:t xml:space="preserve"> </w:t>
      </w:r>
    </w:p>
    <w:p w14:paraId="4BCC9508" w14:textId="1E81C0ED" w:rsidR="005F0C7B" w:rsidRPr="00BD2C08" w:rsidRDefault="00E72B5E" w:rsidP="00C46C6F">
      <w:pPr>
        <w:rPr>
          <w:rFonts w:ascii="Times New Roman" w:hAnsi="Times New Roman" w:cs="Times New Roman"/>
          <w:sz w:val="22"/>
          <w:szCs w:val="22"/>
        </w:rPr>
      </w:pPr>
      <w:r w:rsidRPr="00BD2C08">
        <w:rPr>
          <w:rFonts w:ascii="Times New Roman" w:hAnsi="Times New Roman" w:cs="Times New Roman"/>
          <w:sz w:val="22"/>
          <w:szCs w:val="22"/>
        </w:rPr>
        <w:t>The corporation's</w:t>
      </w:r>
      <w:r w:rsidR="001464E5" w:rsidRPr="00BD2C08">
        <w:rPr>
          <w:rFonts w:ascii="Times New Roman" w:hAnsi="Times New Roman" w:cs="Times New Roman"/>
          <w:sz w:val="22"/>
          <w:szCs w:val="22"/>
        </w:rPr>
        <w:t xml:space="preserve"> strategy is its focus on financing both the development and rehabilitation of affordable housing. This is achieved by leveraging local builders, developers, realtors, managers, owners, and nonprofits. The Corporation is designed to continuously pool funding from a wide array of sources including public funds, private equity, tax credits, and philanthropic donations, creating a robust capital stack that supports various stages of housing projects. This comprehensive financing approach enables the Corporation to support property acquisition, pre-development, development, land banking, property repurposing, and homeownership initiatives.</w:t>
      </w:r>
      <w:r w:rsidR="000607B1" w:rsidRPr="00BD2C08">
        <w:rPr>
          <w:rStyle w:val="FootnoteReference"/>
          <w:rFonts w:ascii="Times New Roman" w:hAnsi="Times New Roman" w:cs="Times New Roman"/>
          <w:sz w:val="22"/>
          <w:szCs w:val="22"/>
        </w:rPr>
        <w:footnoteReference w:id="5"/>
      </w:r>
      <w:r w:rsidR="00BB70CC" w:rsidRPr="00BD2C08">
        <w:rPr>
          <w:rFonts w:ascii="Times New Roman" w:hAnsi="Times New Roman" w:cs="Times New Roman"/>
          <w:sz w:val="22"/>
          <w:szCs w:val="22"/>
        </w:rPr>
        <w:t xml:space="preserve"> </w:t>
      </w:r>
      <w:r w:rsidR="007373B0" w:rsidRPr="00BD2C08">
        <w:rPr>
          <w:rFonts w:ascii="Times New Roman" w:hAnsi="Times New Roman" w:cs="Times New Roman"/>
          <w:sz w:val="22"/>
          <w:szCs w:val="22"/>
        </w:rPr>
        <w:t>The corporation will</w:t>
      </w:r>
      <w:r w:rsidR="00BB70CC" w:rsidRPr="00BD2C08">
        <w:rPr>
          <w:rFonts w:ascii="Times New Roman" w:hAnsi="Times New Roman" w:cs="Times New Roman"/>
          <w:sz w:val="22"/>
          <w:szCs w:val="22"/>
        </w:rPr>
        <w:t xml:space="preserve"> coordinate</w:t>
      </w:r>
      <w:r w:rsidR="007373B0" w:rsidRPr="00BD2C08">
        <w:rPr>
          <w:rFonts w:ascii="Times New Roman" w:hAnsi="Times New Roman" w:cs="Times New Roman"/>
          <w:sz w:val="22"/>
          <w:szCs w:val="22"/>
        </w:rPr>
        <w:t xml:space="preserve"> </w:t>
      </w:r>
      <w:r w:rsidR="00BB70CC" w:rsidRPr="00BD2C08">
        <w:rPr>
          <w:rFonts w:ascii="Times New Roman" w:hAnsi="Times New Roman" w:cs="Times New Roman"/>
          <w:sz w:val="22"/>
          <w:szCs w:val="22"/>
        </w:rPr>
        <w:t xml:space="preserve">third-party funding to enhance local nonprofit affordable housing capacity and </w:t>
      </w:r>
      <w:r w:rsidR="007373B0" w:rsidRPr="00BD2C08">
        <w:rPr>
          <w:rFonts w:ascii="Times New Roman" w:hAnsi="Times New Roman" w:cs="Times New Roman"/>
          <w:sz w:val="22"/>
          <w:szCs w:val="22"/>
        </w:rPr>
        <w:t>participate</w:t>
      </w:r>
      <w:r w:rsidR="00BB70CC" w:rsidRPr="00BD2C08">
        <w:rPr>
          <w:rFonts w:ascii="Times New Roman" w:hAnsi="Times New Roman" w:cs="Times New Roman"/>
          <w:sz w:val="22"/>
          <w:szCs w:val="22"/>
        </w:rPr>
        <w:t xml:space="preserve"> as an equity investor in select development and redevelopment projects.</w:t>
      </w:r>
      <w:r w:rsidR="00AE0142" w:rsidRPr="00BD2C08">
        <w:rPr>
          <w:rFonts w:ascii="Times New Roman" w:hAnsi="Times New Roman" w:cs="Times New Roman"/>
          <w:sz w:val="22"/>
          <w:szCs w:val="22"/>
        </w:rPr>
        <w:t xml:space="preserve"> </w:t>
      </w:r>
      <w:r w:rsidR="00BD2C08" w:rsidRPr="00BD2C08">
        <w:rPr>
          <w:rFonts w:ascii="Times New Roman" w:hAnsi="Times New Roman" w:cs="Times New Roman"/>
          <w:sz w:val="22"/>
          <w:szCs w:val="22"/>
        </w:rPr>
        <w:t>The</w:t>
      </w:r>
      <w:r w:rsidR="00112C01" w:rsidRPr="00BD2C08">
        <w:rPr>
          <w:rFonts w:ascii="Times New Roman" w:hAnsi="Times New Roman" w:cs="Times New Roman"/>
          <w:sz w:val="22"/>
          <w:szCs w:val="22"/>
        </w:rPr>
        <w:t xml:space="preserve"> </w:t>
      </w:r>
      <w:r w:rsidR="00112C01" w:rsidRPr="00BD2C08">
        <w:rPr>
          <w:rFonts w:ascii="Times New Roman" w:hAnsi="Times New Roman" w:cs="Times New Roman"/>
          <w:b/>
          <w:bCs/>
          <w:i/>
          <w:iCs/>
          <w:sz w:val="22"/>
          <w:szCs w:val="22"/>
        </w:rPr>
        <w:t>Miami Affordable Housing Finance Corporation</w:t>
      </w:r>
      <w:r w:rsidR="00112C01" w:rsidRPr="00BD2C08">
        <w:rPr>
          <w:rFonts w:ascii="Times New Roman" w:hAnsi="Times New Roman" w:cs="Times New Roman"/>
          <w:sz w:val="22"/>
          <w:szCs w:val="22"/>
        </w:rPr>
        <w:t xml:space="preserve"> will work </w:t>
      </w:r>
      <w:r w:rsidR="00843BF3" w:rsidRPr="00BD2C08">
        <w:rPr>
          <w:rFonts w:ascii="Times New Roman" w:hAnsi="Times New Roman" w:cs="Times New Roman"/>
          <w:sz w:val="22"/>
          <w:szCs w:val="22"/>
        </w:rPr>
        <w:t xml:space="preserve">with the City of Miami Department of Housing &amp; Community Development, </w:t>
      </w:r>
      <w:r w:rsidR="00333962" w:rsidRPr="00BD2C08">
        <w:rPr>
          <w:rFonts w:ascii="Times New Roman" w:hAnsi="Times New Roman" w:cs="Times New Roman"/>
          <w:sz w:val="22"/>
          <w:szCs w:val="22"/>
        </w:rPr>
        <w:t>leveraging</w:t>
      </w:r>
      <w:r w:rsidR="00843BF3" w:rsidRPr="00BD2C08">
        <w:rPr>
          <w:rFonts w:ascii="Times New Roman" w:hAnsi="Times New Roman" w:cs="Times New Roman"/>
          <w:sz w:val="22"/>
          <w:szCs w:val="22"/>
        </w:rPr>
        <w:t xml:space="preserve"> additional support through various HUD-funded programs aimed at assisting disadvantaged residents and neighborhoods</w:t>
      </w:r>
      <w:r w:rsidR="000B0DBE">
        <w:rPr>
          <w:rFonts w:ascii="Times New Roman" w:hAnsi="Times New Roman" w:cs="Times New Roman"/>
          <w:sz w:val="22"/>
          <w:szCs w:val="22"/>
        </w:rPr>
        <w:t>. These programs include</w:t>
      </w:r>
      <w:r w:rsidR="00136CDF">
        <w:rPr>
          <w:rFonts w:ascii="Times New Roman" w:hAnsi="Times New Roman" w:cs="Times New Roman"/>
          <w:sz w:val="22"/>
          <w:szCs w:val="22"/>
        </w:rPr>
        <w:t xml:space="preserve"> </w:t>
      </w:r>
      <w:r w:rsidR="00843BF3" w:rsidRPr="00BD2C08">
        <w:rPr>
          <w:rFonts w:ascii="Times New Roman" w:hAnsi="Times New Roman" w:cs="Times New Roman"/>
          <w:sz w:val="22"/>
          <w:szCs w:val="22"/>
        </w:rPr>
        <w:t xml:space="preserve">the Community Development Block Grant (CDBG), Home Investment Partnership (HOME), Emergency Solutions Grant (ESG), and Housing Opportunities for People with AIDS (HOPWA). These programs are crucial for providing housing and community support services, contributing to the overall effectiveness of the </w:t>
      </w:r>
      <w:r w:rsidR="004309EA" w:rsidRPr="00BD2C08">
        <w:rPr>
          <w:rFonts w:ascii="Times New Roman" w:hAnsi="Times New Roman" w:cs="Times New Roman"/>
          <w:sz w:val="22"/>
          <w:szCs w:val="22"/>
        </w:rPr>
        <w:t>master plan’s goals.</w:t>
      </w:r>
      <w:r w:rsidR="008E6CCC" w:rsidRPr="00BD2C08">
        <w:rPr>
          <w:rStyle w:val="FootnoteReference"/>
          <w:rFonts w:ascii="Times New Roman" w:hAnsi="Times New Roman" w:cs="Times New Roman"/>
          <w:sz w:val="22"/>
          <w:szCs w:val="22"/>
        </w:rPr>
        <w:footnoteReference w:id="6"/>
      </w:r>
    </w:p>
    <w:p w14:paraId="0FF192AC" w14:textId="4D9047DA" w:rsidR="00843BF3" w:rsidRPr="00BD2C08" w:rsidRDefault="003723E9" w:rsidP="00C46C6F">
      <w:pPr>
        <w:rPr>
          <w:rFonts w:ascii="Times New Roman" w:hAnsi="Times New Roman" w:cs="Times New Roman"/>
          <w:sz w:val="22"/>
          <w:szCs w:val="22"/>
        </w:rPr>
      </w:pPr>
      <w:r w:rsidRPr="00BD2C08">
        <w:rPr>
          <w:rFonts w:ascii="Times New Roman" w:hAnsi="Times New Roman" w:cs="Times New Roman"/>
          <w:sz w:val="22"/>
          <w:szCs w:val="22"/>
        </w:rPr>
        <w:t>T</w:t>
      </w:r>
      <w:r w:rsidR="005F0C7B" w:rsidRPr="00BD2C08">
        <w:rPr>
          <w:rFonts w:ascii="Times New Roman" w:hAnsi="Times New Roman" w:cs="Times New Roman"/>
          <w:sz w:val="22"/>
          <w:szCs w:val="22"/>
        </w:rPr>
        <w:t>he</w:t>
      </w:r>
      <w:r w:rsidRPr="00BD2C08">
        <w:rPr>
          <w:rFonts w:ascii="Times New Roman" w:hAnsi="Times New Roman" w:cs="Times New Roman"/>
          <w:sz w:val="22"/>
          <w:szCs w:val="22"/>
        </w:rPr>
        <w:t xml:space="preserve"> most important of </w:t>
      </w:r>
      <w:r w:rsidR="00697335" w:rsidRPr="00BD2C08">
        <w:rPr>
          <w:rFonts w:ascii="Times New Roman" w:hAnsi="Times New Roman" w:cs="Times New Roman"/>
          <w:sz w:val="22"/>
          <w:szCs w:val="22"/>
        </w:rPr>
        <w:t>the Miami</w:t>
      </w:r>
      <w:r w:rsidR="005F0C7B" w:rsidRPr="00BD2C08">
        <w:rPr>
          <w:rFonts w:ascii="Times New Roman" w:hAnsi="Times New Roman" w:cs="Times New Roman"/>
          <w:b/>
          <w:bCs/>
          <w:i/>
          <w:iCs/>
          <w:sz w:val="22"/>
          <w:szCs w:val="22"/>
        </w:rPr>
        <w:t xml:space="preserve"> Affordable Housing Finance Corporation</w:t>
      </w:r>
      <w:r w:rsidR="005F0C7B" w:rsidRPr="00BD2C08">
        <w:rPr>
          <w:rFonts w:ascii="Times New Roman" w:hAnsi="Times New Roman" w:cs="Times New Roman"/>
          <w:b/>
          <w:bCs/>
          <w:i/>
          <w:iCs/>
          <w:sz w:val="22"/>
          <w:szCs w:val="22"/>
        </w:rPr>
        <w:t xml:space="preserve">’s </w:t>
      </w:r>
      <w:r w:rsidR="005F0C7B" w:rsidRPr="00BD2C08">
        <w:rPr>
          <w:rFonts w:ascii="Times New Roman" w:hAnsi="Times New Roman" w:cs="Times New Roman"/>
          <w:sz w:val="22"/>
          <w:szCs w:val="22"/>
        </w:rPr>
        <w:t>functions</w:t>
      </w:r>
      <w:r w:rsidR="005F0C7B" w:rsidRPr="00BD2C08">
        <w:rPr>
          <w:rFonts w:ascii="Times New Roman" w:hAnsi="Times New Roman" w:cs="Times New Roman"/>
          <w:b/>
          <w:bCs/>
          <w:i/>
          <w:iCs/>
          <w:sz w:val="22"/>
          <w:szCs w:val="22"/>
        </w:rPr>
        <w:t xml:space="preserve"> </w:t>
      </w:r>
      <w:r w:rsidR="005F0C7B" w:rsidRPr="00BD2C08">
        <w:rPr>
          <w:rFonts w:ascii="Times New Roman" w:hAnsi="Times New Roman" w:cs="Times New Roman"/>
          <w:sz w:val="22"/>
          <w:szCs w:val="22"/>
        </w:rPr>
        <w:t xml:space="preserve">is the management of the </w:t>
      </w:r>
      <w:r w:rsidRPr="00BD2C08">
        <w:rPr>
          <w:rFonts w:ascii="Times New Roman" w:hAnsi="Times New Roman" w:cs="Times New Roman"/>
          <w:b/>
          <w:bCs/>
          <w:i/>
          <w:iCs/>
          <w:sz w:val="22"/>
          <w:szCs w:val="22"/>
        </w:rPr>
        <w:t>Affordable Housing Innovation Fund</w:t>
      </w:r>
      <w:r w:rsidRPr="00BD2C08">
        <w:rPr>
          <w:rFonts w:ascii="Times New Roman" w:hAnsi="Times New Roman" w:cs="Times New Roman"/>
          <w:sz w:val="22"/>
          <w:szCs w:val="22"/>
        </w:rPr>
        <w:t>, the key funding</w:t>
      </w:r>
      <w:r w:rsidR="009C570E" w:rsidRPr="00BD2C08">
        <w:rPr>
          <w:rFonts w:ascii="Times New Roman" w:hAnsi="Times New Roman" w:cs="Times New Roman"/>
          <w:sz w:val="22"/>
          <w:szCs w:val="22"/>
        </w:rPr>
        <w:t xml:space="preserve"> mechanism for the Miami Affordable Housing </w:t>
      </w:r>
      <w:r w:rsidR="00697335" w:rsidRPr="00BD2C08">
        <w:rPr>
          <w:rFonts w:ascii="Times New Roman" w:hAnsi="Times New Roman" w:cs="Times New Roman"/>
          <w:sz w:val="22"/>
          <w:szCs w:val="22"/>
        </w:rPr>
        <w:t>M</w:t>
      </w:r>
      <w:r w:rsidR="009C570E" w:rsidRPr="00BD2C08">
        <w:rPr>
          <w:rFonts w:ascii="Times New Roman" w:hAnsi="Times New Roman" w:cs="Times New Roman"/>
          <w:sz w:val="22"/>
          <w:szCs w:val="22"/>
        </w:rPr>
        <w:t xml:space="preserve">aster Plan. </w:t>
      </w:r>
      <w:r w:rsidR="00E77768" w:rsidRPr="00BD2C08">
        <w:rPr>
          <w:rFonts w:ascii="Times New Roman" w:hAnsi="Times New Roman" w:cs="Times New Roman"/>
          <w:sz w:val="22"/>
          <w:szCs w:val="22"/>
        </w:rPr>
        <w:t xml:space="preserve">This fund is set to utilize an initial investment of </w:t>
      </w:r>
      <w:r w:rsidR="00E77768" w:rsidRPr="00BD2C08">
        <w:rPr>
          <w:rFonts w:ascii="Times New Roman" w:hAnsi="Times New Roman" w:cs="Times New Roman"/>
          <w:b/>
          <w:bCs/>
          <w:i/>
          <w:iCs/>
          <w:sz w:val="22"/>
          <w:szCs w:val="22"/>
        </w:rPr>
        <w:t>$85</w:t>
      </w:r>
      <w:r w:rsidR="00E77768" w:rsidRPr="00BD2C08">
        <w:rPr>
          <w:rFonts w:ascii="Times New Roman" w:hAnsi="Times New Roman" w:cs="Times New Roman"/>
          <w:sz w:val="22"/>
          <w:szCs w:val="22"/>
        </w:rPr>
        <w:t xml:space="preserve"> </w:t>
      </w:r>
      <w:r w:rsidR="00E77768" w:rsidRPr="00BD2C08">
        <w:rPr>
          <w:rFonts w:ascii="Times New Roman" w:hAnsi="Times New Roman" w:cs="Times New Roman"/>
          <w:b/>
          <w:bCs/>
          <w:i/>
          <w:iCs/>
          <w:sz w:val="22"/>
          <w:szCs w:val="22"/>
        </w:rPr>
        <w:t>million</w:t>
      </w:r>
      <w:r w:rsidR="00E77768" w:rsidRPr="00BD2C08">
        <w:rPr>
          <w:rFonts w:ascii="Times New Roman" w:hAnsi="Times New Roman" w:cs="Times New Roman"/>
          <w:sz w:val="22"/>
          <w:szCs w:val="22"/>
        </w:rPr>
        <w:t xml:space="preserve"> from the City Forever Bond, serving as a financial catalyst to attract and pool an estimated $1 billion from state and federal incentives, tax credits, and private financing. The intention is to leverage these resources over ten years to drive large-scale production of affordable housing, indicative of the comprehensive and innovative approach the city is taking.</w:t>
      </w:r>
      <w:r w:rsidR="00563926" w:rsidRPr="00BD2C08">
        <w:rPr>
          <w:rStyle w:val="FootnoteReference"/>
          <w:rFonts w:ascii="Times New Roman" w:hAnsi="Times New Roman" w:cs="Times New Roman"/>
          <w:sz w:val="22"/>
          <w:szCs w:val="22"/>
        </w:rPr>
        <w:footnoteReference w:id="7"/>
      </w:r>
      <w:r w:rsidR="00E77768" w:rsidRPr="00BD2C08">
        <w:rPr>
          <w:rFonts w:ascii="Times New Roman" w:hAnsi="Times New Roman" w:cs="Times New Roman"/>
          <w:sz w:val="22"/>
          <w:szCs w:val="22"/>
        </w:rPr>
        <w:t xml:space="preserve"> This approach is meant to catalyze a multiplier effect, drawing in additional investment to reach the projected need for $4 to $6 billion over the next decade. It proposes a layered fund structure that integrates public, private, and philanthropic capital</w:t>
      </w:r>
      <w:r w:rsidR="00B84CD8" w:rsidRPr="00BD2C08">
        <w:rPr>
          <w:rFonts w:ascii="Times New Roman" w:hAnsi="Times New Roman" w:cs="Times New Roman"/>
          <w:sz w:val="22"/>
          <w:szCs w:val="22"/>
        </w:rPr>
        <w:t xml:space="preserve"> </w:t>
      </w:r>
      <w:r w:rsidR="0064701B" w:rsidRPr="00BD2C08">
        <w:rPr>
          <w:rFonts w:ascii="Times New Roman" w:hAnsi="Times New Roman" w:cs="Times New Roman"/>
          <w:sz w:val="22"/>
          <w:szCs w:val="22"/>
        </w:rPr>
        <w:t>strategies</w:t>
      </w:r>
      <w:r w:rsidR="00E77768" w:rsidRPr="00BD2C08">
        <w:rPr>
          <w:rFonts w:ascii="Times New Roman" w:hAnsi="Times New Roman" w:cs="Times New Roman"/>
          <w:sz w:val="22"/>
          <w:szCs w:val="22"/>
        </w:rPr>
        <w:t xml:space="preserve"> into a single fund aimed at nonprofit and private developers focused on affordable housing.</w:t>
      </w:r>
      <w:r w:rsidR="0064701B" w:rsidRPr="00BD2C08">
        <w:rPr>
          <w:rFonts w:ascii="Times New Roman" w:hAnsi="Times New Roman" w:cs="Times New Roman"/>
          <w:sz w:val="22"/>
          <w:szCs w:val="22"/>
        </w:rPr>
        <w:t xml:space="preserve"> The specific components and strategies</w:t>
      </w:r>
      <w:r w:rsidR="008A1F32" w:rsidRPr="00BD2C08">
        <w:rPr>
          <w:rFonts w:ascii="Times New Roman" w:hAnsi="Times New Roman" w:cs="Times New Roman"/>
          <w:sz w:val="22"/>
          <w:szCs w:val="22"/>
        </w:rPr>
        <w:t xml:space="preserve"> that make up this funding model include:</w:t>
      </w:r>
    </w:p>
    <w:p w14:paraId="704526F8" w14:textId="759E0B35" w:rsidR="00775A1F" w:rsidRPr="00BD2C08" w:rsidRDefault="00775A1F" w:rsidP="00775A1F">
      <w:pPr>
        <w:rPr>
          <w:rFonts w:ascii="Times New Roman" w:hAnsi="Times New Roman" w:cs="Times New Roman"/>
          <w:sz w:val="22"/>
          <w:szCs w:val="22"/>
        </w:rPr>
      </w:pPr>
      <w:r w:rsidRPr="00BD2C08">
        <w:rPr>
          <w:rFonts w:ascii="Times New Roman" w:hAnsi="Times New Roman" w:cs="Times New Roman"/>
          <w:b/>
          <w:bCs/>
          <w:i/>
          <w:iCs/>
          <w:sz w:val="22"/>
          <w:szCs w:val="22"/>
        </w:rPr>
        <w:t>Commercial Bank Loan Funds</w:t>
      </w:r>
      <w:r w:rsidRPr="00BD2C08">
        <w:rPr>
          <w:rFonts w:ascii="Times New Roman" w:hAnsi="Times New Roman" w:cs="Times New Roman"/>
          <w:sz w:val="22"/>
          <w:szCs w:val="22"/>
        </w:rPr>
        <w:t xml:space="preserve"> These loans are structured to meet the specific requirements of affordable housing development, including acquisition and pre-development phases, facilitating the swift commencement and continuation of housing projects.</w:t>
      </w:r>
      <w:r w:rsidR="009C68DE" w:rsidRPr="00BD2C08">
        <w:rPr>
          <w:rFonts w:ascii="Times New Roman" w:hAnsi="Times New Roman" w:cs="Times New Roman"/>
          <w:sz w:val="22"/>
          <w:szCs w:val="22"/>
        </w:rPr>
        <w:t xml:space="preserve"> </w:t>
      </w:r>
      <w:r w:rsidRPr="00BD2C08">
        <w:rPr>
          <w:rFonts w:ascii="Times New Roman" w:hAnsi="Times New Roman" w:cs="Times New Roman"/>
          <w:b/>
          <w:bCs/>
          <w:i/>
          <w:iCs/>
          <w:sz w:val="22"/>
          <w:szCs w:val="22"/>
        </w:rPr>
        <w:t>Philanthropy</w:t>
      </w:r>
      <w:r w:rsidRPr="00BD2C08">
        <w:rPr>
          <w:rFonts w:ascii="Times New Roman" w:hAnsi="Times New Roman" w:cs="Times New Roman"/>
          <w:sz w:val="22"/>
          <w:szCs w:val="22"/>
        </w:rPr>
        <w:t>: Social Impact Investors contribute significantly through start-up grants and subordinate debt. These investors are particularly focused on creating measurable social impacts alongside financial returns, thus providing flexible and responsive capital that addresses immediate and strategic funding gaps in affordable housing projects</w:t>
      </w:r>
      <w:r w:rsidR="00BA4CB4" w:rsidRPr="00BD2C08">
        <w:rPr>
          <w:rFonts w:ascii="Times New Roman" w:hAnsi="Times New Roman" w:cs="Times New Roman"/>
          <w:sz w:val="22"/>
          <w:szCs w:val="22"/>
        </w:rPr>
        <w:t xml:space="preserve">. </w:t>
      </w:r>
      <w:r w:rsidRPr="00BD2C08">
        <w:rPr>
          <w:rFonts w:ascii="Times New Roman" w:hAnsi="Times New Roman" w:cs="Times New Roman"/>
          <w:b/>
          <w:bCs/>
          <w:i/>
          <w:iCs/>
          <w:sz w:val="22"/>
          <w:szCs w:val="22"/>
        </w:rPr>
        <w:t>Real Estate Investment Trusts (REITs)</w:t>
      </w:r>
      <w:r w:rsidRPr="00BD2C08">
        <w:rPr>
          <w:rFonts w:ascii="Times New Roman" w:hAnsi="Times New Roman" w:cs="Times New Roman"/>
          <w:sz w:val="22"/>
          <w:szCs w:val="22"/>
        </w:rPr>
        <w:t xml:space="preserve"> are utilized to channel equity investments into acquisitions, development, and preservation of affordable housing. REITs focused on long-term investments in affordable housing are an important vehicle for securing ongoing capital for large-scale housing. </w:t>
      </w:r>
      <w:r w:rsidR="009C68DE" w:rsidRPr="00BD2C08">
        <w:rPr>
          <w:rFonts w:ascii="Times New Roman" w:hAnsi="Times New Roman" w:cs="Times New Roman"/>
          <w:sz w:val="22"/>
          <w:szCs w:val="22"/>
        </w:rPr>
        <w:t xml:space="preserve"> </w:t>
      </w:r>
      <w:r w:rsidRPr="00BD2C08">
        <w:rPr>
          <w:rFonts w:ascii="Times New Roman" w:hAnsi="Times New Roman" w:cs="Times New Roman"/>
          <w:b/>
          <w:bCs/>
          <w:i/>
          <w:iCs/>
          <w:sz w:val="22"/>
          <w:szCs w:val="22"/>
        </w:rPr>
        <w:t xml:space="preserve">New Markets Tax Credits (NMTC) </w:t>
      </w:r>
      <w:r w:rsidRPr="00BD2C08">
        <w:rPr>
          <w:rFonts w:ascii="Times New Roman" w:hAnsi="Times New Roman" w:cs="Times New Roman"/>
          <w:sz w:val="22"/>
          <w:szCs w:val="22"/>
        </w:rPr>
        <w:t xml:space="preserve">attract private capital to economically distressed communities by offering tax incentives for investments in mixed-use developments that include affordable housing components. This program </w:t>
      </w:r>
      <w:r w:rsidRPr="00BD2C08">
        <w:rPr>
          <w:rFonts w:ascii="Times New Roman" w:hAnsi="Times New Roman" w:cs="Times New Roman"/>
          <w:sz w:val="22"/>
          <w:szCs w:val="22"/>
        </w:rPr>
        <w:lastRenderedPageBreak/>
        <w:t xml:space="preserve">enhances the feasibility of complex projects by providing additional equity or bridge financing </w:t>
      </w:r>
      <w:r w:rsidRPr="00BD2C08">
        <w:rPr>
          <w:rFonts w:ascii="Times New Roman" w:hAnsi="Times New Roman" w:cs="Times New Roman"/>
          <w:b/>
          <w:bCs/>
          <w:i/>
          <w:iCs/>
          <w:sz w:val="22"/>
          <w:szCs w:val="22"/>
        </w:rPr>
        <w:t>Leveraging City Property for Affordable Housing</w:t>
      </w:r>
      <w:r w:rsidRPr="00BD2C08">
        <w:rPr>
          <w:rFonts w:ascii="Times New Roman" w:hAnsi="Times New Roman" w:cs="Times New Roman"/>
          <w:sz w:val="22"/>
          <w:szCs w:val="22"/>
        </w:rPr>
        <w:t>, which</w:t>
      </w:r>
      <w:r w:rsidRPr="00BD2C08">
        <w:rPr>
          <w:rFonts w:ascii="Times New Roman" w:hAnsi="Times New Roman" w:cs="Times New Roman"/>
          <w:b/>
          <w:bCs/>
          <w:i/>
          <w:iCs/>
          <w:sz w:val="22"/>
          <w:szCs w:val="22"/>
        </w:rPr>
        <w:t xml:space="preserve"> </w:t>
      </w:r>
      <w:r w:rsidRPr="00BD2C08">
        <w:rPr>
          <w:rFonts w:ascii="Times New Roman" w:hAnsi="Times New Roman" w:cs="Times New Roman"/>
          <w:sz w:val="22"/>
          <w:szCs w:val="22"/>
        </w:rPr>
        <w:t>involves using city-owned properties to support housing initiatives either through direct development or by leveraging these assets as equity contributions in partnership with private developers. This strategy not only maximizes the use of public assets but also promotes the development of affordable units across the city</w:t>
      </w:r>
      <w:r w:rsidR="00BA4CB4" w:rsidRPr="00BD2C08">
        <w:rPr>
          <w:rFonts w:ascii="Times New Roman" w:hAnsi="Times New Roman" w:cs="Times New Roman"/>
          <w:sz w:val="22"/>
          <w:szCs w:val="22"/>
        </w:rPr>
        <w:t xml:space="preserve">. </w:t>
      </w:r>
      <w:r w:rsidR="002777E3" w:rsidRPr="00BD2C08">
        <w:rPr>
          <w:rFonts w:ascii="Times New Roman" w:hAnsi="Times New Roman" w:cs="Times New Roman"/>
          <w:b/>
          <w:bCs/>
          <w:i/>
          <w:iCs/>
          <w:sz w:val="22"/>
          <w:szCs w:val="22"/>
        </w:rPr>
        <w:t>The proposed</w:t>
      </w:r>
      <w:r w:rsidRPr="00BD2C08">
        <w:rPr>
          <w:rFonts w:ascii="Times New Roman" w:hAnsi="Times New Roman" w:cs="Times New Roman"/>
          <w:b/>
          <w:bCs/>
          <w:i/>
          <w:iCs/>
          <w:sz w:val="22"/>
          <w:szCs w:val="22"/>
        </w:rPr>
        <w:t xml:space="preserve"> Empty Home (Vacancy) Tax</w:t>
      </w:r>
      <w:r w:rsidRPr="00BD2C08">
        <w:rPr>
          <w:rFonts w:ascii="Times New Roman" w:hAnsi="Times New Roman" w:cs="Times New Roman"/>
          <w:sz w:val="22"/>
          <w:szCs w:val="22"/>
        </w:rPr>
        <w:t xml:space="preserve"> aims to mitigate property speculation and generate revenue for affordable housing by taxing vacant homes. This tax is designed to encourage the utilization of empty properties, thus increasing the housing supply available for rent and purchase. </w:t>
      </w:r>
      <w:r w:rsidR="002777E3" w:rsidRPr="00BD2C08">
        <w:rPr>
          <w:rFonts w:ascii="Times New Roman" w:hAnsi="Times New Roman" w:cs="Times New Roman"/>
          <w:b/>
          <w:bCs/>
          <w:i/>
          <w:iCs/>
          <w:sz w:val="22"/>
          <w:szCs w:val="22"/>
        </w:rPr>
        <w:t>The proposed</w:t>
      </w:r>
      <w:r w:rsidRPr="00BD2C08">
        <w:rPr>
          <w:rFonts w:ascii="Times New Roman" w:hAnsi="Times New Roman" w:cs="Times New Roman"/>
          <w:b/>
          <w:bCs/>
          <w:i/>
          <w:iCs/>
          <w:sz w:val="22"/>
          <w:szCs w:val="22"/>
        </w:rPr>
        <w:t xml:space="preserve"> Affordable Housing Linkage Fee Program</w:t>
      </w:r>
      <w:r w:rsidRPr="00BD2C08">
        <w:rPr>
          <w:rFonts w:ascii="Times New Roman" w:hAnsi="Times New Roman" w:cs="Times New Roman"/>
          <w:sz w:val="22"/>
          <w:szCs w:val="22"/>
        </w:rPr>
        <w:t xml:space="preserve"> charges developers a fee per square foot of new development, which is directed </w:t>
      </w:r>
      <w:r w:rsidR="00BC3BFB" w:rsidRPr="00BD2C08">
        <w:rPr>
          <w:rFonts w:ascii="Times New Roman" w:hAnsi="Times New Roman" w:cs="Times New Roman"/>
          <w:sz w:val="22"/>
          <w:szCs w:val="22"/>
        </w:rPr>
        <w:t>toward</w:t>
      </w:r>
      <w:r w:rsidRPr="00BD2C08">
        <w:rPr>
          <w:rFonts w:ascii="Times New Roman" w:hAnsi="Times New Roman" w:cs="Times New Roman"/>
          <w:sz w:val="22"/>
          <w:szCs w:val="22"/>
        </w:rPr>
        <w:t xml:space="preserve"> financing affordable housing projects. This fee is structured to reflect the increased demand for affordable housing generated by new commercial and residential developments. </w:t>
      </w:r>
      <w:r w:rsidRPr="00BD2C08">
        <w:rPr>
          <w:rFonts w:ascii="Times New Roman" w:hAnsi="Times New Roman" w:cs="Times New Roman"/>
          <w:b/>
          <w:bCs/>
          <w:i/>
          <w:iCs/>
          <w:sz w:val="22"/>
          <w:szCs w:val="22"/>
        </w:rPr>
        <w:t>Opportunity Zones and Opportunity Zone Funds</w:t>
      </w:r>
      <w:r w:rsidRPr="00BD2C08">
        <w:rPr>
          <w:rFonts w:ascii="Times New Roman" w:hAnsi="Times New Roman" w:cs="Times New Roman"/>
          <w:sz w:val="22"/>
          <w:szCs w:val="22"/>
        </w:rPr>
        <w:t xml:space="preserve"> leverage tax incentives to promote investments in distressed areas, facilitating the development of housing and infrastructure. These funds help channel private investment into underserved areas, thus fostering comprehensive community development and economic revitalization</w:t>
      </w:r>
      <w:r w:rsidR="00BC3BFB" w:rsidRPr="00BD2C08">
        <w:rPr>
          <w:rFonts w:ascii="Times New Roman" w:hAnsi="Times New Roman" w:cs="Times New Roman"/>
          <w:sz w:val="22"/>
          <w:szCs w:val="22"/>
        </w:rPr>
        <w:t>.</w:t>
      </w:r>
      <w:r w:rsidR="00BC3BFB" w:rsidRPr="00BD2C08">
        <w:rPr>
          <w:rFonts w:ascii="Times New Roman" w:hAnsi="Times New Roman" w:cs="Times New Roman"/>
          <w:b/>
          <w:bCs/>
          <w:i/>
          <w:iCs/>
          <w:sz w:val="22"/>
          <w:szCs w:val="22"/>
        </w:rPr>
        <w:t xml:space="preserve"> State</w:t>
      </w:r>
      <w:r w:rsidRPr="00BD2C08">
        <w:rPr>
          <w:rFonts w:ascii="Times New Roman" w:hAnsi="Times New Roman" w:cs="Times New Roman"/>
          <w:b/>
          <w:bCs/>
          <w:i/>
          <w:iCs/>
          <w:sz w:val="22"/>
          <w:szCs w:val="22"/>
        </w:rPr>
        <w:t xml:space="preserve"> of Florida Economic Development Funding Programs</w:t>
      </w:r>
      <w:r w:rsidRPr="00BD2C08">
        <w:rPr>
          <w:rFonts w:ascii="Times New Roman" w:hAnsi="Times New Roman" w:cs="Times New Roman"/>
          <w:sz w:val="22"/>
          <w:szCs w:val="22"/>
        </w:rPr>
        <w:t xml:space="preserve"> support projects indirectly by providing incentives that reduce overall project costs. While these funds are not directly allocated to housing, they are crucial for supporting the infrastructure and operational conditions necessary for successful housing developments.</w:t>
      </w:r>
      <w:r w:rsidR="00E168E3" w:rsidRPr="00BD2C08">
        <w:rPr>
          <w:rStyle w:val="FootnoteReference"/>
          <w:rFonts w:ascii="Times New Roman" w:hAnsi="Times New Roman" w:cs="Times New Roman"/>
          <w:sz w:val="22"/>
          <w:szCs w:val="22"/>
        </w:rPr>
        <w:footnoteReference w:id="8"/>
      </w:r>
    </w:p>
    <w:p w14:paraId="670CA98F" w14:textId="2FB1E114" w:rsidR="00BC7F9F" w:rsidRPr="00BD2C08" w:rsidRDefault="000C4057" w:rsidP="00775A1F">
      <w:pPr>
        <w:rPr>
          <w:rFonts w:ascii="Times New Roman" w:hAnsi="Times New Roman" w:cs="Times New Roman"/>
          <w:sz w:val="22"/>
          <w:szCs w:val="22"/>
        </w:rPr>
      </w:pPr>
      <w:r w:rsidRPr="00BD2C08">
        <w:rPr>
          <w:rFonts w:ascii="Times New Roman" w:hAnsi="Times New Roman" w:cs="Times New Roman"/>
          <w:sz w:val="22"/>
          <w:szCs w:val="22"/>
        </w:rPr>
        <w:t>Th</w:t>
      </w:r>
      <w:r w:rsidR="00845AE9" w:rsidRPr="00BD2C08">
        <w:rPr>
          <w:rFonts w:ascii="Times New Roman" w:hAnsi="Times New Roman" w:cs="Times New Roman"/>
          <w:sz w:val="22"/>
          <w:szCs w:val="22"/>
        </w:rPr>
        <w:t xml:space="preserve">e master </w:t>
      </w:r>
      <w:r w:rsidR="00055786" w:rsidRPr="00BD2C08">
        <w:rPr>
          <w:rFonts w:ascii="Times New Roman" w:hAnsi="Times New Roman" w:cs="Times New Roman"/>
          <w:sz w:val="22"/>
          <w:szCs w:val="22"/>
        </w:rPr>
        <w:t>plan's</w:t>
      </w:r>
      <w:r w:rsidRPr="00BD2C08">
        <w:rPr>
          <w:rFonts w:ascii="Times New Roman" w:hAnsi="Times New Roman" w:cs="Times New Roman"/>
          <w:sz w:val="22"/>
          <w:szCs w:val="22"/>
        </w:rPr>
        <w:t xml:space="preserve"> complex and </w:t>
      </w:r>
      <w:r w:rsidRPr="00BD2C08">
        <w:rPr>
          <w:rFonts w:ascii="Times New Roman" w:hAnsi="Times New Roman" w:cs="Times New Roman"/>
          <w:sz w:val="22"/>
          <w:szCs w:val="22"/>
        </w:rPr>
        <w:t>strategically layered approach to tackling one of the city’s most pressing issues</w:t>
      </w:r>
      <w:r w:rsidR="00845AE9" w:rsidRPr="00BD2C08">
        <w:rPr>
          <w:rFonts w:ascii="Times New Roman" w:hAnsi="Times New Roman" w:cs="Times New Roman"/>
          <w:sz w:val="22"/>
          <w:szCs w:val="22"/>
        </w:rPr>
        <w:t xml:space="preserve"> is extremely optimistic and ambitious and could face these </w:t>
      </w:r>
      <w:r w:rsidR="00055786" w:rsidRPr="00BD2C08">
        <w:rPr>
          <w:rFonts w:ascii="Times New Roman" w:hAnsi="Times New Roman" w:cs="Times New Roman"/>
          <w:sz w:val="22"/>
          <w:szCs w:val="22"/>
        </w:rPr>
        <w:t>potential roadblocks:</w:t>
      </w:r>
    </w:p>
    <w:p w14:paraId="0D52591D" w14:textId="45C748EC" w:rsidR="006B45AC" w:rsidRPr="00BD2C08" w:rsidRDefault="006B45AC" w:rsidP="006B45AC">
      <w:pPr>
        <w:rPr>
          <w:rFonts w:ascii="Times New Roman" w:hAnsi="Times New Roman" w:cs="Times New Roman"/>
          <w:sz w:val="22"/>
          <w:szCs w:val="22"/>
        </w:rPr>
      </w:pPr>
      <w:r w:rsidRPr="00BD2C08">
        <w:rPr>
          <w:rFonts w:ascii="Times New Roman" w:hAnsi="Times New Roman" w:cs="Times New Roman"/>
          <w:b/>
          <w:bCs/>
          <w:i/>
          <w:iCs/>
          <w:sz w:val="22"/>
          <w:szCs w:val="22"/>
        </w:rPr>
        <w:t>Scalability and Sustainability:</w:t>
      </w:r>
      <w:r w:rsidRPr="00BD2C08">
        <w:rPr>
          <w:rFonts w:ascii="Times New Roman" w:hAnsi="Times New Roman" w:cs="Times New Roman"/>
          <w:sz w:val="22"/>
          <w:szCs w:val="22"/>
        </w:rPr>
        <w:t xml:space="preserve"> The initial investment of $85 million from the City Forever Bond is a positive step. However, the plan's success hinges on attracting an additional $1 billion from various sources, including state and federal incentives, tax credits, and private financing. This ambitious goal assumes stable economic conditions and sustained investor interest, which may be vulnerable to market fluctuations and political changes. While the plan's strategy to create a multiplier effect through layered funding is innovative, its feasibility in consistently attracting sufficient investments remains uncertain.</w:t>
      </w:r>
    </w:p>
    <w:p w14:paraId="22158E3C" w14:textId="55CC2591" w:rsidR="006B45AC" w:rsidRPr="00BD2C08" w:rsidRDefault="006B45AC" w:rsidP="006B45AC">
      <w:pPr>
        <w:rPr>
          <w:rFonts w:ascii="Times New Roman" w:hAnsi="Times New Roman" w:cs="Times New Roman"/>
          <w:sz w:val="22"/>
          <w:szCs w:val="22"/>
        </w:rPr>
      </w:pPr>
      <w:r w:rsidRPr="00BD2C08">
        <w:rPr>
          <w:rFonts w:ascii="Times New Roman" w:hAnsi="Times New Roman" w:cs="Times New Roman"/>
          <w:b/>
          <w:bCs/>
          <w:i/>
          <w:iCs/>
          <w:sz w:val="22"/>
          <w:szCs w:val="22"/>
        </w:rPr>
        <w:t>Strategic Implementation:</w:t>
      </w:r>
      <w:r w:rsidRPr="00BD2C08">
        <w:rPr>
          <w:rFonts w:ascii="Times New Roman" w:hAnsi="Times New Roman" w:cs="Times New Roman"/>
          <w:sz w:val="22"/>
          <w:szCs w:val="22"/>
        </w:rPr>
        <w:t xml:space="preserve"> The plan effectively integrates public, private, and philanthropic funds into a single investment fund aimed at maximizing the impact on affordable housing development. However, the critical discussion should consider whether these funds will be</w:t>
      </w:r>
      <w:r w:rsidR="00E451E7" w:rsidRPr="00BD2C08">
        <w:rPr>
          <w:rFonts w:ascii="Times New Roman" w:hAnsi="Times New Roman" w:cs="Times New Roman"/>
          <w:sz w:val="22"/>
          <w:szCs w:val="22"/>
        </w:rPr>
        <w:t xml:space="preserve"> readily</w:t>
      </w:r>
      <w:r w:rsidRPr="00BD2C08">
        <w:rPr>
          <w:rFonts w:ascii="Times New Roman" w:hAnsi="Times New Roman" w:cs="Times New Roman"/>
          <w:sz w:val="22"/>
          <w:szCs w:val="22"/>
        </w:rPr>
        <w:t xml:space="preserve"> accessible to meet immediate needs. The complexity of managing such a diverse capital stack may introduce delays or inefficiencies that could impede the rapid deployment of housing projects.</w:t>
      </w:r>
    </w:p>
    <w:p w14:paraId="04AC6FA9" w14:textId="4EA11FFA" w:rsidR="006B45AC" w:rsidRPr="00BD2C08" w:rsidRDefault="006B45AC" w:rsidP="006B45AC">
      <w:pPr>
        <w:rPr>
          <w:rFonts w:ascii="Times New Roman" w:hAnsi="Times New Roman" w:cs="Times New Roman"/>
          <w:sz w:val="22"/>
          <w:szCs w:val="22"/>
        </w:rPr>
      </w:pPr>
      <w:r w:rsidRPr="00BD2C08">
        <w:rPr>
          <w:rFonts w:ascii="Times New Roman" w:hAnsi="Times New Roman" w:cs="Times New Roman"/>
          <w:b/>
          <w:bCs/>
          <w:i/>
          <w:iCs/>
          <w:sz w:val="22"/>
          <w:szCs w:val="22"/>
        </w:rPr>
        <w:t>Long-term Impact</w:t>
      </w:r>
      <w:r w:rsidRPr="00BD2C08">
        <w:rPr>
          <w:rFonts w:ascii="Times New Roman" w:hAnsi="Times New Roman" w:cs="Times New Roman"/>
          <w:sz w:val="22"/>
          <w:szCs w:val="22"/>
        </w:rPr>
        <w:t>: The budget proposal is robust in its scope and innovative in its approach to financing, which could potentially transform Miami's housing landscape significantly. However, the long-term sustainability of the funding model, especially in terms of replenishment and continuous capital inflow as outlined, is optimistic and requires constant management vigilance and adaptability to changing economic conditions.</w:t>
      </w:r>
    </w:p>
    <w:p w14:paraId="74C32D37" w14:textId="25930FAA" w:rsidR="00417F36" w:rsidRPr="00BD2C08" w:rsidRDefault="006B45AC" w:rsidP="00775A1F">
      <w:pPr>
        <w:rPr>
          <w:rFonts w:ascii="Times New Roman" w:hAnsi="Times New Roman" w:cs="Times New Roman"/>
          <w:sz w:val="22"/>
          <w:szCs w:val="22"/>
        </w:rPr>
      </w:pPr>
      <w:r w:rsidRPr="00BD2C08">
        <w:rPr>
          <w:rFonts w:ascii="Times New Roman" w:hAnsi="Times New Roman" w:cs="Times New Roman"/>
          <w:b/>
          <w:bCs/>
          <w:i/>
          <w:iCs/>
          <w:sz w:val="22"/>
          <w:szCs w:val="22"/>
        </w:rPr>
        <w:t>Regulatory and Administrative Challenges:</w:t>
      </w:r>
      <w:r w:rsidRPr="00BD2C08">
        <w:rPr>
          <w:rFonts w:ascii="Times New Roman" w:hAnsi="Times New Roman" w:cs="Times New Roman"/>
          <w:sz w:val="22"/>
          <w:szCs w:val="22"/>
        </w:rPr>
        <w:t xml:space="preserve"> The effectiveness of the budget will also be impacted by the plan's ability to streamline housing development processes through zoning changes, permitting process </w:t>
      </w:r>
      <w:r w:rsidRPr="00BD2C08">
        <w:rPr>
          <w:rFonts w:ascii="Times New Roman" w:hAnsi="Times New Roman" w:cs="Times New Roman"/>
          <w:sz w:val="22"/>
          <w:szCs w:val="22"/>
        </w:rPr>
        <w:lastRenderedPageBreak/>
        <w:t>simplifications, and fee reductions. While these measures are intended to expedite development, they require effective coordination with various city departments and could face bureaucratic hurdles.</w:t>
      </w:r>
    </w:p>
    <w:p w14:paraId="7F415055" w14:textId="10F58F10" w:rsidR="00A077B1" w:rsidRPr="00BD2C08" w:rsidRDefault="00A077B1" w:rsidP="00775A1F">
      <w:pPr>
        <w:rPr>
          <w:rFonts w:ascii="Times New Roman" w:hAnsi="Times New Roman" w:cs="Times New Roman"/>
          <w:sz w:val="22"/>
          <w:szCs w:val="22"/>
        </w:rPr>
      </w:pPr>
      <w:r w:rsidRPr="00BD2C08">
        <w:rPr>
          <w:rFonts w:ascii="Times New Roman" w:hAnsi="Times New Roman" w:cs="Times New Roman"/>
          <w:sz w:val="22"/>
          <w:szCs w:val="22"/>
        </w:rPr>
        <w:t xml:space="preserve">The </w:t>
      </w:r>
      <w:r w:rsidR="00865872" w:rsidRPr="00BD2C08">
        <w:rPr>
          <w:rFonts w:ascii="Times New Roman" w:hAnsi="Times New Roman" w:cs="Times New Roman"/>
          <w:sz w:val="22"/>
          <w:szCs w:val="22"/>
        </w:rPr>
        <w:t xml:space="preserve">City of Miami’s </w:t>
      </w:r>
      <w:r w:rsidRPr="00BD2C08">
        <w:rPr>
          <w:rFonts w:ascii="Times New Roman" w:hAnsi="Times New Roman" w:cs="Times New Roman"/>
          <w:sz w:val="22"/>
          <w:szCs w:val="22"/>
        </w:rPr>
        <w:t xml:space="preserve">Affordable Housing Master Plan is informed by the city's historical efforts to mitigate the housing affordability crisis. The plan acknowledges that despite past initiatives, the rapid loss of affordable housing continues to escalate, requiring a renewed and robust approach. </w:t>
      </w:r>
      <w:r w:rsidR="002777E3" w:rsidRPr="00BD2C08">
        <w:rPr>
          <w:rFonts w:ascii="Times New Roman" w:hAnsi="Times New Roman" w:cs="Times New Roman"/>
          <w:sz w:val="22"/>
          <w:szCs w:val="22"/>
        </w:rPr>
        <w:t>Overall, the Miami Affordable Housing Master Plan's budget proposal is a forward-thinking and strategically layered approach to tackling one of the city’s most pressing issues. It aligns financial mechanisms with the practical aspects of housing development, creating a comprehensive framework that has the potential to significantly alleviate the housing affordability crisis. However, the realization of these goals will depend heavily on the plan’s implementation, the stability of funding sources, and the city's ability to navigate potential regulatory and economic challenges. The plan directly addresses the identified problems, but its success will ultimately require rigorous management, transparency in operations, and continuous evaluation to adapt to unforeseen economic and social changes.</w:t>
      </w:r>
    </w:p>
    <w:p w14:paraId="7FF4E013" w14:textId="77777777" w:rsidR="00775A1F" w:rsidRPr="003723E9" w:rsidRDefault="00775A1F" w:rsidP="00C46C6F">
      <w:pPr>
        <w:rPr>
          <w:rFonts w:ascii="Times New Roman" w:hAnsi="Times New Roman" w:cs="Times New Roman"/>
        </w:rPr>
      </w:pPr>
    </w:p>
    <w:p w14:paraId="33BBC337" w14:textId="77777777" w:rsidR="00782BC4" w:rsidRPr="005F0C7B" w:rsidRDefault="00782BC4" w:rsidP="00C46C6F">
      <w:pPr>
        <w:rPr>
          <w:rFonts w:ascii="Times New Roman" w:hAnsi="Times New Roman" w:cs="Times New Roman"/>
        </w:rPr>
      </w:pPr>
    </w:p>
    <w:p w14:paraId="2831769E" w14:textId="77777777" w:rsidR="006111BD" w:rsidRDefault="006111BD" w:rsidP="00C46C6F">
      <w:pPr>
        <w:rPr>
          <w:rFonts w:ascii="Times New Roman" w:hAnsi="Times New Roman" w:cs="Times New Roman"/>
        </w:rPr>
      </w:pPr>
    </w:p>
    <w:p w14:paraId="7B95DDAA" w14:textId="77777777" w:rsidR="006111BD" w:rsidRDefault="006111BD" w:rsidP="00C46C6F">
      <w:pPr>
        <w:rPr>
          <w:rFonts w:ascii="Times New Roman" w:hAnsi="Times New Roman" w:cs="Times New Roman"/>
        </w:rPr>
      </w:pPr>
    </w:p>
    <w:p w14:paraId="3B4907E5" w14:textId="77777777" w:rsidR="006111BD" w:rsidRDefault="006111BD" w:rsidP="00C46C6F">
      <w:pPr>
        <w:rPr>
          <w:rFonts w:ascii="Times New Roman" w:hAnsi="Times New Roman" w:cs="Times New Roman"/>
        </w:rPr>
      </w:pPr>
    </w:p>
    <w:p w14:paraId="2990140A" w14:textId="77777777" w:rsidR="006111BD" w:rsidRDefault="006111BD" w:rsidP="00C46C6F">
      <w:pPr>
        <w:rPr>
          <w:rFonts w:ascii="Times New Roman" w:hAnsi="Times New Roman" w:cs="Times New Roman"/>
        </w:rPr>
      </w:pPr>
    </w:p>
    <w:p w14:paraId="5B3D1EE0" w14:textId="3DE33AA9" w:rsidR="00BD5BFC" w:rsidRDefault="00BD5BFC" w:rsidP="00782DDB">
      <w:pPr>
        <w:rPr>
          <w:rFonts w:ascii="Times New Roman" w:hAnsi="Times New Roman" w:cs="Times New Roman"/>
        </w:rPr>
      </w:pPr>
    </w:p>
    <w:sectPr w:rsidR="00BD5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D3C12" w14:textId="77777777" w:rsidR="00A35E3E" w:rsidRDefault="00A35E3E" w:rsidP="00CE0134">
      <w:pPr>
        <w:spacing w:after="0" w:line="240" w:lineRule="auto"/>
      </w:pPr>
      <w:r>
        <w:separator/>
      </w:r>
    </w:p>
  </w:endnote>
  <w:endnote w:type="continuationSeparator" w:id="0">
    <w:p w14:paraId="00B52DBE" w14:textId="77777777" w:rsidR="00A35E3E" w:rsidRDefault="00A35E3E" w:rsidP="00CE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9813A" w14:textId="77777777" w:rsidR="00A35E3E" w:rsidRDefault="00A35E3E" w:rsidP="00CE0134">
      <w:pPr>
        <w:spacing w:after="0" w:line="240" w:lineRule="auto"/>
      </w:pPr>
      <w:r>
        <w:separator/>
      </w:r>
    </w:p>
  </w:footnote>
  <w:footnote w:type="continuationSeparator" w:id="0">
    <w:p w14:paraId="1AE6B23D" w14:textId="77777777" w:rsidR="00A35E3E" w:rsidRDefault="00A35E3E" w:rsidP="00CE0134">
      <w:pPr>
        <w:spacing w:after="0" w:line="240" w:lineRule="auto"/>
      </w:pPr>
      <w:r>
        <w:continuationSeparator/>
      </w:r>
    </w:p>
  </w:footnote>
  <w:footnote w:id="1">
    <w:p w14:paraId="59E336AB" w14:textId="02B9770B" w:rsidR="00734E74" w:rsidRDefault="00734E74">
      <w:pPr>
        <w:pStyle w:val="FootnoteText"/>
      </w:pPr>
      <w:r>
        <w:rPr>
          <w:rStyle w:val="FootnoteReference"/>
        </w:rPr>
        <w:footnoteRef/>
      </w:r>
      <w:r w:rsidRPr="00D10C72">
        <w:rPr>
          <w:rFonts w:ascii="Times New Roman" w:hAnsi="Times New Roman" w:cs="Times New Roman"/>
        </w:rPr>
        <w:t xml:space="preserve"> </w:t>
      </w:r>
      <w:r w:rsidR="00D1282C" w:rsidRPr="00D10C72">
        <w:rPr>
          <w:rFonts w:ascii="Times New Roman" w:hAnsi="Times New Roman" w:cs="Times New Roman"/>
          <w:color w:val="0D0D0D"/>
          <w:sz w:val="16"/>
          <w:szCs w:val="16"/>
          <w:shd w:val="clear" w:color="auto" w:fill="FFFFFF"/>
        </w:rPr>
        <w:t>City of Miami</w:t>
      </w:r>
      <w:r w:rsidRPr="00D10C72">
        <w:rPr>
          <w:rFonts w:ascii="Times New Roman" w:hAnsi="Times New Roman" w:cs="Times New Roman"/>
          <w:color w:val="0D0D0D"/>
          <w:sz w:val="16"/>
          <w:szCs w:val="16"/>
          <w:shd w:val="clear" w:color="auto" w:fill="FFFFFF"/>
        </w:rPr>
        <w:t>, "</w:t>
      </w:r>
      <w:r w:rsidR="00D10C72" w:rsidRPr="00D10C72">
        <w:rPr>
          <w:rFonts w:ascii="Times New Roman" w:hAnsi="Times New Roman" w:cs="Times New Roman"/>
          <w:color w:val="0D0D0D"/>
          <w:sz w:val="16"/>
          <w:szCs w:val="16"/>
          <w:shd w:val="clear" w:color="auto" w:fill="FFFFFF"/>
        </w:rPr>
        <w:t>Miami Affordable Housing Master Plan</w:t>
      </w:r>
      <w:r w:rsidRPr="00D10C72">
        <w:rPr>
          <w:rFonts w:ascii="Times New Roman" w:hAnsi="Times New Roman" w:cs="Times New Roman"/>
          <w:color w:val="0D0D0D"/>
          <w:sz w:val="16"/>
          <w:szCs w:val="16"/>
          <w:shd w:val="clear" w:color="auto" w:fill="FFFFFF"/>
        </w:rPr>
        <w:t>," 0</w:t>
      </w:r>
      <w:r w:rsidR="00D10C72" w:rsidRPr="00D10C72">
        <w:rPr>
          <w:rFonts w:ascii="Times New Roman" w:hAnsi="Times New Roman" w:cs="Times New Roman"/>
          <w:color w:val="0D0D0D"/>
          <w:sz w:val="16"/>
          <w:szCs w:val="16"/>
          <w:shd w:val="clear" w:color="auto" w:fill="FFFFFF"/>
        </w:rPr>
        <w:t>5</w:t>
      </w:r>
      <w:r w:rsidR="00422491">
        <w:rPr>
          <w:rFonts w:ascii="Times New Roman" w:hAnsi="Times New Roman" w:cs="Times New Roman"/>
          <w:color w:val="0D0D0D"/>
          <w:sz w:val="16"/>
          <w:szCs w:val="16"/>
          <w:shd w:val="clear" w:color="auto" w:fill="FFFFFF"/>
        </w:rPr>
        <w:t>.</w:t>
      </w:r>
    </w:p>
  </w:footnote>
  <w:footnote w:id="2">
    <w:p w14:paraId="4FF96E7D" w14:textId="4A358844" w:rsidR="00D10C72" w:rsidRDefault="00D10C72">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City of Miami, "Miami Affordable Housing Master Plan," 05</w:t>
      </w:r>
      <w:r w:rsidR="00422491">
        <w:rPr>
          <w:rFonts w:ascii="Times New Roman" w:hAnsi="Times New Roman" w:cs="Times New Roman"/>
          <w:color w:val="0D0D0D"/>
          <w:sz w:val="16"/>
          <w:szCs w:val="16"/>
          <w:shd w:val="clear" w:color="auto" w:fill="FFFFFF"/>
        </w:rPr>
        <w:t>.</w:t>
      </w:r>
    </w:p>
  </w:footnote>
  <w:footnote w:id="3">
    <w:p w14:paraId="2B9DA0D7" w14:textId="62C399D7" w:rsidR="007A7D55" w:rsidRDefault="007A7D55">
      <w:pPr>
        <w:pStyle w:val="FootnoteText"/>
      </w:pPr>
      <w:r>
        <w:rPr>
          <w:rStyle w:val="FootnoteReference"/>
        </w:rPr>
        <w:footnoteRef/>
      </w:r>
      <w:r>
        <w:t xml:space="preserve"> </w:t>
      </w:r>
      <w:r w:rsidRPr="007A7D55">
        <w:rPr>
          <w:rFonts w:ascii="Times New Roman" w:hAnsi="Times New Roman" w:cs="Times New Roman"/>
          <w:sz w:val="16"/>
          <w:szCs w:val="16"/>
        </w:rPr>
        <w:t>"</w:t>
      </w:r>
      <w:proofErr w:type="spellStart"/>
      <w:r w:rsidRPr="007A7D55">
        <w:rPr>
          <w:rFonts w:ascii="Times New Roman" w:hAnsi="Times New Roman" w:cs="Times New Roman"/>
          <w:sz w:val="16"/>
          <w:szCs w:val="16"/>
        </w:rPr>
        <w:t>RealtyHop</w:t>
      </w:r>
      <w:proofErr w:type="spellEnd"/>
      <w:r w:rsidRPr="007A7D55">
        <w:rPr>
          <w:rFonts w:ascii="Times New Roman" w:hAnsi="Times New Roman" w:cs="Times New Roman"/>
          <w:sz w:val="16"/>
          <w:szCs w:val="16"/>
        </w:rPr>
        <w:t xml:space="preserve"> Housing Affordability Index: December 2022." </w:t>
      </w:r>
      <w:proofErr w:type="spellStart"/>
      <w:r w:rsidRPr="007A7D55">
        <w:rPr>
          <w:rFonts w:ascii="Times New Roman" w:hAnsi="Times New Roman" w:cs="Times New Roman"/>
          <w:sz w:val="16"/>
          <w:szCs w:val="16"/>
        </w:rPr>
        <w:t>RealtyHop</w:t>
      </w:r>
      <w:proofErr w:type="spellEnd"/>
      <w:r w:rsidRPr="007A7D55">
        <w:rPr>
          <w:rFonts w:ascii="Times New Roman" w:hAnsi="Times New Roman" w:cs="Times New Roman"/>
          <w:sz w:val="16"/>
          <w:szCs w:val="16"/>
        </w:rPr>
        <w:t>. Accessed April 13, 2024. https://www.realtyhop.com/blog/realtyhop-housing-affordability-index-december-2022/.</w:t>
      </w:r>
    </w:p>
  </w:footnote>
  <w:footnote w:id="4">
    <w:p w14:paraId="489C3C99" w14:textId="1C001515" w:rsidR="00D85804" w:rsidRDefault="00D85804">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 xml:space="preserve">City of Miami, "Miami Affordable Housing Master Plan," </w:t>
      </w:r>
      <w:r w:rsidR="000607B1">
        <w:rPr>
          <w:rFonts w:ascii="Times New Roman" w:hAnsi="Times New Roman" w:cs="Times New Roman"/>
          <w:color w:val="0D0D0D"/>
          <w:sz w:val="16"/>
          <w:szCs w:val="16"/>
          <w:shd w:val="clear" w:color="auto" w:fill="FFFFFF"/>
        </w:rPr>
        <w:t>16</w:t>
      </w:r>
      <w:r w:rsidR="00422491">
        <w:rPr>
          <w:rFonts w:ascii="Times New Roman" w:hAnsi="Times New Roman" w:cs="Times New Roman"/>
          <w:color w:val="0D0D0D"/>
          <w:sz w:val="16"/>
          <w:szCs w:val="16"/>
          <w:shd w:val="clear" w:color="auto" w:fill="FFFFFF"/>
        </w:rPr>
        <w:t>.</w:t>
      </w:r>
    </w:p>
  </w:footnote>
  <w:footnote w:id="5">
    <w:p w14:paraId="5620E607" w14:textId="295AD091" w:rsidR="000607B1" w:rsidRDefault="000607B1">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 xml:space="preserve">City of Miami, "Miami Affordable Housing Master Plan," </w:t>
      </w:r>
      <w:r w:rsidR="008E6CCC">
        <w:rPr>
          <w:rFonts w:ascii="Times New Roman" w:hAnsi="Times New Roman" w:cs="Times New Roman"/>
          <w:color w:val="0D0D0D"/>
          <w:sz w:val="16"/>
          <w:szCs w:val="16"/>
          <w:shd w:val="clear" w:color="auto" w:fill="FFFFFF"/>
        </w:rPr>
        <w:t>50</w:t>
      </w:r>
      <w:r w:rsidR="00422491">
        <w:rPr>
          <w:rFonts w:ascii="Times New Roman" w:hAnsi="Times New Roman" w:cs="Times New Roman"/>
          <w:color w:val="0D0D0D"/>
          <w:sz w:val="16"/>
          <w:szCs w:val="16"/>
          <w:shd w:val="clear" w:color="auto" w:fill="FFFFFF"/>
        </w:rPr>
        <w:t>.</w:t>
      </w:r>
    </w:p>
  </w:footnote>
  <w:footnote w:id="6">
    <w:p w14:paraId="4AA79A06" w14:textId="53316775" w:rsidR="008E6CCC" w:rsidRDefault="008E6CCC">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 xml:space="preserve">City of Miami, "Miami Affordable Housing Master Plan," </w:t>
      </w:r>
      <w:r w:rsidR="00422491">
        <w:rPr>
          <w:rFonts w:ascii="Times New Roman" w:hAnsi="Times New Roman" w:cs="Times New Roman"/>
          <w:color w:val="0D0D0D"/>
          <w:sz w:val="16"/>
          <w:szCs w:val="16"/>
          <w:shd w:val="clear" w:color="auto" w:fill="FFFFFF"/>
        </w:rPr>
        <w:t>69-71.</w:t>
      </w:r>
    </w:p>
  </w:footnote>
  <w:footnote w:id="7">
    <w:p w14:paraId="332144F2" w14:textId="3A9FD176" w:rsidR="00563926" w:rsidRDefault="00563926">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 xml:space="preserve">City of Miami, "Miami Affordable Housing Master Plan," </w:t>
      </w:r>
      <w:r w:rsidR="000552D9">
        <w:rPr>
          <w:rFonts w:ascii="Times New Roman" w:hAnsi="Times New Roman" w:cs="Times New Roman"/>
          <w:color w:val="0D0D0D"/>
          <w:sz w:val="16"/>
          <w:szCs w:val="16"/>
          <w:shd w:val="clear" w:color="auto" w:fill="FFFFFF"/>
        </w:rPr>
        <w:t>10, 50-54.</w:t>
      </w:r>
    </w:p>
  </w:footnote>
  <w:footnote w:id="8">
    <w:p w14:paraId="4B20F567" w14:textId="489E1729" w:rsidR="00E168E3" w:rsidRDefault="00E168E3">
      <w:pPr>
        <w:pStyle w:val="FootnoteText"/>
      </w:pPr>
      <w:r>
        <w:rPr>
          <w:rStyle w:val="FootnoteReference"/>
        </w:rPr>
        <w:footnoteRef/>
      </w:r>
      <w:r>
        <w:t xml:space="preserve"> </w:t>
      </w:r>
      <w:r w:rsidRPr="00D10C72">
        <w:rPr>
          <w:rFonts w:ascii="Times New Roman" w:hAnsi="Times New Roman" w:cs="Times New Roman"/>
          <w:color w:val="0D0D0D"/>
          <w:sz w:val="16"/>
          <w:szCs w:val="16"/>
          <w:shd w:val="clear" w:color="auto" w:fill="FFFFFF"/>
        </w:rPr>
        <w:t>City of Miami, "Miami Affordable Housing Master Plan,"</w:t>
      </w:r>
      <w:r w:rsidR="007E507A">
        <w:rPr>
          <w:rFonts w:ascii="Times New Roman" w:hAnsi="Times New Roman" w:cs="Times New Roman"/>
          <w:color w:val="0D0D0D"/>
          <w:sz w:val="16"/>
          <w:szCs w:val="16"/>
          <w:shd w:val="clear" w:color="auto" w:fill="FFFFFF"/>
        </w:rPr>
        <w:t xml:space="preserve"> 55-64.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56257"/>
    <w:multiLevelType w:val="hybridMultilevel"/>
    <w:tmpl w:val="C06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23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F3"/>
    <w:rsid w:val="00002179"/>
    <w:rsid w:val="00002B30"/>
    <w:rsid w:val="000069A5"/>
    <w:rsid w:val="00012A35"/>
    <w:rsid w:val="00012B78"/>
    <w:rsid w:val="0001335D"/>
    <w:rsid w:val="000154E8"/>
    <w:rsid w:val="00025908"/>
    <w:rsid w:val="000319E1"/>
    <w:rsid w:val="00047681"/>
    <w:rsid w:val="00050D88"/>
    <w:rsid w:val="0005258B"/>
    <w:rsid w:val="000552D9"/>
    <w:rsid w:val="00055786"/>
    <w:rsid w:val="000607B1"/>
    <w:rsid w:val="00065608"/>
    <w:rsid w:val="00067245"/>
    <w:rsid w:val="000766ED"/>
    <w:rsid w:val="000872F1"/>
    <w:rsid w:val="000914E3"/>
    <w:rsid w:val="00093B31"/>
    <w:rsid w:val="00095477"/>
    <w:rsid w:val="000A08AE"/>
    <w:rsid w:val="000B0DBE"/>
    <w:rsid w:val="000C1C4C"/>
    <w:rsid w:val="000C2965"/>
    <w:rsid w:val="000C4057"/>
    <w:rsid w:val="000C48A4"/>
    <w:rsid w:val="000C4957"/>
    <w:rsid w:val="000C5C7E"/>
    <w:rsid w:val="000C6E76"/>
    <w:rsid w:val="000F0BB6"/>
    <w:rsid w:val="000F2DD3"/>
    <w:rsid w:val="000F5463"/>
    <w:rsid w:val="00100960"/>
    <w:rsid w:val="00112C01"/>
    <w:rsid w:val="0012061B"/>
    <w:rsid w:val="0012462D"/>
    <w:rsid w:val="00130869"/>
    <w:rsid w:val="0013323B"/>
    <w:rsid w:val="00134B8B"/>
    <w:rsid w:val="00136CDF"/>
    <w:rsid w:val="0014605F"/>
    <w:rsid w:val="001464E5"/>
    <w:rsid w:val="00152922"/>
    <w:rsid w:val="001572DF"/>
    <w:rsid w:val="001629C3"/>
    <w:rsid w:val="00163701"/>
    <w:rsid w:val="00165324"/>
    <w:rsid w:val="0017075D"/>
    <w:rsid w:val="0017351D"/>
    <w:rsid w:val="00174781"/>
    <w:rsid w:val="00174B5A"/>
    <w:rsid w:val="00197FDD"/>
    <w:rsid w:val="001D18A4"/>
    <w:rsid w:val="001D3E82"/>
    <w:rsid w:val="001E0BED"/>
    <w:rsid w:val="001F51E8"/>
    <w:rsid w:val="001F7EC5"/>
    <w:rsid w:val="00203BC1"/>
    <w:rsid w:val="002049AB"/>
    <w:rsid w:val="00207862"/>
    <w:rsid w:val="002132C7"/>
    <w:rsid w:val="0022039D"/>
    <w:rsid w:val="00226FB4"/>
    <w:rsid w:val="0023304D"/>
    <w:rsid w:val="00233960"/>
    <w:rsid w:val="00242A60"/>
    <w:rsid w:val="00267EF0"/>
    <w:rsid w:val="002777E3"/>
    <w:rsid w:val="00284348"/>
    <w:rsid w:val="002A1257"/>
    <w:rsid w:val="002A2CBB"/>
    <w:rsid w:val="002B1398"/>
    <w:rsid w:val="002C3533"/>
    <w:rsid w:val="002C3CBA"/>
    <w:rsid w:val="002D041E"/>
    <w:rsid w:val="002E0CE7"/>
    <w:rsid w:val="00316454"/>
    <w:rsid w:val="003205D0"/>
    <w:rsid w:val="00320B19"/>
    <w:rsid w:val="00321A2A"/>
    <w:rsid w:val="00321F8E"/>
    <w:rsid w:val="00327DA9"/>
    <w:rsid w:val="00330979"/>
    <w:rsid w:val="00333962"/>
    <w:rsid w:val="00333CB0"/>
    <w:rsid w:val="0033688E"/>
    <w:rsid w:val="00336D0E"/>
    <w:rsid w:val="003525CB"/>
    <w:rsid w:val="00353203"/>
    <w:rsid w:val="003723E9"/>
    <w:rsid w:val="003743A7"/>
    <w:rsid w:val="00390958"/>
    <w:rsid w:val="003957DB"/>
    <w:rsid w:val="003A1DDC"/>
    <w:rsid w:val="003B6BE3"/>
    <w:rsid w:val="003C2A17"/>
    <w:rsid w:val="003D0C53"/>
    <w:rsid w:val="003F202C"/>
    <w:rsid w:val="00401D0B"/>
    <w:rsid w:val="0040516B"/>
    <w:rsid w:val="00417F36"/>
    <w:rsid w:val="00422491"/>
    <w:rsid w:val="004309EA"/>
    <w:rsid w:val="00431222"/>
    <w:rsid w:val="0043221D"/>
    <w:rsid w:val="00432EE4"/>
    <w:rsid w:val="00467C6C"/>
    <w:rsid w:val="004708F1"/>
    <w:rsid w:val="0048069B"/>
    <w:rsid w:val="004821B2"/>
    <w:rsid w:val="004918F9"/>
    <w:rsid w:val="00496A40"/>
    <w:rsid w:val="004A3D6A"/>
    <w:rsid w:val="004A5E6C"/>
    <w:rsid w:val="004A624B"/>
    <w:rsid w:val="004B55CE"/>
    <w:rsid w:val="004B79B9"/>
    <w:rsid w:val="004C2A16"/>
    <w:rsid w:val="004C493E"/>
    <w:rsid w:val="004D0C84"/>
    <w:rsid w:val="004D16F6"/>
    <w:rsid w:val="004D28A0"/>
    <w:rsid w:val="004D4B97"/>
    <w:rsid w:val="004E2ED3"/>
    <w:rsid w:val="004F7590"/>
    <w:rsid w:val="00502D9F"/>
    <w:rsid w:val="005033A6"/>
    <w:rsid w:val="0051030B"/>
    <w:rsid w:val="005230BF"/>
    <w:rsid w:val="005320D4"/>
    <w:rsid w:val="00534A23"/>
    <w:rsid w:val="00556390"/>
    <w:rsid w:val="00556883"/>
    <w:rsid w:val="00563926"/>
    <w:rsid w:val="00570021"/>
    <w:rsid w:val="00572438"/>
    <w:rsid w:val="00574C3A"/>
    <w:rsid w:val="00593D82"/>
    <w:rsid w:val="005A1499"/>
    <w:rsid w:val="005A635A"/>
    <w:rsid w:val="005B190E"/>
    <w:rsid w:val="005B2C0F"/>
    <w:rsid w:val="005B53F4"/>
    <w:rsid w:val="005E0320"/>
    <w:rsid w:val="005E4C49"/>
    <w:rsid w:val="005E6906"/>
    <w:rsid w:val="005E7A23"/>
    <w:rsid w:val="005F0C7B"/>
    <w:rsid w:val="00603A53"/>
    <w:rsid w:val="00604076"/>
    <w:rsid w:val="006111BD"/>
    <w:rsid w:val="00611BF4"/>
    <w:rsid w:val="00623966"/>
    <w:rsid w:val="0062451B"/>
    <w:rsid w:val="006306E2"/>
    <w:rsid w:val="00633F7D"/>
    <w:rsid w:val="00634579"/>
    <w:rsid w:val="0064238D"/>
    <w:rsid w:val="00642B14"/>
    <w:rsid w:val="0064701B"/>
    <w:rsid w:val="00647483"/>
    <w:rsid w:val="0064750F"/>
    <w:rsid w:val="006478F5"/>
    <w:rsid w:val="006565B1"/>
    <w:rsid w:val="00666B33"/>
    <w:rsid w:val="006678AD"/>
    <w:rsid w:val="006725E8"/>
    <w:rsid w:val="0068620B"/>
    <w:rsid w:val="00693937"/>
    <w:rsid w:val="00695A08"/>
    <w:rsid w:val="00697335"/>
    <w:rsid w:val="006A7A20"/>
    <w:rsid w:val="006B2CA1"/>
    <w:rsid w:val="006B45AC"/>
    <w:rsid w:val="006D18B7"/>
    <w:rsid w:val="006D5C65"/>
    <w:rsid w:val="006D5E33"/>
    <w:rsid w:val="006E780E"/>
    <w:rsid w:val="006F6F38"/>
    <w:rsid w:val="00701CA4"/>
    <w:rsid w:val="00703F6F"/>
    <w:rsid w:val="00713C7F"/>
    <w:rsid w:val="00715AFE"/>
    <w:rsid w:val="00720CA9"/>
    <w:rsid w:val="00734E74"/>
    <w:rsid w:val="00735377"/>
    <w:rsid w:val="007373B0"/>
    <w:rsid w:val="00745451"/>
    <w:rsid w:val="00751FF3"/>
    <w:rsid w:val="007552B2"/>
    <w:rsid w:val="007644F3"/>
    <w:rsid w:val="00775A1F"/>
    <w:rsid w:val="00782BC4"/>
    <w:rsid w:val="00782DDB"/>
    <w:rsid w:val="007942C5"/>
    <w:rsid w:val="00795506"/>
    <w:rsid w:val="007A7D55"/>
    <w:rsid w:val="007C179E"/>
    <w:rsid w:val="007D354D"/>
    <w:rsid w:val="007D7930"/>
    <w:rsid w:val="007E507A"/>
    <w:rsid w:val="007F0D40"/>
    <w:rsid w:val="007F41A9"/>
    <w:rsid w:val="008018D4"/>
    <w:rsid w:val="00810E0A"/>
    <w:rsid w:val="00812333"/>
    <w:rsid w:val="008247AC"/>
    <w:rsid w:val="0083238E"/>
    <w:rsid w:val="00843BF3"/>
    <w:rsid w:val="00845AE9"/>
    <w:rsid w:val="00845DE3"/>
    <w:rsid w:val="0084651A"/>
    <w:rsid w:val="00850767"/>
    <w:rsid w:val="00865872"/>
    <w:rsid w:val="0088228A"/>
    <w:rsid w:val="00891D8F"/>
    <w:rsid w:val="008949EE"/>
    <w:rsid w:val="00897F81"/>
    <w:rsid w:val="008A1F32"/>
    <w:rsid w:val="008A3D42"/>
    <w:rsid w:val="008A71FC"/>
    <w:rsid w:val="008B5B3D"/>
    <w:rsid w:val="008B6E55"/>
    <w:rsid w:val="008C2085"/>
    <w:rsid w:val="008C2DA4"/>
    <w:rsid w:val="008C62DE"/>
    <w:rsid w:val="008C781D"/>
    <w:rsid w:val="008D0F32"/>
    <w:rsid w:val="008D50B3"/>
    <w:rsid w:val="008E6CCC"/>
    <w:rsid w:val="00906B83"/>
    <w:rsid w:val="009142E1"/>
    <w:rsid w:val="009248D8"/>
    <w:rsid w:val="009326B7"/>
    <w:rsid w:val="0093599D"/>
    <w:rsid w:val="00946936"/>
    <w:rsid w:val="00947146"/>
    <w:rsid w:val="0095031A"/>
    <w:rsid w:val="00956C57"/>
    <w:rsid w:val="009629F4"/>
    <w:rsid w:val="009825E6"/>
    <w:rsid w:val="009B696A"/>
    <w:rsid w:val="009B77A2"/>
    <w:rsid w:val="009C1A8E"/>
    <w:rsid w:val="009C3A98"/>
    <w:rsid w:val="009C4B42"/>
    <w:rsid w:val="009C570E"/>
    <w:rsid w:val="009C68DE"/>
    <w:rsid w:val="009D3E9A"/>
    <w:rsid w:val="009F2E02"/>
    <w:rsid w:val="009F4858"/>
    <w:rsid w:val="00A077B1"/>
    <w:rsid w:val="00A14E53"/>
    <w:rsid w:val="00A2027D"/>
    <w:rsid w:val="00A2299F"/>
    <w:rsid w:val="00A353FA"/>
    <w:rsid w:val="00A35E3E"/>
    <w:rsid w:val="00A649A4"/>
    <w:rsid w:val="00A65465"/>
    <w:rsid w:val="00A66D3D"/>
    <w:rsid w:val="00A7197F"/>
    <w:rsid w:val="00A96010"/>
    <w:rsid w:val="00A9674B"/>
    <w:rsid w:val="00A96B1F"/>
    <w:rsid w:val="00AC0240"/>
    <w:rsid w:val="00AC1928"/>
    <w:rsid w:val="00AC1DD2"/>
    <w:rsid w:val="00AE0142"/>
    <w:rsid w:val="00AF1282"/>
    <w:rsid w:val="00B05388"/>
    <w:rsid w:val="00B10F4A"/>
    <w:rsid w:val="00B2006B"/>
    <w:rsid w:val="00B262E9"/>
    <w:rsid w:val="00B324A0"/>
    <w:rsid w:val="00B34A5B"/>
    <w:rsid w:val="00B34BDE"/>
    <w:rsid w:val="00B40B80"/>
    <w:rsid w:val="00B42FEE"/>
    <w:rsid w:val="00B44BC5"/>
    <w:rsid w:val="00B456E7"/>
    <w:rsid w:val="00B46A96"/>
    <w:rsid w:val="00B4742C"/>
    <w:rsid w:val="00B52127"/>
    <w:rsid w:val="00B56438"/>
    <w:rsid w:val="00B64A61"/>
    <w:rsid w:val="00B81E95"/>
    <w:rsid w:val="00B84CD8"/>
    <w:rsid w:val="00B93D7C"/>
    <w:rsid w:val="00BA1DDE"/>
    <w:rsid w:val="00BA4CB4"/>
    <w:rsid w:val="00BB70CC"/>
    <w:rsid w:val="00BC3BFB"/>
    <w:rsid w:val="00BC7F9F"/>
    <w:rsid w:val="00BD2C08"/>
    <w:rsid w:val="00BD5BFC"/>
    <w:rsid w:val="00BD7C80"/>
    <w:rsid w:val="00C14CE1"/>
    <w:rsid w:val="00C16BC5"/>
    <w:rsid w:val="00C25083"/>
    <w:rsid w:val="00C26F34"/>
    <w:rsid w:val="00C31AEB"/>
    <w:rsid w:val="00C42AAF"/>
    <w:rsid w:val="00C46C6F"/>
    <w:rsid w:val="00C62175"/>
    <w:rsid w:val="00C820B4"/>
    <w:rsid w:val="00C8611F"/>
    <w:rsid w:val="00C92F58"/>
    <w:rsid w:val="00CA404F"/>
    <w:rsid w:val="00CB5979"/>
    <w:rsid w:val="00CC072E"/>
    <w:rsid w:val="00CC5192"/>
    <w:rsid w:val="00CE0134"/>
    <w:rsid w:val="00CE14AE"/>
    <w:rsid w:val="00CF016B"/>
    <w:rsid w:val="00CF6592"/>
    <w:rsid w:val="00CF7D75"/>
    <w:rsid w:val="00D022E8"/>
    <w:rsid w:val="00D07542"/>
    <w:rsid w:val="00D10C72"/>
    <w:rsid w:val="00D1282C"/>
    <w:rsid w:val="00D22FB2"/>
    <w:rsid w:val="00D33919"/>
    <w:rsid w:val="00D402D7"/>
    <w:rsid w:val="00D415C8"/>
    <w:rsid w:val="00D5033F"/>
    <w:rsid w:val="00D51D31"/>
    <w:rsid w:val="00D51E42"/>
    <w:rsid w:val="00D53096"/>
    <w:rsid w:val="00D55B52"/>
    <w:rsid w:val="00D61702"/>
    <w:rsid w:val="00D72ED0"/>
    <w:rsid w:val="00D7591C"/>
    <w:rsid w:val="00D76B9D"/>
    <w:rsid w:val="00D837A0"/>
    <w:rsid w:val="00D85804"/>
    <w:rsid w:val="00DA1B5F"/>
    <w:rsid w:val="00DA24FE"/>
    <w:rsid w:val="00DA2D7B"/>
    <w:rsid w:val="00DA398F"/>
    <w:rsid w:val="00DC19FB"/>
    <w:rsid w:val="00DC2CD7"/>
    <w:rsid w:val="00DE3F24"/>
    <w:rsid w:val="00DE57E9"/>
    <w:rsid w:val="00DE5AF9"/>
    <w:rsid w:val="00DE7860"/>
    <w:rsid w:val="00DF17C6"/>
    <w:rsid w:val="00E00D2E"/>
    <w:rsid w:val="00E12E46"/>
    <w:rsid w:val="00E168E3"/>
    <w:rsid w:val="00E2560C"/>
    <w:rsid w:val="00E343DF"/>
    <w:rsid w:val="00E37D09"/>
    <w:rsid w:val="00E442AA"/>
    <w:rsid w:val="00E4435A"/>
    <w:rsid w:val="00E451E7"/>
    <w:rsid w:val="00E601B5"/>
    <w:rsid w:val="00E6750A"/>
    <w:rsid w:val="00E72B5E"/>
    <w:rsid w:val="00E72EC6"/>
    <w:rsid w:val="00E77768"/>
    <w:rsid w:val="00E956CD"/>
    <w:rsid w:val="00E97F02"/>
    <w:rsid w:val="00EB2DDE"/>
    <w:rsid w:val="00EB3BD0"/>
    <w:rsid w:val="00EC020D"/>
    <w:rsid w:val="00EC44A8"/>
    <w:rsid w:val="00EC5AAB"/>
    <w:rsid w:val="00EC5CBD"/>
    <w:rsid w:val="00EE00C2"/>
    <w:rsid w:val="00EE0300"/>
    <w:rsid w:val="00EE22F2"/>
    <w:rsid w:val="00F00137"/>
    <w:rsid w:val="00F005B5"/>
    <w:rsid w:val="00F05FBB"/>
    <w:rsid w:val="00F1364C"/>
    <w:rsid w:val="00F26C42"/>
    <w:rsid w:val="00F416CB"/>
    <w:rsid w:val="00F642AD"/>
    <w:rsid w:val="00F67D57"/>
    <w:rsid w:val="00F872CE"/>
    <w:rsid w:val="00FA0975"/>
    <w:rsid w:val="00FA586C"/>
    <w:rsid w:val="00FC1730"/>
    <w:rsid w:val="00FD3156"/>
    <w:rsid w:val="00FD491D"/>
    <w:rsid w:val="00FE59CA"/>
    <w:rsid w:val="00FF4E4B"/>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290A5"/>
  <w15:chartTrackingRefBased/>
  <w15:docId w15:val="{9E8C1A3E-7AA2-44A2-BCB4-A42C710F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F3"/>
    <w:rPr>
      <w:rFonts w:eastAsiaTheme="majorEastAsia" w:cstheme="majorBidi"/>
      <w:color w:val="272727" w:themeColor="text1" w:themeTint="D8"/>
    </w:rPr>
  </w:style>
  <w:style w:type="paragraph" w:styleId="Title">
    <w:name w:val="Title"/>
    <w:basedOn w:val="Normal"/>
    <w:next w:val="Normal"/>
    <w:link w:val="TitleChar"/>
    <w:uiPriority w:val="10"/>
    <w:qFormat/>
    <w:rsid w:val="0076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4F3"/>
    <w:rPr>
      <w:i/>
      <w:iCs/>
      <w:color w:val="404040" w:themeColor="text1" w:themeTint="BF"/>
    </w:rPr>
  </w:style>
  <w:style w:type="paragraph" w:styleId="ListParagraph">
    <w:name w:val="List Paragraph"/>
    <w:basedOn w:val="Normal"/>
    <w:uiPriority w:val="34"/>
    <w:qFormat/>
    <w:rsid w:val="007644F3"/>
    <w:pPr>
      <w:ind w:left="720"/>
      <w:contextualSpacing/>
    </w:pPr>
  </w:style>
  <w:style w:type="character" w:styleId="IntenseEmphasis">
    <w:name w:val="Intense Emphasis"/>
    <w:basedOn w:val="DefaultParagraphFont"/>
    <w:uiPriority w:val="21"/>
    <w:qFormat/>
    <w:rsid w:val="007644F3"/>
    <w:rPr>
      <w:i/>
      <w:iCs/>
      <w:color w:val="0F4761" w:themeColor="accent1" w:themeShade="BF"/>
    </w:rPr>
  </w:style>
  <w:style w:type="paragraph" w:styleId="IntenseQuote">
    <w:name w:val="Intense Quote"/>
    <w:basedOn w:val="Normal"/>
    <w:next w:val="Normal"/>
    <w:link w:val="IntenseQuoteChar"/>
    <w:uiPriority w:val="30"/>
    <w:qFormat/>
    <w:rsid w:val="0076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F3"/>
    <w:rPr>
      <w:i/>
      <w:iCs/>
      <w:color w:val="0F4761" w:themeColor="accent1" w:themeShade="BF"/>
    </w:rPr>
  </w:style>
  <w:style w:type="character" w:styleId="IntenseReference">
    <w:name w:val="Intense Reference"/>
    <w:basedOn w:val="DefaultParagraphFont"/>
    <w:uiPriority w:val="32"/>
    <w:qFormat/>
    <w:rsid w:val="007644F3"/>
    <w:rPr>
      <w:b/>
      <w:bCs/>
      <w:smallCaps/>
      <w:color w:val="0F4761" w:themeColor="accent1" w:themeShade="BF"/>
      <w:spacing w:val="5"/>
    </w:rPr>
  </w:style>
  <w:style w:type="paragraph" w:styleId="FootnoteText">
    <w:name w:val="footnote text"/>
    <w:basedOn w:val="Normal"/>
    <w:link w:val="FootnoteTextChar"/>
    <w:uiPriority w:val="99"/>
    <w:semiHidden/>
    <w:unhideWhenUsed/>
    <w:rsid w:val="00CE01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134"/>
    <w:rPr>
      <w:sz w:val="20"/>
      <w:szCs w:val="20"/>
    </w:rPr>
  </w:style>
  <w:style w:type="character" w:styleId="FootnoteReference">
    <w:name w:val="footnote reference"/>
    <w:basedOn w:val="DefaultParagraphFont"/>
    <w:uiPriority w:val="99"/>
    <w:semiHidden/>
    <w:unhideWhenUsed/>
    <w:rsid w:val="00CE0134"/>
    <w:rPr>
      <w:vertAlign w:val="superscript"/>
    </w:rPr>
  </w:style>
  <w:style w:type="character" w:styleId="Hyperlink">
    <w:name w:val="Hyperlink"/>
    <w:basedOn w:val="DefaultParagraphFont"/>
    <w:uiPriority w:val="99"/>
    <w:semiHidden/>
    <w:unhideWhenUsed/>
    <w:rsid w:val="00CE0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0C8F-E6D6-4E99-BE18-2C6648A7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4</Pages>
  <Words>1645</Words>
  <Characters>10270</Characters>
  <Application>Microsoft Office Word</Application>
  <DocSecurity>0</DocSecurity>
  <Lines>133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Randall</dc:creator>
  <cp:keywords/>
  <dc:description/>
  <cp:lastModifiedBy>jarred Randall</cp:lastModifiedBy>
  <cp:revision>157</cp:revision>
  <dcterms:created xsi:type="dcterms:W3CDTF">2024-04-13T18:28:00Z</dcterms:created>
  <dcterms:modified xsi:type="dcterms:W3CDTF">2024-04-15T17:08:00Z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755da4399d82c8bc57db56bf509836ddc2a209df8853f6ae724dc1f3ae72c4bc</vt:lpwstr>
  </property>
</Properties>
</file>