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2145110585"/>
        <w:docPartObj>
          <w:docPartGallery w:val="AutoText"/>
        </w:docPartObj>
      </w:sdtPr>
      <w:sdtEndPr>
        <w:rPr>
          <w:rFonts w:ascii="Arial" w:hAnsi="Arial" w:cs="Arial"/>
          <w:b/>
          <w:bCs/>
          <w:color w:val="074F6A" w:themeColor="accent4" w:themeShade="80"/>
          <w:sz w:val="32"/>
          <w:szCs w:val="32"/>
          <w:u w:val="thick"/>
          <w:lang w:val="en-AU"/>
        </w:rPr>
      </w:sdtEndPr>
      <w:sdtContent>
        <w:p w14:paraId="3FBE5E82" w14:textId="77777777" w:rsidR="00DD74A5" w:rsidRPr="002A7F20" w:rsidRDefault="00000000">
          <w:pPr>
            <w:jc w:val="center"/>
            <w:rPr>
              <w:rFonts w:ascii="Arial" w:hAnsi="Arial" w:cs="Arial"/>
              <w:color w:val="FFFFFF" w:themeColor="background1"/>
              <w:sz w:val="48"/>
              <w:szCs w:val="48"/>
              <w:lang w:val="en-AU"/>
            </w:rPr>
          </w:pPr>
          <w:r w:rsidRPr="002A7F20">
            <w:rPr>
              <w:rFonts w:ascii="Arial" w:hAnsi="Arial" w:cs="Arial"/>
              <w:noProof/>
              <w:color w:val="FFFFFF" w:themeColor="background1"/>
              <w:sz w:val="48"/>
              <w:szCs w:val="48"/>
            </w:rPr>
            <mc:AlternateContent>
              <mc:Choice Requires="wpg">
                <w:drawing>
                  <wp:anchor distT="0" distB="0" distL="114300" distR="114300" simplePos="0" relativeHeight="251665408" behindDoc="1" locked="0" layoutInCell="1" allowOverlap="1" wp14:anchorId="3F8B76F5" wp14:editId="645F7270">
                    <wp:simplePos x="0" y="0"/>
                    <wp:positionH relativeFrom="page">
                      <wp:align>center</wp:align>
                    </wp:positionH>
                    <wp:positionV relativeFrom="page">
                      <wp:align>center</wp:align>
                    </wp:positionV>
                    <wp:extent cx="6864985" cy="9123680"/>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hAnsi="Arial" w:cs="Arial"/>
                                      <w:color w:val="FFFFFF" w:themeColor="background1"/>
                                      <w:sz w:val="36"/>
                                      <w:szCs w:val="36"/>
                                    </w:rPr>
                                    <w:alias w:val="Author"/>
                                    <w:id w:val="945428907"/>
                                    <w:dataBinding w:prefixMappings="xmlns:ns0='http://purl.org/dc/elements/1.1/' xmlns:ns1='http://schemas.openxmlformats.org/package/2006/metadata/core-properties' " w:xpath="/ns1:coreProperties[1]/ns0:creator[1]" w:storeItemID="{6C3C8BC8-F283-45AE-878A-BAB7291924A1}"/>
                                    <w:text/>
                                  </w:sdtPr>
                                  <w:sdtContent>
                                    <w:p w14:paraId="234CD9B9" w14:textId="77777777" w:rsidR="00DD74A5" w:rsidRDefault="00000000">
                                      <w:pPr>
                                        <w:pStyle w:val="NoSpacing"/>
                                        <w:spacing w:before="120"/>
                                        <w:jc w:val="center"/>
                                        <w:rPr>
                                          <w:rFonts w:ascii="Arial" w:hAnsi="Arial" w:cs="Arial"/>
                                          <w:color w:val="FFFFFF" w:themeColor="background1"/>
                                          <w:sz w:val="36"/>
                                          <w:szCs w:val="36"/>
                                        </w:rPr>
                                      </w:pPr>
                                      <w:r>
                                        <w:rPr>
                                          <w:rFonts w:ascii="Arial" w:hAnsi="Arial" w:cs="Arial"/>
                                          <w:color w:val="FFFFFF" w:themeColor="background1"/>
                                          <w:sz w:val="36"/>
                                          <w:szCs w:val="36"/>
                                        </w:rPr>
                                        <w:t>By Jarren Rowe Himawan (124040023), Mei Enran (125030053)</w:t>
                                      </w:r>
                                    </w:p>
                                  </w:sdtContent>
                                </w:sdt>
                                <w:p w14:paraId="56495038" w14:textId="77777777" w:rsidR="00DD74A5" w:rsidRDefault="00000000">
                                  <w:pPr>
                                    <w:pStyle w:val="NoSpacing"/>
                                    <w:spacing w:before="120"/>
                                    <w:jc w:val="center"/>
                                    <w:rPr>
                                      <w:rFonts w:ascii="Arial" w:hAnsi="Arial" w:cs="Arial"/>
                                      <w:color w:val="FFFFFF" w:themeColor="background1"/>
                                      <w:sz w:val="36"/>
                                      <w:szCs w:val="36"/>
                                    </w:rPr>
                                  </w:pPr>
                                  <w:sdt>
                                    <w:sdtPr>
                                      <w:rPr>
                                        <w:rFonts w:ascii="Arial" w:hAnsi="Arial" w:cs="Arial"/>
                                        <w:caps/>
                                        <w:color w:val="FFFFFF" w:themeColor="background1"/>
                                        <w:sz w:val="36"/>
                                        <w:szCs w:val="36"/>
                                      </w:rPr>
                                      <w:alias w:val="Company"/>
                                      <w:id w:val="1618182777"/>
                                      <w:showingPlcHdr/>
                                      <w:dataBinding w:prefixMappings="xmlns:ns0='http://schemas.openxmlformats.org/officeDocument/2006/extended-properties' " w:xpath="/ns0:Properties[1]/ns0:Company[1]" w:storeItemID="{6668398D-A668-4E3E-A5EB-62B293D839F1}"/>
                                      <w:text/>
                                    </w:sdtPr>
                                    <w:sdtContent>
                                      <w:r>
                                        <w:rPr>
                                          <w:rFonts w:ascii="Arial" w:hAnsi="Arial" w:cs="Arial"/>
                                          <w:caps/>
                                          <w:color w:val="FFFFFF" w:themeColor="background1"/>
                                          <w:sz w:val="36"/>
                                          <w:szCs w:val="36"/>
                                        </w:rPr>
                                        <w:t xml:space="preserve">     </w:t>
                                      </w:r>
                                    </w:sdtContent>
                                  </w:sdt>
                                  <w:r>
                                    <w:rPr>
                                      <w:rFonts w:ascii="Arial" w:hAnsi="Arial" w:cs="Arial"/>
                                      <w:color w:val="FFFFFF" w:themeColor="background1"/>
                                      <w:sz w:val="36"/>
                                      <w:szCs w:val="36"/>
                                    </w:rPr>
                                    <w:t>  </w:t>
                                  </w:r>
                                  <w:sdt>
                                    <w:sdtPr>
                                      <w:rPr>
                                        <w:rFonts w:ascii="Arial" w:hAnsi="Arial" w:cs="Arial"/>
                                        <w:color w:val="FFFFFF" w:themeColor="background1"/>
                                        <w:sz w:val="36"/>
                                        <w:szCs w:val="36"/>
                                      </w:rPr>
                                      <w:alias w:val="Address"/>
                                      <w:id w:val="-253358678"/>
                                      <w:showingPlcHdr/>
                                      <w:dataBinding w:prefixMappings="xmlns:ns0='http://schemas.microsoft.com/office/2006/coverPageProps' " w:xpath="/ns0:CoverPageProperties[1]/ns0:CompanyAddress[1]" w:storeItemID="{55AF091B-3C7A-41E3-B477-F2FDAA23CFDA}"/>
                                      <w:text/>
                                    </w:sdtPr>
                                    <w:sdtContent>
                                      <w:r>
                                        <w:rPr>
                                          <w:rFonts w:ascii="Arial" w:hAnsi="Arial" w:cs="Arial"/>
                                          <w:color w:val="FFFFFF" w:themeColor="background1"/>
                                          <w:sz w:val="36"/>
                                          <w:szCs w:val="36"/>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id w:val="-9991715"/>
                                    <w:showingPlcHdr/>
                                    <w:dataBinding w:prefixMappings="xmlns:ns0='http://purl.org/dc/elements/1.1/' xmlns:ns1='http://schemas.openxmlformats.org/package/2006/metadata/core-properties' " w:xpath="/ns1:coreProperties[1]/ns0:title[1]" w:storeItemID="{6C3C8BC8-F283-45AE-878A-BAB7291924A1}"/>
                                    <w:text/>
                                  </w:sdtPr>
                                  <w:sdtContent>
                                    <w:p w14:paraId="28C49111" w14:textId="77777777" w:rsidR="00DD74A5" w:rsidRDefault="00000000">
                                      <w:pPr>
                                        <w:pStyle w:val="NoSpacing"/>
                                        <w:rPr>
                                          <w:rFonts w:asciiTheme="majorHAnsi" w:eastAsiaTheme="majorEastAsia" w:hAnsiTheme="majorHAnsi" w:cstheme="majorBidi"/>
                                          <w:caps/>
                                          <w:color w:val="156082" w:themeColor="accent1"/>
                                          <w:sz w:val="72"/>
                                          <w:szCs w:val="72"/>
                                        </w:rPr>
                                      </w:pPr>
                                      <w:r>
                                        <w:t xml:space="preserve">     </w:t>
                                      </w:r>
                                    </w:p>
                                  </w:sdtContent>
                                </w:sdt>
                              </w:txbxContent>
                            </wps:txbx>
                            <wps:bodyPr rot="0" spcFirstLastPara="0" vertOverflow="overflow" horzOverflow="overflow" vert="horz" wrap="square" lIns="457200" tIns="91440" rIns="457200" bIns="91440" numCol="1" spcCol="0" rtlCol="0" fromWordArt="0" anchor="ctr" anchorCtr="0" forceAA="0" compatLnSpc="1">
                              <a:noAutofit/>
                            </wps:bodyPr>
                          </wps:wsp>
                        </wpg:wgp>
                      </a:graphicData>
                    </a:graphic>
                    <wp14:sizeRelH relativeFrom="page">
                      <wp14:pctWidth>88200</wp14:pctWidth>
                    </wp14:sizeRelH>
                    <wp14:sizeRelV relativeFrom="page">
                      <wp14:pctHeight>90900</wp14:pctHeight>
                    </wp14:sizeRelV>
                  </wp:anchor>
                </w:drawing>
              </mc:Choice>
              <mc:Fallback xmlns:wpsCustomData="http://www.wps.cn/officeDocument/2013/wpsCustomData">
                <w:pict>
                  <v:group id="Group 198" o:spid="_x0000_s1026" o:spt="203" style="position:absolute;left:0pt;height:718.4pt;width:540.55pt;mso-position-horizontal:center;mso-position-horizontal-relative:page;mso-position-vertical:center;mso-position-vertical-relative:page;z-index:-251651072;mso-width-relative:page;mso-height-relative:page;mso-width-percent:882;mso-height-percent:909;" coordsize="6864824,9123528" o:gfxdata="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AzlUxw1QAAAAcBAAAP&#10;AAAAAAAAAAEAIAAAACIAAABkcnMvZG93bnJldi54bWxQSwECFAAUAAAACACHTuJA6wb7gHEDAADf&#10;CwAADgAAAAAAAAABACAAAAAkAQAAZHJzL2Uyb0RvYy54bWxQSwUGAAAAAAYABgBZAQAABwcAAAAA&#10;">
                    <o:lock v:ext="edit" aspectratio="f"/>
                    <v:rect id="_x0000_s1026" o:spid="_x0000_s1026" o:spt="1" style="position:absolute;left:0;top:0;height:1371600;width:6858000;v-text-anchor:middle;" fillcolor="#156082 [3204]" filled="t" stroked="f" coordsize="21600,21600" o:gfxdata="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pBAO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_x0000_s1026" o:spid="_x0000_s1026" o:spt="1" style="position:absolute;left:0;top:4094328;height:5029200;width:6858000;v-text-anchor:bottom;" fillcolor="#156082 [3204]" filled="t" stroked="f" coordsize="21600,21600" o:gfxdata="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5sN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textbox inset="12.7mm,20.32mm,12.7mm,12.7mm">
                        <w:txbxContent>
                          <w:sdt>
                            <w:sdtPr>
                              <w:rPr>
                                <w:rFonts w:ascii="Arial" w:hAnsi="Arial" w:cs="Arial"/>
                                <w:color w:val="FFFFFF" w:themeColor="background1"/>
                                <w:sz w:val="36"/>
                                <w:szCs w:val="36"/>
                                <w14:textFill>
                                  <w14:solidFill>
                                    <w14:schemeClr w14:val="bg1"/>
                                  </w14:solidFill>
                                </w14:textFill>
                              </w:rPr>
                              <w:alias w:val="Author"/>
                              <w:id w:val="945428907"/>
                              <w:dataBinding w:prefixMappings="xmlns:ns0='http://purl.org/dc/elements/1.1/' xmlns:ns1='http://schemas.openxmlformats.org/package/2006/metadata/core-properties' " w:xpath="/ns1:coreProperties[1]/ns0:creator[1]" w:storeItemID="{6C3C8BC8-F283-45AE-878A-BAB7291924A1}"/>
                              <w:text/>
                            </w:sdtPr>
                            <w:sdtEndPr>
                              <w:rPr>
                                <w:rFonts w:ascii="Arial" w:hAnsi="Arial" w:cs="Arial"/>
                                <w:color w:val="FFFFFF" w:themeColor="background1"/>
                                <w:sz w:val="36"/>
                                <w:szCs w:val="36"/>
                                <w14:textFill>
                                  <w14:solidFill>
                                    <w14:schemeClr w14:val="bg1"/>
                                  </w14:solidFill>
                                </w14:textFill>
                              </w:rPr>
                            </w:sdtEndPr>
                            <w:sdtContent>
                              <w:p w14:paraId="74EA72AE">
                                <w:pPr>
                                  <w:pStyle w:val="41"/>
                                  <w:spacing w:before="120"/>
                                  <w:jc w:val="center"/>
                                  <w:rPr>
                                    <w:rFonts w:ascii="Arial" w:hAnsi="Arial" w:cs="Arial"/>
                                    <w:color w:val="FFFFFF" w:themeColor="background1"/>
                                    <w:sz w:val="36"/>
                                    <w:szCs w:val="36"/>
                                    <w14:textFill>
                                      <w14:solidFill>
                                        <w14:schemeClr w14:val="bg1"/>
                                      </w14:solidFill>
                                    </w14:textFill>
                                  </w:rPr>
                                </w:pPr>
                                <w:r>
                                  <w:rPr>
                                    <w:rFonts w:ascii="Arial" w:hAnsi="Arial" w:cs="Arial"/>
                                    <w:color w:val="FFFFFF" w:themeColor="background1"/>
                                    <w:sz w:val="36"/>
                                    <w:szCs w:val="36"/>
                                    <w:lang w:val="en-US"/>
                                    <w14:textFill>
                                      <w14:solidFill>
                                        <w14:schemeClr w14:val="bg1"/>
                                      </w14:solidFill>
                                    </w14:textFill>
                                  </w:rPr>
                                  <w:t>By Jarren Rowe Himawan (124040023), Mei Enran (125030053)</w:t>
                                </w:r>
                              </w:p>
                            </w:sdtContent>
                          </w:sdt>
                          <w:p w14:paraId="613E8594">
                            <w:pPr>
                              <w:pStyle w:val="41"/>
                              <w:spacing w:before="120"/>
                              <w:jc w:val="center"/>
                              <w:rPr>
                                <w:rFonts w:ascii="Arial" w:hAnsi="Arial" w:cs="Arial"/>
                                <w:color w:val="FFFFFF" w:themeColor="background1"/>
                                <w:sz w:val="36"/>
                                <w:szCs w:val="36"/>
                                <w14:textFill>
                                  <w14:solidFill>
                                    <w14:schemeClr w14:val="bg1"/>
                                  </w14:solidFill>
                                </w14:textFill>
                              </w:rPr>
                            </w:pPr>
                            <w:sdt>
                              <w:sdtPr>
                                <w:rPr>
                                  <w:rFonts w:ascii="Arial" w:hAnsi="Arial" w:cs="Arial"/>
                                  <w:caps/>
                                  <w:color w:val="FFFFFF" w:themeColor="background1"/>
                                  <w:sz w:val="36"/>
                                  <w:szCs w:val="36"/>
                                  <w14:textFill>
                                    <w14:solidFill>
                                      <w14:schemeClr w14:val="bg1"/>
                                    </w14:solidFill>
                                  </w14:textFill>
                                </w:rPr>
                                <w:alias w:val="Company"/>
                                <w:id w:val="1618182777"/>
                                <w:showingPlcHdr/>
                                <w:dataBinding w:prefixMappings="xmlns:ns0='http://schemas.openxmlformats.org/officeDocument/2006/extended-properties' " w:xpath="/ns0:Properties[1]/ns0:Company[1]" w:storeItemID="{6668398D-A668-4E3E-A5EB-62B293D839F1}"/>
                                <w:text/>
                              </w:sdtPr>
                              <w:sdtEndPr>
                                <w:rPr>
                                  <w:rFonts w:ascii="Arial" w:hAnsi="Arial" w:cs="Arial"/>
                                  <w:caps/>
                                  <w:color w:val="FFFFFF" w:themeColor="background1"/>
                                  <w:sz w:val="36"/>
                                  <w:szCs w:val="36"/>
                                  <w14:textFill>
                                    <w14:solidFill>
                                      <w14:schemeClr w14:val="bg1"/>
                                    </w14:solidFill>
                                  </w14:textFill>
                                </w:rPr>
                              </w:sdtEndPr>
                              <w:sdtContent>
                                <w:r>
                                  <w:rPr>
                                    <w:rFonts w:ascii="Arial" w:hAnsi="Arial" w:cs="Arial"/>
                                    <w:caps/>
                                    <w:color w:val="FFFFFF" w:themeColor="background1"/>
                                    <w:sz w:val="36"/>
                                    <w:szCs w:val="36"/>
                                    <w14:textFill>
                                      <w14:solidFill>
                                        <w14:schemeClr w14:val="bg1"/>
                                      </w14:solidFill>
                                    </w14:textFill>
                                  </w:rPr>
                                  <w:t xml:space="preserve">     </w:t>
                                </w:r>
                              </w:sdtContent>
                            </w:sdt>
                            <w:r>
                              <w:rPr>
                                <w:rFonts w:ascii="Arial" w:hAnsi="Arial" w:cs="Arial"/>
                                <w:color w:val="FFFFFF" w:themeColor="background1"/>
                                <w:sz w:val="36"/>
                                <w:szCs w:val="36"/>
                                <w14:textFill>
                                  <w14:solidFill>
                                    <w14:schemeClr w14:val="bg1"/>
                                  </w14:solidFill>
                                </w14:textFill>
                              </w:rPr>
                              <w:t>  </w:t>
                            </w:r>
                            <w:sdt>
                              <w:sdtPr>
                                <w:rPr>
                                  <w:rFonts w:ascii="Arial" w:hAnsi="Arial" w:cs="Arial"/>
                                  <w:color w:val="FFFFFF" w:themeColor="background1"/>
                                  <w:sz w:val="36"/>
                                  <w:szCs w:val="36"/>
                                  <w14:textFill>
                                    <w14:solidFill>
                                      <w14:schemeClr w14:val="bg1"/>
                                    </w14:solidFill>
                                  </w14:textFill>
                                </w:rPr>
                                <w:alias w:val="Address"/>
                                <w:id w:val="-253358678"/>
                                <w:showingPlcHdr/>
                                <w:dataBinding w:prefixMappings="xmlns:ns0='http://schemas.microsoft.com/office/2006/coverPageProps' " w:xpath="/ns0:CoverPageProperties[1]/ns0:CompanyAddress[1]" w:storeItemID="{55AF091B-3C7A-41E3-B477-F2FDAA23CFDA}"/>
                                <w:text/>
                              </w:sdtPr>
                              <w:sdtEndPr>
                                <w:rPr>
                                  <w:rFonts w:ascii="Arial" w:hAnsi="Arial" w:cs="Arial"/>
                                  <w:color w:val="FFFFFF" w:themeColor="background1"/>
                                  <w:sz w:val="36"/>
                                  <w:szCs w:val="36"/>
                                  <w14:textFill>
                                    <w14:solidFill>
                                      <w14:schemeClr w14:val="bg1"/>
                                    </w14:solidFill>
                                  </w14:textFill>
                                </w:rPr>
                              </w:sdtEndPr>
                              <w:sdtContent>
                                <w:r>
                                  <w:rPr>
                                    <w:rFonts w:ascii="Arial" w:hAnsi="Arial" w:cs="Arial"/>
                                    <w:color w:val="FFFFFF" w:themeColor="background1"/>
                                    <w:sz w:val="36"/>
                                    <w:szCs w:val="36"/>
                                    <w14:textFill>
                                      <w14:solidFill>
                                        <w14:schemeClr w14:val="bg1"/>
                                      </w14:solidFill>
                                    </w14:textFill>
                                  </w:rPr>
                                  <w:t xml:space="preserve">     </w:t>
                                </w:r>
                              </w:sdtContent>
                            </w:sdt>
                          </w:p>
                        </w:txbxContent>
                      </v:textbox>
                    </v:rect>
                    <v:shape id="_x0000_s1026" o:spid="_x0000_s1026" o:spt="202" type="#_x0000_t202" style="position:absolute;left:6824;top:1371600;height:2722728;width:6858000;v-text-anchor:middle;" fillcolor="#FFFFFF [3212]" filled="t" stroked="f" coordsize="21600,21600" o:gfxdata="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qwxgvQAA&#10;ANwAAAAPAAAAAAAAAAEAIAAAACIAAABkcnMvZG93bnJldi54bWxQSwECFAAUAAAACACHTuJAMy8F&#10;njsAAAA5AAAAEAAAAAAAAAABACAAAAAMAQAAZHJzL3NoYXBleG1sLnhtbFBLBQYAAAAABgAGAFsB&#10;AAC2AwAAAAA=&#10;">
                      <v:fill on="t" focussize="0,0"/>
                      <v:stroke on="f" weight="0.5pt"/>
                      <v:imagedata o:title=""/>
                      <o:lock v:ext="edit" aspectratio="f"/>
                      <v:textbox inset="12.7mm,2.54mm,12.7mm,2.54mm">
                        <w:txbxContent>
                          <w:sdt>
                            <w:sdtPr>
                              <w:alias w:val="Title"/>
                              <w:id w:val="-9991715"/>
                              <w:showingPlcHdr/>
                              <w:dataBinding w:prefixMappings="xmlns:ns0='http://purl.org/dc/elements/1.1/' xmlns:ns1='http://schemas.openxmlformats.org/package/2006/metadata/core-properties' " w:xpath="/ns1:coreProperties[1]/ns0:title[1]" w:storeItemID="{6C3C8BC8-F283-45AE-878A-BAB7291924A1}"/>
                              <w:text/>
                            </w:sdtPr>
                            <w:sdtContent>
                              <w:p w14:paraId="36976F16">
                                <w:pPr>
                                  <w:pStyle w:val="41"/>
                                  <w:rPr>
                                    <w:rFonts w:asciiTheme="majorHAnsi" w:hAnsiTheme="majorHAnsi" w:eastAsiaTheme="majorEastAsia" w:cstheme="majorBidi"/>
                                    <w:caps/>
                                    <w:color w:val="156082" w:themeColor="accent1"/>
                                    <w:sz w:val="72"/>
                                    <w:szCs w:val="72"/>
                                    <w14:textFill>
                                      <w14:solidFill>
                                        <w14:schemeClr w14:val="accent1"/>
                                      </w14:solidFill>
                                    </w14:textFill>
                                  </w:rPr>
                                </w:pPr>
                                <w:r>
                                  <w:t xml:space="preserve">     </w:t>
                                </w:r>
                              </w:p>
                            </w:sdtContent>
                          </w:sdt>
                        </w:txbxContent>
                      </v:textbox>
                    </v:shape>
                  </v:group>
                </w:pict>
              </mc:Fallback>
            </mc:AlternateContent>
          </w:r>
          <w:r w:rsidRPr="002A7F20">
            <w:rPr>
              <w:rFonts w:ascii="Arial" w:hAnsi="Arial" w:cs="Arial"/>
              <w:color w:val="FFFFFF" w:themeColor="background1"/>
              <w:sz w:val="48"/>
              <w:szCs w:val="48"/>
              <w:lang w:val="en-AU"/>
            </w:rPr>
            <w:t>Stock Evaluation of NetEase</w:t>
          </w:r>
        </w:p>
        <w:p w14:paraId="053C7992" w14:textId="4D36A1F0" w:rsidR="00DD74A5" w:rsidRDefault="00000000">
          <w:pPr>
            <w:spacing w:after="0" w:line="240" w:lineRule="auto"/>
            <w:rPr>
              <w:rFonts w:ascii="Arial" w:hAnsi="Arial" w:cs="Arial"/>
              <w:b/>
              <w:bCs/>
              <w:color w:val="074F6A" w:themeColor="accent4" w:themeShade="80"/>
              <w:sz w:val="32"/>
              <w:szCs w:val="32"/>
              <w:u w:val="thick"/>
              <w:lang w:val="en-AU"/>
            </w:rPr>
          </w:pPr>
          <w:r>
            <w:rPr>
              <w:rFonts w:ascii="Arial" w:hAnsi="Arial" w:cs="Arial"/>
              <w:b/>
              <w:bCs/>
              <w:noProof/>
              <w:color w:val="074F6A" w:themeColor="accent4" w:themeShade="80"/>
              <w:sz w:val="32"/>
              <w:szCs w:val="32"/>
              <w:u w:val="thick"/>
              <w:lang w:val="en-AU"/>
              <w14:ligatures w14:val="none"/>
            </w:rPr>
            <mc:AlternateContent>
              <mc:Choice Requires="wps">
                <w:drawing>
                  <wp:anchor distT="0" distB="0" distL="114300" distR="114300" simplePos="0" relativeHeight="251695104" behindDoc="0" locked="0" layoutInCell="1" allowOverlap="1" wp14:anchorId="3CB61FEF" wp14:editId="31F3E738">
                    <wp:simplePos x="0" y="0"/>
                    <wp:positionH relativeFrom="column">
                      <wp:posOffset>-464820</wp:posOffset>
                    </wp:positionH>
                    <wp:positionV relativeFrom="paragraph">
                      <wp:posOffset>499745</wp:posOffset>
                    </wp:positionV>
                    <wp:extent cx="6669405" cy="1282065"/>
                    <wp:effectExtent l="0" t="0" r="0" b="0"/>
                    <wp:wrapNone/>
                    <wp:docPr id="41202904" name="Rectangle 21"/>
                    <wp:cNvGraphicFramePr/>
                    <a:graphic xmlns:a="http://schemas.openxmlformats.org/drawingml/2006/main">
                      <a:graphicData uri="http://schemas.microsoft.com/office/word/2010/wordprocessingShape">
                        <wps:wsp>
                          <wps:cNvSpPr/>
                          <wps:spPr>
                            <a:xfrm>
                              <a:off x="0" y="0"/>
                              <a:ext cx="6669534" cy="128194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1" o:spid="_x0000_s1026" o:spt="1" style="position:absolute;left:0pt;margin-left:-36.6pt;margin-top:39.35pt;height:100.95pt;width:525.15pt;z-index:251695104;v-text-anchor:middle;mso-width-relative:page;mso-height-relative:page;" fillcolor="#156082 [3204]" filled="t" stroked="f" coordsize="21600,21600" o:gfxdata="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ZiQoNkAAAAKAQAADwAAAAAAAAABACAAAAAiAAAAZHJzL2Rvd25yZXYueG1s&#10;UEsBAhQAFAAAAAgAh07iQIcd9nBpAgAA1wQAAA4AAAAAAAAAAQAgAAAAKAEAAGRycy9lMm9Eb2Mu&#10;eG1sUEsFBgAAAAAGAAYAWQEAAAMGAAAAAA==&#10;">
                    <v:fill on="t" focussize="0,0"/>
                    <v:stroke on="f" weight="1pt" miterlimit="8" joinstyle="miter"/>
                    <v:imagedata o:title=""/>
                    <o:lock v:ext="edit" aspectratio="f"/>
                  </v:rect>
                </w:pict>
              </mc:Fallback>
            </mc:AlternateContent>
          </w:r>
          <w:r>
            <w:rPr>
              <w:rFonts w:ascii="Arial" w:hAnsi="Arial" w:cs="Arial"/>
              <w:b/>
              <w:bCs/>
              <w:noProof/>
              <w:color w:val="074F6A" w:themeColor="accent4" w:themeShade="80"/>
              <w:sz w:val="32"/>
              <w:szCs w:val="32"/>
              <w:u w:val="thick"/>
              <w:lang w:val="en-AU"/>
            </w:rPr>
            <w:drawing>
              <wp:anchor distT="0" distB="0" distL="114300" distR="114300" simplePos="0" relativeHeight="251694080" behindDoc="0" locked="0" layoutInCell="1" allowOverlap="1" wp14:anchorId="74FA2F8C" wp14:editId="3CFF16C1">
                <wp:simplePos x="0" y="0"/>
                <wp:positionH relativeFrom="margin">
                  <wp:posOffset>-449580</wp:posOffset>
                </wp:positionH>
                <wp:positionV relativeFrom="page">
                  <wp:posOffset>3200400</wp:posOffset>
                </wp:positionV>
                <wp:extent cx="6624955" cy="1649095"/>
                <wp:effectExtent l="0" t="0" r="4445" b="8255"/>
                <wp:wrapSquare wrapText="bothSides"/>
                <wp:docPr id="11536141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4145"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624955" cy="1649095"/>
                        </a:xfrm>
                        <a:prstGeom prst="rect">
                          <a:avLst/>
                        </a:prstGeom>
                        <a:noFill/>
                        <a:ln>
                          <a:noFill/>
                        </a:ln>
                      </pic:spPr>
                    </pic:pic>
                  </a:graphicData>
                </a:graphic>
              </wp:anchor>
            </w:drawing>
          </w:r>
          <w:r>
            <w:rPr>
              <w:rFonts w:ascii="Arial" w:hAnsi="Arial" w:cs="Arial"/>
              <w:b/>
              <w:bCs/>
              <w:color w:val="074F6A" w:themeColor="accent4" w:themeShade="80"/>
              <w:sz w:val="32"/>
              <w:szCs w:val="32"/>
              <w:u w:val="thick"/>
              <w:lang w:val="en-AU"/>
            </w:rPr>
            <w:br w:type="page"/>
          </w:r>
        </w:p>
      </w:sdtContent>
    </w:sdt>
    <w:p w14:paraId="7C108F6E" w14:textId="77777777" w:rsidR="00DD74A5" w:rsidRDefault="00000000">
      <w:pPr>
        <w:rPr>
          <w:rFonts w:ascii="Arial" w:hAnsi="Arial" w:cs="Arial"/>
          <w:b/>
          <w:bCs/>
          <w:color w:val="074F6A" w:themeColor="accent4" w:themeShade="80"/>
          <w:sz w:val="32"/>
          <w:szCs w:val="32"/>
          <w:u w:val="thick"/>
          <w:lang w:val="en-AU"/>
        </w:rPr>
      </w:pPr>
      <w:r>
        <w:rPr>
          <w:rFonts w:ascii="Arial" w:hAnsi="Arial" w:cs="Arial"/>
          <w:b/>
          <w:bCs/>
          <w:color w:val="074F6A" w:themeColor="accent4" w:themeShade="80"/>
          <w:sz w:val="32"/>
          <w:szCs w:val="32"/>
          <w:u w:val="thick"/>
          <w:lang w:val="en-AU"/>
        </w:rPr>
        <w:lastRenderedPageBreak/>
        <w:t>Investment Summary</w:t>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p>
    <w:p w14:paraId="225B7469" w14:textId="77777777" w:rsidR="00DD74A5" w:rsidRDefault="00000000">
      <w:pPr>
        <w:rPr>
          <w:rFonts w:ascii="Arial" w:hAnsi="Arial" w:cs="Arial"/>
          <w:lang w:val="en-AU"/>
        </w:rPr>
      </w:pPr>
      <w:r>
        <w:rPr>
          <w:rFonts w:ascii="Arial" w:hAnsi="Arial" w:cs="Arial"/>
          <w:lang w:val="en-AU"/>
        </w:rPr>
        <w:t xml:space="preserve">Calculations through future cash flow valuations using projections from 2025E to 2030E yield a future NPV of 586.70 billion RMB, which amounts to a fair price of 181.43 RMB per share. Comparisons place current NetEase stock prices slightly under the fair price, at 179.00 HKD with a conversion rate of 1 HKD = 0.873 RMB, equivalent to 156.27 RMB per share. </w:t>
      </w:r>
    </w:p>
    <w:p w14:paraId="298DA6F4" w14:textId="24B4B7E8" w:rsidR="00DD74A5" w:rsidRDefault="00DD74A5">
      <w:pPr>
        <w:rPr>
          <w:rFonts w:ascii="Arial" w:hAnsi="Arial" w:cs="Arial"/>
          <w:lang w:val="en-AU"/>
        </w:rPr>
      </w:pPr>
    </w:p>
    <w:p w14:paraId="3A4AAB11" w14:textId="68EE894E" w:rsidR="00DD74A5" w:rsidRDefault="00644C49">
      <w:pPr>
        <w:rPr>
          <w:rFonts w:ascii="Arial" w:hAnsi="Arial" w:cs="Arial"/>
          <w:b/>
          <w:bCs/>
          <w:sz w:val="28"/>
          <w:szCs w:val="28"/>
          <w:lang w:val="en-AU"/>
        </w:rPr>
      </w:pPr>
      <w:r>
        <w:rPr>
          <w:rFonts w:ascii="Arial" w:hAnsi="Arial" w:cs="Arial"/>
          <w:noProof/>
          <w:lang w:val="en-AU"/>
          <w14:ligatures w14:val="none"/>
        </w:rPr>
        <mc:AlternateContent>
          <mc:Choice Requires="wps">
            <w:drawing>
              <wp:anchor distT="0" distB="0" distL="114300" distR="114300" simplePos="0" relativeHeight="251683840" behindDoc="0" locked="0" layoutInCell="1" allowOverlap="1" wp14:anchorId="0E2FC354" wp14:editId="6340E68F">
                <wp:simplePos x="0" y="0"/>
                <wp:positionH relativeFrom="column">
                  <wp:posOffset>4451985</wp:posOffset>
                </wp:positionH>
                <wp:positionV relativeFrom="page">
                  <wp:posOffset>2757805</wp:posOffset>
                </wp:positionV>
                <wp:extent cx="2001187" cy="338465"/>
                <wp:effectExtent l="0" t="0" r="18415" b="17145"/>
                <wp:wrapNone/>
                <wp:docPr id="1119234972" name="Text Box 11"/>
                <wp:cNvGraphicFramePr/>
                <a:graphic xmlns:a="http://schemas.openxmlformats.org/drawingml/2006/main">
                  <a:graphicData uri="http://schemas.microsoft.com/office/word/2010/wordprocessingShape">
                    <wps:wsp>
                      <wps:cNvSpPr txBox="1"/>
                      <wps:spPr>
                        <a:xfrm>
                          <a:off x="0" y="0"/>
                          <a:ext cx="2001187" cy="338465"/>
                        </a:xfrm>
                        <a:prstGeom prst="rect">
                          <a:avLst/>
                        </a:prstGeom>
                        <a:solidFill>
                          <a:schemeClr val="tx2"/>
                        </a:solidFill>
                        <a:ln w="6350">
                          <a:solidFill>
                            <a:schemeClr val="bg1"/>
                          </a:solidFill>
                        </a:ln>
                      </wps:spPr>
                      <wps:txbx>
                        <w:txbxContent>
                          <w:p w14:paraId="77FD404C" w14:textId="77777777" w:rsidR="00DD74A5" w:rsidRDefault="00000000">
                            <w:pPr>
                              <w:jc w:val="center"/>
                              <w:rPr>
                                <w:rFonts w:ascii="Arial" w:hAnsi="Arial" w:cs="Arial"/>
                                <w:b/>
                                <w:bCs/>
                                <w:lang w:val="en-AU"/>
                              </w:rPr>
                            </w:pPr>
                            <w:r>
                              <w:rPr>
                                <w:rFonts w:ascii="Arial" w:hAnsi="Arial" w:cs="Arial"/>
                                <w:b/>
                                <w:bCs/>
                                <w:lang w:val="en-AU"/>
                              </w:rPr>
                              <w:t>Recommendation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E2FC354" id="_x0000_t202" coordsize="21600,21600" o:spt="202" path="m,l,21600r21600,l21600,xe">
                <v:stroke joinstyle="miter"/>
                <v:path gradientshapeok="t" o:connecttype="rect"/>
              </v:shapetype>
              <v:shape id="Text Box 11" o:spid="_x0000_s1030" type="#_x0000_t202" style="position:absolute;margin-left:350.55pt;margin-top:217.15pt;width:157.55pt;height:26.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" fillcolor="#0e2841 [3215]" strokecolor="white [3212]" strokeweight=".5pt">
                <v:textbox>
                  <w:txbxContent>
                    <w:p w14:paraId="77FD404C" w14:textId="77777777" w:rsidR="00DD74A5" w:rsidRDefault="00000000">
                      <w:pPr>
                        <w:jc w:val="center"/>
                        <w:rPr>
                          <w:rFonts w:ascii="Arial" w:hAnsi="Arial" w:cs="Arial"/>
                          <w:b/>
                          <w:bCs/>
                          <w:lang w:val="en-AU"/>
                        </w:rPr>
                      </w:pPr>
                      <w:r>
                        <w:rPr>
                          <w:rFonts w:ascii="Arial" w:hAnsi="Arial" w:cs="Arial"/>
                          <w:b/>
                          <w:bCs/>
                          <w:lang w:val="en-AU"/>
                        </w:rPr>
                        <w:t>Recommendation</w:t>
                      </w:r>
                    </w:p>
                  </w:txbxContent>
                </v:textbox>
                <w10:wrap anchory="page"/>
              </v:shape>
            </w:pict>
          </mc:Fallback>
        </mc:AlternateContent>
      </w:r>
      <w:r w:rsidR="002A7F20">
        <w:rPr>
          <w:rFonts w:ascii="Arial" w:hAnsi="Arial" w:cs="Arial"/>
          <w:noProof/>
          <w:lang w:val="en-AU"/>
          <w14:ligatures w14:val="none"/>
        </w:rPr>
        <mc:AlternateContent>
          <mc:Choice Requires="wps">
            <w:drawing>
              <wp:anchor distT="0" distB="0" distL="114300" distR="114300" simplePos="0" relativeHeight="251696128" behindDoc="0" locked="0" layoutInCell="1" allowOverlap="1" wp14:anchorId="05183183" wp14:editId="6B61EA72">
                <wp:simplePos x="0" y="0"/>
                <wp:positionH relativeFrom="column">
                  <wp:posOffset>-87782</wp:posOffset>
                </wp:positionH>
                <wp:positionV relativeFrom="paragraph">
                  <wp:posOffset>240386</wp:posOffset>
                </wp:positionV>
                <wp:extent cx="4440123" cy="899769"/>
                <wp:effectExtent l="0" t="0" r="0" b="0"/>
                <wp:wrapNone/>
                <wp:docPr id="1428334683" name="Text Box 18"/>
                <wp:cNvGraphicFramePr/>
                <a:graphic xmlns:a="http://schemas.openxmlformats.org/drawingml/2006/main">
                  <a:graphicData uri="http://schemas.microsoft.com/office/word/2010/wordprocessingShape">
                    <wps:wsp>
                      <wps:cNvSpPr txBox="1"/>
                      <wps:spPr>
                        <a:xfrm>
                          <a:off x="0" y="0"/>
                          <a:ext cx="4440123" cy="899769"/>
                        </a:xfrm>
                        <a:prstGeom prst="rect">
                          <a:avLst/>
                        </a:prstGeom>
                        <a:noFill/>
                        <a:ln w="6350">
                          <a:noFill/>
                        </a:ln>
                      </wps:spPr>
                      <wps:txbx>
                        <w:txbxContent>
                          <w:p w14:paraId="1B2F49BE" w14:textId="3A89EEFE" w:rsidR="002A7F20" w:rsidRDefault="002A7F20" w:rsidP="002A7F20">
                            <w:pPr>
                              <w:rPr>
                                <w:rFonts w:ascii="Arial" w:hAnsi="Arial" w:cs="Arial"/>
                                <w:lang w:val="en-AU"/>
                              </w:rPr>
                            </w:pPr>
                            <w:r>
                              <w:rPr>
                                <w:rFonts w:ascii="Arial" w:hAnsi="Arial" w:cs="Arial"/>
                                <w:lang w:val="en-AU"/>
                              </w:rPr>
                              <w:t>Using free cash flow valuations based on data from sev</w:t>
                            </w:r>
                            <w:r>
                              <w:rPr>
                                <w:rFonts w:ascii="Arial" w:hAnsi="Arial" w:cs="Arial"/>
                                <w:lang w:val="en-AU"/>
                              </w:rPr>
                              <w:t xml:space="preserve">eral </w:t>
                            </w:r>
                            <w:r>
                              <w:rPr>
                                <w:rFonts w:ascii="Arial" w:hAnsi="Arial" w:cs="Arial"/>
                                <w:lang w:val="en-AU"/>
                              </w:rPr>
                              <w:t>analysts’ projections of revenue, we found that the calculated</w:t>
                            </w:r>
                            <w:r>
                              <w:rPr>
                                <w:rFonts w:ascii="Arial" w:hAnsi="Arial" w:cs="Arial"/>
                                <w:lang w:val="en-US"/>
                              </w:rPr>
                              <w:t xml:space="preserve"> </w:t>
                            </w:r>
                            <w:r>
                              <w:rPr>
                                <w:rFonts w:ascii="Arial" w:hAnsi="Arial" w:cs="Arial"/>
                                <w:lang w:val="en-AU"/>
                              </w:rPr>
                              <w:t xml:space="preserve">fair value is </w:t>
                            </w:r>
                            <w:r>
                              <w:rPr>
                                <w:rFonts w:ascii="Arial" w:hAnsi="Arial" w:cs="Arial"/>
                                <w:b/>
                                <w:bCs/>
                                <w:lang w:val="en-AU"/>
                              </w:rPr>
                              <w:t>1</w:t>
                            </w:r>
                            <w:r>
                              <w:rPr>
                                <w:rFonts w:ascii="Arial" w:hAnsi="Arial" w:cs="Arial"/>
                                <w:b/>
                                <w:bCs/>
                                <w:lang w:val="en-US"/>
                              </w:rPr>
                              <w:t>6.1</w:t>
                            </w:r>
                            <w:r>
                              <w:rPr>
                                <w:rFonts w:ascii="Arial" w:hAnsi="Arial" w:cs="Arial"/>
                                <w:b/>
                                <w:bCs/>
                                <w:lang w:val="en-AU"/>
                              </w:rPr>
                              <w:t>% above</w:t>
                            </w:r>
                            <w:r>
                              <w:rPr>
                                <w:rFonts w:ascii="Arial" w:hAnsi="Arial" w:cs="Arial"/>
                                <w:lang w:val="en-AU"/>
                              </w:rPr>
                              <w:t xml:space="preserve"> the current market price, which means the stock price is currently </w:t>
                            </w:r>
                            <w:r>
                              <w:rPr>
                                <w:rFonts w:ascii="Arial" w:hAnsi="Arial" w:cs="Arial"/>
                                <w:b/>
                                <w:bCs/>
                                <w:lang w:val="en-AU"/>
                              </w:rPr>
                              <w:t>undervalued</w:t>
                            </w:r>
                            <w:r>
                              <w:rPr>
                                <w:rFonts w:ascii="Arial" w:hAnsi="Arial" w:cs="Arial"/>
                                <w:lang w:val="en-AU"/>
                              </w:rPr>
                              <w:t xml:space="preserve">. </w:t>
                            </w:r>
                          </w:p>
                          <w:p w14:paraId="2BAC2DF7" w14:textId="77777777" w:rsidR="002A7F20" w:rsidRPr="002A7F20" w:rsidRDefault="002A7F20">
                            <w:pPr>
                              <w:rPr>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83183" id="Text Box 18" o:spid="_x0000_s1031" type="#_x0000_t202" style="position:absolute;margin-left:-6.9pt;margin-top:18.95pt;width:349.6pt;height:70.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" filled="f" stroked="f" strokeweight=".5pt">
                <v:textbox>
                  <w:txbxContent>
                    <w:p w14:paraId="1B2F49BE" w14:textId="3A89EEFE" w:rsidR="002A7F20" w:rsidRDefault="002A7F20" w:rsidP="002A7F20">
                      <w:pPr>
                        <w:rPr>
                          <w:rFonts w:ascii="Arial" w:hAnsi="Arial" w:cs="Arial"/>
                          <w:lang w:val="en-AU"/>
                        </w:rPr>
                      </w:pPr>
                      <w:r>
                        <w:rPr>
                          <w:rFonts w:ascii="Arial" w:hAnsi="Arial" w:cs="Arial"/>
                          <w:lang w:val="en-AU"/>
                        </w:rPr>
                        <w:t>Using free cash flow valuations based on data from sev</w:t>
                      </w:r>
                      <w:r>
                        <w:rPr>
                          <w:rFonts w:ascii="Arial" w:hAnsi="Arial" w:cs="Arial"/>
                          <w:lang w:val="en-AU"/>
                        </w:rPr>
                        <w:t xml:space="preserve">eral </w:t>
                      </w:r>
                      <w:r>
                        <w:rPr>
                          <w:rFonts w:ascii="Arial" w:hAnsi="Arial" w:cs="Arial"/>
                          <w:lang w:val="en-AU"/>
                        </w:rPr>
                        <w:t>analysts’ projections of revenue, we found that the calculated</w:t>
                      </w:r>
                      <w:r>
                        <w:rPr>
                          <w:rFonts w:ascii="Arial" w:hAnsi="Arial" w:cs="Arial"/>
                          <w:lang w:val="en-US"/>
                        </w:rPr>
                        <w:t xml:space="preserve"> </w:t>
                      </w:r>
                      <w:r>
                        <w:rPr>
                          <w:rFonts w:ascii="Arial" w:hAnsi="Arial" w:cs="Arial"/>
                          <w:lang w:val="en-AU"/>
                        </w:rPr>
                        <w:t xml:space="preserve">fair value is </w:t>
                      </w:r>
                      <w:r>
                        <w:rPr>
                          <w:rFonts w:ascii="Arial" w:hAnsi="Arial" w:cs="Arial"/>
                          <w:b/>
                          <w:bCs/>
                          <w:lang w:val="en-AU"/>
                        </w:rPr>
                        <w:t>1</w:t>
                      </w:r>
                      <w:r>
                        <w:rPr>
                          <w:rFonts w:ascii="Arial" w:hAnsi="Arial" w:cs="Arial"/>
                          <w:b/>
                          <w:bCs/>
                          <w:lang w:val="en-US"/>
                        </w:rPr>
                        <w:t>6.1</w:t>
                      </w:r>
                      <w:r>
                        <w:rPr>
                          <w:rFonts w:ascii="Arial" w:hAnsi="Arial" w:cs="Arial"/>
                          <w:b/>
                          <w:bCs/>
                          <w:lang w:val="en-AU"/>
                        </w:rPr>
                        <w:t>% above</w:t>
                      </w:r>
                      <w:r>
                        <w:rPr>
                          <w:rFonts w:ascii="Arial" w:hAnsi="Arial" w:cs="Arial"/>
                          <w:lang w:val="en-AU"/>
                        </w:rPr>
                        <w:t xml:space="preserve"> the current market price, which means the stock price is currently </w:t>
                      </w:r>
                      <w:r>
                        <w:rPr>
                          <w:rFonts w:ascii="Arial" w:hAnsi="Arial" w:cs="Arial"/>
                          <w:b/>
                          <w:bCs/>
                          <w:lang w:val="en-AU"/>
                        </w:rPr>
                        <w:t>undervalued</w:t>
                      </w:r>
                      <w:r>
                        <w:rPr>
                          <w:rFonts w:ascii="Arial" w:hAnsi="Arial" w:cs="Arial"/>
                          <w:lang w:val="en-AU"/>
                        </w:rPr>
                        <w:t xml:space="preserve">. </w:t>
                      </w:r>
                    </w:p>
                    <w:p w14:paraId="2BAC2DF7" w14:textId="77777777" w:rsidR="002A7F20" w:rsidRPr="002A7F20" w:rsidRDefault="002A7F20">
                      <w:pPr>
                        <w:rPr>
                          <w:lang w:val="en-AU"/>
                        </w:rPr>
                      </w:pPr>
                    </w:p>
                  </w:txbxContent>
                </v:textbox>
              </v:shape>
            </w:pict>
          </mc:Fallback>
        </mc:AlternateContent>
      </w:r>
      <w:r w:rsidR="00000000">
        <w:rPr>
          <w:rFonts w:ascii="Arial" w:hAnsi="Arial" w:cs="Arial"/>
          <w:b/>
          <w:bCs/>
          <w:sz w:val="28"/>
          <w:szCs w:val="28"/>
          <w:lang w:val="en-AU"/>
        </w:rPr>
        <w:t xml:space="preserve">Valuation of Fair Price Above Current Market Price </w:t>
      </w:r>
    </w:p>
    <w:tbl>
      <w:tblPr>
        <w:tblStyle w:val="GridTable4-Accent12"/>
        <w:tblpPr w:leftFromText="180" w:rightFromText="180" w:vertAnchor="text" w:horzAnchor="page" w:tblpX="10045" w:tblpY="570"/>
        <w:tblW w:w="0" w:type="auto"/>
        <w:tblLook w:val="04A0" w:firstRow="1" w:lastRow="0" w:firstColumn="1" w:lastColumn="0" w:noHBand="0" w:noVBand="1"/>
      </w:tblPr>
      <w:tblGrid>
        <w:gridCol w:w="1555"/>
      </w:tblGrid>
      <w:tr w:rsidR="00DD74A5" w14:paraId="5F67A0AF" w14:textId="77777777" w:rsidTr="00644C49">
        <w:trPr>
          <w:cnfStyle w:val="100000000000" w:firstRow="1" w:lastRow="0" w:firstColumn="0" w:lastColumn="0" w:oddVBand="0" w:evenVBand="0" w:oddHBand="0"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1555" w:type="dxa"/>
          </w:tcPr>
          <w:p w14:paraId="331C4AA0" w14:textId="45108232" w:rsidR="00DD74A5" w:rsidRDefault="00644C49" w:rsidP="00644C49">
            <w:pPr>
              <w:rPr>
                <w:rFonts w:ascii="Arial" w:hAnsi="Arial" w:cs="Arial"/>
                <w:b w:val="0"/>
                <w:bCs w:val="0"/>
                <w:lang w:val="en-AU"/>
              </w:rPr>
            </w:pPr>
            <w:r>
              <w:rPr>
                <w:rFonts w:ascii="Arial" w:hAnsi="Arial" w:cs="Arial"/>
                <w:lang w:val="en-AU"/>
              </w:rPr>
              <w:t xml:space="preserve">Fair Price </w:t>
            </w:r>
          </w:p>
        </w:tc>
      </w:tr>
      <w:tr w:rsidR="00DD74A5" w14:paraId="0FC54DDD" w14:textId="77777777" w:rsidTr="00644C49">
        <w:trPr>
          <w:trHeight w:val="1273"/>
        </w:trPr>
        <w:tc>
          <w:tcPr>
            <w:cnfStyle w:val="001000000000" w:firstRow="0" w:lastRow="0" w:firstColumn="1" w:lastColumn="0" w:oddVBand="0" w:evenVBand="0" w:oddHBand="0" w:evenHBand="0" w:firstRowFirstColumn="0" w:firstRowLastColumn="0" w:lastRowFirstColumn="0" w:lastRowLastColumn="0"/>
            <w:tcW w:w="1555" w:type="dxa"/>
            <w:shd w:val="clear" w:color="auto" w:fill="C1E4F5" w:themeFill="accent1" w:themeFillTint="33"/>
          </w:tcPr>
          <w:p w14:paraId="258C3B22" w14:textId="77777777" w:rsidR="00DD74A5" w:rsidRDefault="00000000" w:rsidP="00644C49">
            <w:pPr>
              <w:rPr>
                <w:rFonts w:ascii="Arial" w:hAnsi="Arial" w:cs="Arial"/>
                <w:b w:val="0"/>
                <w:bCs w:val="0"/>
                <w:lang w:val="en-AU"/>
              </w:rPr>
            </w:pPr>
            <w:r>
              <w:rPr>
                <w:rFonts w:ascii="Arial" w:hAnsi="Arial" w:cs="Arial"/>
                <w:lang w:val="en-AU"/>
              </w:rPr>
              <w:t>181</w:t>
            </w:r>
            <w:r>
              <w:rPr>
                <w:rFonts w:ascii="Arial" w:hAnsi="Arial" w:cs="Arial"/>
                <w:lang w:val="en-US"/>
              </w:rPr>
              <w:t>.43</w:t>
            </w:r>
            <w:r>
              <w:rPr>
                <w:rFonts w:ascii="Arial" w:hAnsi="Arial" w:cs="Arial"/>
                <w:lang w:val="en-AU"/>
              </w:rPr>
              <w:t xml:space="preserve"> RMB</w:t>
            </w:r>
          </w:p>
        </w:tc>
      </w:tr>
    </w:tbl>
    <w:p w14:paraId="4627518E" w14:textId="22166B80" w:rsidR="00DD74A5" w:rsidRDefault="00644C49">
      <w:pPr>
        <w:rPr>
          <w:rFonts w:ascii="Arial" w:hAnsi="Arial" w:cs="Arial"/>
          <w:lang w:val="en-AU"/>
        </w:rPr>
      </w:pPr>
      <w:r>
        <w:rPr>
          <w:rFonts w:ascii="Arial" w:hAnsi="Arial" w:cs="Arial"/>
          <w:noProof/>
          <w:lang w:val="en-AU"/>
          <w14:ligatures w14:val="none"/>
        </w:rPr>
        <mc:AlternateContent>
          <mc:Choice Requires="wps">
            <w:drawing>
              <wp:anchor distT="0" distB="0" distL="114300" distR="114300" simplePos="0" relativeHeight="251677696" behindDoc="0" locked="0" layoutInCell="1" allowOverlap="1" wp14:anchorId="17A6E256" wp14:editId="16330B46">
                <wp:simplePos x="0" y="0"/>
                <wp:positionH relativeFrom="column">
                  <wp:posOffset>4354644</wp:posOffset>
                </wp:positionH>
                <wp:positionV relativeFrom="page">
                  <wp:posOffset>3057993</wp:posOffset>
                </wp:positionV>
                <wp:extent cx="2181068" cy="401299"/>
                <wp:effectExtent l="0" t="0" r="0" b="0"/>
                <wp:wrapNone/>
                <wp:docPr id="519742567" name="Text Box 8"/>
                <wp:cNvGraphicFramePr/>
                <a:graphic xmlns:a="http://schemas.openxmlformats.org/drawingml/2006/main">
                  <a:graphicData uri="http://schemas.microsoft.com/office/word/2010/wordprocessingShape">
                    <wps:wsp>
                      <wps:cNvSpPr txBox="1"/>
                      <wps:spPr>
                        <a:xfrm>
                          <a:off x="0" y="0"/>
                          <a:ext cx="2181068" cy="401299"/>
                        </a:xfrm>
                        <a:prstGeom prst="rect">
                          <a:avLst/>
                        </a:prstGeom>
                        <a:noFill/>
                        <a:ln w="6350">
                          <a:noFill/>
                        </a:ln>
                      </wps:spPr>
                      <wps:txbx>
                        <w:txbxContent>
                          <w:p w14:paraId="7EC8C034" w14:textId="77777777" w:rsidR="00DD74A5" w:rsidRDefault="00000000">
                            <w:pPr>
                              <w:shd w:val="clear" w:color="auto" w:fill="0070C0"/>
                              <w:jc w:val="center"/>
                              <w:rPr>
                                <w:rFonts w:ascii="Arial" w:hAnsi="Arial" w:cs="Arial"/>
                                <w:color w:val="FFFFFF" w:themeColor="background1"/>
                                <w:sz w:val="40"/>
                                <w:szCs w:val="40"/>
                                <w:lang w:val="en-AU"/>
                              </w:rPr>
                            </w:pPr>
                            <w:r>
                              <w:rPr>
                                <w:rFonts w:ascii="Arial" w:hAnsi="Arial" w:cs="Arial"/>
                                <w:color w:val="FFFFFF" w:themeColor="background1"/>
                                <w:sz w:val="40"/>
                                <w:szCs w:val="40"/>
                                <w:lang w:val="en-AU"/>
                              </w:rPr>
                              <w:t>Buy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7A6E256" id="Text Box 8" o:spid="_x0000_s1032" type="#_x0000_t202" style="position:absolute;margin-left:342.9pt;margin-top:240.8pt;width:171.75pt;height:3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" filled="f" stroked="f" strokeweight=".5pt">
                <v:textbox>
                  <w:txbxContent>
                    <w:p w14:paraId="7EC8C034" w14:textId="77777777" w:rsidR="00DD74A5" w:rsidRDefault="00000000">
                      <w:pPr>
                        <w:shd w:val="clear" w:color="auto" w:fill="0070C0"/>
                        <w:jc w:val="center"/>
                        <w:rPr>
                          <w:rFonts w:ascii="Arial" w:hAnsi="Arial" w:cs="Arial"/>
                          <w:color w:val="FFFFFF" w:themeColor="background1"/>
                          <w:sz w:val="40"/>
                          <w:szCs w:val="40"/>
                          <w:lang w:val="en-AU"/>
                        </w:rPr>
                      </w:pPr>
                      <w:r>
                        <w:rPr>
                          <w:rFonts w:ascii="Arial" w:hAnsi="Arial" w:cs="Arial"/>
                          <w:color w:val="FFFFFF" w:themeColor="background1"/>
                          <w:sz w:val="40"/>
                          <w:szCs w:val="40"/>
                          <w:lang w:val="en-AU"/>
                        </w:rPr>
                        <w:t>Buy</w:t>
                      </w:r>
                    </w:p>
                  </w:txbxContent>
                </v:textbox>
                <w10:wrap anchory="page"/>
              </v:shape>
            </w:pict>
          </mc:Fallback>
        </mc:AlternateContent>
      </w:r>
    </w:p>
    <w:tbl>
      <w:tblPr>
        <w:tblStyle w:val="GridTable4-Accent12"/>
        <w:tblpPr w:leftFromText="180" w:rightFromText="180" w:vertAnchor="text" w:horzAnchor="page" w:tblpX="8452" w:tblpY="84"/>
        <w:tblW w:w="0" w:type="auto"/>
        <w:tblLook w:val="04A0" w:firstRow="1" w:lastRow="0" w:firstColumn="1" w:lastColumn="0" w:noHBand="0" w:noVBand="1"/>
      </w:tblPr>
      <w:tblGrid>
        <w:gridCol w:w="1536"/>
      </w:tblGrid>
      <w:tr w:rsidR="00644C49" w14:paraId="7DD783BE" w14:textId="77777777" w:rsidTr="00644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Pr>
          <w:p w14:paraId="2B47D588" w14:textId="77777777" w:rsidR="00644C49" w:rsidRDefault="00644C49" w:rsidP="00644C49">
            <w:pPr>
              <w:rPr>
                <w:rFonts w:ascii="Arial" w:hAnsi="Arial" w:cs="Arial"/>
                <w:b w:val="0"/>
                <w:bCs w:val="0"/>
                <w:lang w:val="en-AU"/>
              </w:rPr>
            </w:pPr>
            <w:r>
              <w:rPr>
                <w:rFonts w:ascii="Arial" w:hAnsi="Arial" w:cs="Arial"/>
                <w:lang w:val="en-AU"/>
              </w:rPr>
              <w:t>30-04-2026 Market Price</w:t>
            </w:r>
          </w:p>
        </w:tc>
      </w:tr>
      <w:tr w:rsidR="00644C49" w14:paraId="44887B2B" w14:textId="77777777" w:rsidTr="00644C49">
        <w:trPr>
          <w:trHeight w:val="1273"/>
        </w:trPr>
        <w:tc>
          <w:tcPr>
            <w:cnfStyle w:val="001000000000" w:firstRow="0" w:lastRow="0" w:firstColumn="1" w:lastColumn="0" w:oddVBand="0" w:evenVBand="0" w:oddHBand="0" w:evenHBand="0" w:firstRowFirstColumn="0" w:firstRowLastColumn="0" w:lastRowFirstColumn="0" w:lastRowLastColumn="0"/>
            <w:tcW w:w="1536" w:type="dxa"/>
            <w:shd w:val="clear" w:color="auto" w:fill="C1E4F5" w:themeFill="accent1" w:themeFillTint="33"/>
          </w:tcPr>
          <w:p w14:paraId="4FE5F8D9" w14:textId="4E6847DB" w:rsidR="00644C49" w:rsidRDefault="00644C49" w:rsidP="00644C49">
            <w:pPr>
              <w:rPr>
                <w:rFonts w:ascii="Arial" w:hAnsi="Arial" w:cs="Arial"/>
                <w:b w:val="0"/>
                <w:bCs w:val="0"/>
                <w:lang w:val="en-AU"/>
              </w:rPr>
            </w:pPr>
            <w:r>
              <w:rPr>
                <w:rFonts w:ascii="Arial" w:hAnsi="Arial" w:cs="Arial"/>
                <w:lang w:val="en-AU"/>
              </w:rPr>
              <w:t>156.27 RMB</w:t>
            </w:r>
          </w:p>
        </w:tc>
      </w:tr>
    </w:tbl>
    <w:p w14:paraId="557AD007" w14:textId="77777777" w:rsidR="002A7F20" w:rsidRDefault="002A7F20">
      <w:pPr>
        <w:rPr>
          <w:rFonts w:ascii="Arial" w:hAnsi="Arial" w:cs="Arial"/>
          <w:b/>
          <w:bCs/>
          <w:sz w:val="28"/>
          <w:szCs w:val="28"/>
          <w:lang w:val="en-AU"/>
        </w:rPr>
      </w:pPr>
    </w:p>
    <w:p w14:paraId="5BA23262" w14:textId="77777777" w:rsidR="00644C49" w:rsidRDefault="00644C49">
      <w:pPr>
        <w:rPr>
          <w:rFonts w:ascii="Arial" w:hAnsi="Arial" w:cs="Arial"/>
          <w:b/>
          <w:bCs/>
          <w:sz w:val="28"/>
          <w:szCs w:val="28"/>
          <w:lang w:val="en-ID"/>
        </w:rPr>
      </w:pPr>
    </w:p>
    <w:p w14:paraId="6D70953E" w14:textId="5B4777B4" w:rsidR="00DD74A5" w:rsidRPr="002A7F20" w:rsidRDefault="00644C49">
      <w:pPr>
        <w:rPr>
          <w:rFonts w:ascii="Arial" w:hAnsi="Arial" w:cs="Arial"/>
          <w:b/>
          <w:bCs/>
          <w:sz w:val="28"/>
          <w:szCs w:val="28"/>
          <w:lang w:val="en-ID"/>
        </w:rPr>
      </w:pPr>
      <w:r>
        <w:rPr>
          <w:rFonts w:ascii="Arial" w:hAnsi="Arial" w:cs="Arial"/>
          <w:b/>
          <w:bCs/>
          <w:noProof/>
          <w:sz w:val="28"/>
          <w:szCs w:val="28"/>
          <w:lang w:val="en-ID"/>
          <w14:ligatures w14:val="none"/>
        </w:rPr>
        <mc:AlternateContent>
          <mc:Choice Requires="wps">
            <w:drawing>
              <wp:anchor distT="0" distB="0" distL="114300" distR="114300" simplePos="0" relativeHeight="251697152" behindDoc="0" locked="0" layoutInCell="1" allowOverlap="1" wp14:anchorId="5FC81B6A" wp14:editId="1E88531E">
                <wp:simplePos x="0" y="0"/>
                <wp:positionH relativeFrom="column">
                  <wp:posOffset>-89941</wp:posOffset>
                </wp:positionH>
                <wp:positionV relativeFrom="paragraph">
                  <wp:posOffset>289362</wp:posOffset>
                </wp:positionV>
                <wp:extent cx="4482059" cy="2241030"/>
                <wp:effectExtent l="0" t="0" r="0" b="0"/>
                <wp:wrapNone/>
                <wp:docPr id="986974223" name="Text Box 19"/>
                <wp:cNvGraphicFramePr/>
                <a:graphic xmlns:a="http://schemas.openxmlformats.org/drawingml/2006/main">
                  <a:graphicData uri="http://schemas.microsoft.com/office/word/2010/wordprocessingShape">
                    <wps:wsp>
                      <wps:cNvSpPr txBox="1"/>
                      <wps:spPr>
                        <a:xfrm>
                          <a:off x="0" y="0"/>
                          <a:ext cx="4482059" cy="2241030"/>
                        </a:xfrm>
                        <a:prstGeom prst="rect">
                          <a:avLst/>
                        </a:prstGeom>
                        <a:noFill/>
                        <a:ln w="6350">
                          <a:noFill/>
                        </a:ln>
                      </wps:spPr>
                      <wps:txbx>
                        <w:txbxContent>
                          <w:p w14:paraId="0E15B000" w14:textId="77777777" w:rsidR="00644C49" w:rsidRPr="002A7F20" w:rsidRDefault="00644C49" w:rsidP="00644C49">
                            <w:pPr>
                              <w:rPr>
                                <w:rFonts w:ascii="Arial" w:hAnsi="Arial" w:cs="Arial"/>
                                <w:lang w:val="en-ID"/>
                              </w:rPr>
                            </w:pPr>
                            <w:r w:rsidRPr="002A7F20">
                              <w:rPr>
                                <w:rFonts w:ascii="Arial" w:hAnsi="Arial" w:cs="Arial"/>
                                <w:lang w:val="en-ID"/>
                              </w:rPr>
                              <w:t>In 2025, NetEase achieved RMB 112.6 billion in revenue – a 7% increase compared to its 2024 revenue – and a net profit attributable to shareholders of RMB 33.8 billion as well as an operating cash flow of RMB 50.7 billion. The company has repurchased $2 billion USD in shares and continues to pay dividends, indicating healthy revenue-generating capabilities. With the launch of popular new games such as Where Winds Meet with millions of global users, combined with ongoing AI-driven cost reduction and efficiency gains, this strong financial trajectory is expected to further strengthen.</w:t>
                            </w:r>
                          </w:p>
                          <w:p w14:paraId="434BBE71" w14:textId="77777777" w:rsidR="00644C49" w:rsidRPr="00644C49" w:rsidRDefault="00644C49">
                            <w:pPr>
                              <w:rPr>
                                <w:lang w:val="en-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C81B6A" id="Text Box 19" o:spid="_x0000_s1033" type="#_x0000_t202" style="position:absolute;margin-left:-7.1pt;margin-top:22.8pt;width:352.9pt;height:176.4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" filled="f" stroked="f" strokeweight=".5pt">
                <v:textbox>
                  <w:txbxContent>
                    <w:p w14:paraId="0E15B000" w14:textId="77777777" w:rsidR="00644C49" w:rsidRPr="002A7F20" w:rsidRDefault="00644C49" w:rsidP="00644C49">
                      <w:pPr>
                        <w:rPr>
                          <w:rFonts w:ascii="Arial" w:hAnsi="Arial" w:cs="Arial"/>
                          <w:lang w:val="en-ID"/>
                        </w:rPr>
                      </w:pPr>
                      <w:r w:rsidRPr="002A7F20">
                        <w:rPr>
                          <w:rFonts w:ascii="Arial" w:hAnsi="Arial" w:cs="Arial"/>
                          <w:lang w:val="en-ID"/>
                        </w:rPr>
                        <w:t>In 2025, NetEase achieved RMB 112.6 billion in revenue – a 7% increase compared to its 2024 revenue – and a net profit attributable to shareholders of RMB 33.8 billion as well as an operating cash flow of RMB 50.7 billion. The company has repurchased $2 billion USD in shares and continues to pay dividends, indicating healthy revenue-generating capabilities. With the launch of popular new games such as Where Winds Meet with millions of global users, combined with ongoing AI-driven cost reduction and efficiency gains, this strong financial trajectory is expected to further strengthen.</w:t>
                      </w:r>
                    </w:p>
                    <w:p w14:paraId="434BBE71" w14:textId="77777777" w:rsidR="00644C49" w:rsidRPr="00644C49" w:rsidRDefault="00644C49">
                      <w:pPr>
                        <w:rPr>
                          <w:lang w:val="en-ID"/>
                        </w:rPr>
                      </w:pPr>
                    </w:p>
                  </w:txbxContent>
                </v:textbox>
              </v:shape>
            </w:pict>
          </mc:Fallback>
        </mc:AlternateContent>
      </w:r>
      <w:r w:rsidR="00000000" w:rsidRPr="002A7F20">
        <w:rPr>
          <w:rFonts w:ascii="Arial" w:hAnsi="Arial" w:cs="Arial"/>
          <w:b/>
          <w:bCs/>
          <w:sz w:val="28"/>
          <w:szCs w:val="28"/>
          <w:lang w:val="en-ID"/>
        </w:rPr>
        <w:t>Strong Financials, with Further Growth Expected</w:t>
      </w:r>
    </w:p>
    <w:p w14:paraId="73B57D94" w14:textId="77777777" w:rsidR="00DD74A5" w:rsidRDefault="00DD74A5">
      <w:pPr>
        <w:rPr>
          <w:rFonts w:ascii="Arial" w:hAnsi="Arial" w:cs="Arial"/>
          <w:lang w:val="en-AU"/>
        </w:rPr>
      </w:pPr>
    </w:p>
    <w:p w14:paraId="5FA8AF2A" w14:textId="77777777" w:rsidR="00644C49" w:rsidRDefault="00644C49">
      <w:pPr>
        <w:rPr>
          <w:rFonts w:ascii="Arial" w:hAnsi="Arial" w:cs="Arial"/>
          <w:b/>
          <w:bCs/>
          <w:color w:val="074F6A" w:themeColor="accent4" w:themeShade="80"/>
          <w:sz w:val="32"/>
          <w:szCs w:val="32"/>
          <w:u w:val="thick"/>
          <w:lang w:val="en-AU"/>
        </w:rPr>
      </w:pPr>
    </w:p>
    <w:p w14:paraId="01CD9EBA" w14:textId="77777777" w:rsidR="00644C49" w:rsidRDefault="00644C49">
      <w:pPr>
        <w:rPr>
          <w:rFonts w:ascii="Arial" w:hAnsi="Arial" w:cs="Arial"/>
          <w:b/>
          <w:bCs/>
          <w:color w:val="074F6A" w:themeColor="accent4" w:themeShade="80"/>
          <w:sz w:val="32"/>
          <w:szCs w:val="32"/>
          <w:u w:val="thick"/>
          <w:lang w:val="en-AU"/>
        </w:rPr>
      </w:pPr>
    </w:p>
    <w:p w14:paraId="19252DFE" w14:textId="77777777" w:rsidR="00644C49" w:rsidRDefault="00644C49">
      <w:pPr>
        <w:rPr>
          <w:rFonts w:ascii="Arial" w:hAnsi="Arial" w:cs="Arial"/>
          <w:b/>
          <w:bCs/>
          <w:color w:val="074F6A" w:themeColor="accent4" w:themeShade="80"/>
          <w:sz w:val="32"/>
          <w:szCs w:val="32"/>
          <w:u w:val="thick"/>
          <w:lang w:val="en-AU"/>
        </w:rPr>
      </w:pPr>
    </w:p>
    <w:p w14:paraId="4B40290A" w14:textId="77777777" w:rsidR="00644C49" w:rsidRDefault="00644C49">
      <w:pPr>
        <w:rPr>
          <w:rFonts w:ascii="Arial" w:hAnsi="Arial" w:cs="Arial"/>
          <w:b/>
          <w:bCs/>
          <w:color w:val="074F6A" w:themeColor="accent4" w:themeShade="80"/>
          <w:sz w:val="32"/>
          <w:szCs w:val="32"/>
          <w:u w:val="thick"/>
          <w:lang w:val="en-AU"/>
        </w:rPr>
      </w:pPr>
    </w:p>
    <w:p w14:paraId="1B9DB4B8" w14:textId="77777777" w:rsidR="00644C49" w:rsidRDefault="00644C49">
      <w:pPr>
        <w:rPr>
          <w:rFonts w:ascii="Arial" w:hAnsi="Arial" w:cs="Arial"/>
          <w:b/>
          <w:bCs/>
          <w:color w:val="074F6A" w:themeColor="accent4" w:themeShade="80"/>
          <w:sz w:val="32"/>
          <w:szCs w:val="32"/>
          <w:u w:val="thick"/>
          <w:lang w:val="en-AU"/>
        </w:rPr>
      </w:pPr>
    </w:p>
    <w:p w14:paraId="5B4AE3AB" w14:textId="77777777" w:rsidR="00644C49" w:rsidRDefault="00644C49">
      <w:pPr>
        <w:rPr>
          <w:rFonts w:ascii="Arial" w:hAnsi="Arial" w:cs="Arial"/>
          <w:b/>
          <w:bCs/>
          <w:color w:val="074F6A" w:themeColor="accent4" w:themeShade="80"/>
          <w:sz w:val="32"/>
          <w:szCs w:val="32"/>
          <w:u w:val="thick"/>
          <w:lang w:val="en-AU"/>
        </w:rPr>
      </w:pPr>
    </w:p>
    <w:p w14:paraId="149F8E0E" w14:textId="79AB529E" w:rsidR="00DD74A5" w:rsidRDefault="00644C49">
      <w:pPr>
        <w:rPr>
          <w:rFonts w:ascii="Arial" w:hAnsi="Arial" w:cs="Arial"/>
          <w:lang w:val="en-AU"/>
        </w:rPr>
      </w:pPr>
      <w:r>
        <w:rPr>
          <w:rFonts w:ascii="Arial" w:hAnsi="Arial" w:cs="Arial"/>
          <w:b/>
          <w:bCs/>
          <w:color w:val="074F6A" w:themeColor="accent4" w:themeShade="80"/>
          <w:sz w:val="32"/>
          <w:szCs w:val="32"/>
          <w:u w:val="thick"/>
          <w:lang w:val="en-AU"/>
        </w:rPr>
        <w:t>Business Description</w:t>
      </w:r>
      <w:r w:rsidR="00000000">
        <w:rPr>
          <w:rFonts w:ascii="Arial" w:hAnsi="Arial" w:cs="Arial"/>
          <w:b/>
          <w:bCs/>
          <w:color w:val="074F6A" w:themeColor="accent4" w:themeShade="80"/>
          <w:sz w:val="32"/>
          <w:szCs w:val="32"/>
          <w:u w:val="thick"/>
          <w:lang w:val="en-AU"/>
        </w:rPr>
        <w:tab/>
      </w:r>
      <w:r w:rsidR="00000000">
        <w:rPr>
          <w:rFonts w:ascii="Arial" w:hAnsi="Arial" w:cs="Arial"/>
          <w:b/>
          <w:bCs/>
          <w:color w:val="074F6A" w:themeColor="accent4" w:themeShade="80"/>
          <w:sz w:val="32"/>
          <w:szCs w:val="32"/>
          <w:u w:val="thick"/>
          <w:lang w:val="en-AU"/>
        </w:rPr>
        <w:tab/>
      </w:r>
      <w:r w:rsidR="00000000">
        <w:rPr>
          <w:rFonts w:ascii="Arial" w:hAnsi="Arial" w:cs="Arial"/>
          <w:b/>
          <w:bCs/>
          <w:color w:val="074F6A" w:themeColor="accent4" w:themeShade="80"/>
          <w:sz w:val="32"/>
          <w:szCs w:val="32"/>
          <w:u w:val="thick"/>
          <w:lang w:val="en-AU"/>
        </w:rPr>
        <w:tab/>
      </w:r>
    </w:p>
    <w:p w14:paraId="48196928" w14:textId="77777777" w:rsidR="00DD74A5" w:rsidRDefault="00000000">
      <w:pPr>
        <w:rPr>
          <w:rFonts w:ascii="Arial" w:hAnsi="Arial" w:cs="Arial"/>
          <w:szCs w:val="24"/>
          <w:lang w:val="en-AU"/>
        </w:rPr>
      </w:pPr>
      <w:r>
        <w:rPr>
          <w:rFonts w:ascii="Arial" w:hAnsi="Arial" w:cs="Arial"/>
          <w:noProof/>
          <w:lang w:val="en-AU"/>
        </w:rPr>
        <w:drawing>
          <wp:anchor distT="0" distB="0" distL="114300" distR="114300" simplePos="0" relativeHeight="251685888" behindDoc="0" locked="0" layoutInCell="1" allowOverlap="1" wp14:anchorId="26625FF4" wp14:editId="2707EA09">
            <wp:simplePos x="0" y="0"/>
            <wp:positionH relativeFrom="page">
              <wp:align>right</wp:align>
            </wp:positionH>
            <wp:positionV relativeFrom="paragraph">
              <wp:posOffset>13335</wp:posOffset>
            </wp:positionV>
            <wp:extent cx="2292985" cy="1785620"/>
            <wp:effectExtent l="0" t="0" r="0" b="5080"/>
            <wp:wrapSquare wrapText="bothSides"/>
            <wp:docPr id="10569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0947"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92985" cy="1785620"/>
                    </a:xfrm>
                    <a:prstGeom prst="rect">
                      <a:avLst/>
                    </a:prstGeom>
                  </pic:spPr>
                </pic:pic>
              </a:graphicData>
            </a:graphic>
          </wp:anchor>
        </w:drawing>
      </w:r>
      <w:r>
        <w:rPr>
          <w:rFonts w:ascii="Arial" w:hAnsi="Arial" w:cs="Arial"/>
          <w:szCs w:val="24"/>
          <w:lang w:val="en-AU"/>
        </w:rPr>
        <w:t xml:space="preserve">NetEase is </w:t>
      </w:r>
      <w:r>
        <w:rPr>
          <w:rFonts w:ascii="Arial" w:hAnsi="Arial" w:cs="Arial"/>
          <w:b/>
          <w:bCs/>
          <w:szCs w:val="24"/>
          <w:lang w:val="en-AU"/>
        </w:rPr>
        <w:t>one of the largest gaming companies in China</w:t>
      </w:r>
      <w:r>
        <w:rPr>
          <w:rFonts w:ascii="Arial" w:hAnsi="Arial" w:cs="Arial"/>
          <w:szCs w:val="24"/>
          <w:lang w:val="en-AU"/>
        </w:rPr>
        <w:t xml:space="preserve"> by revenue, founded by William Ding and established in 1997 as an internet service provider. It has since evolved into a gaming-focused company, consistently developing and launching new games such as Identity V. Its portfolio mainly consists of mobile, PC, and console platforms. The company has been enlisted on the Nasdaq Stock Market since 2000 (ticker symbol: NTES). </w:t>
      </w:r>
    </w:p>
    <w:p w14:paraId="11E3F49B" w14:textId="77777777" w:rsidR="00DD74A5" w:rsidRDefault="00000000">
      <w:pPr>
        <w:rPr>
          <w:rFonts w:ascii="Arial" w:hAnsi="Arial" w:cs="Arial"/>
          <w:szCs w:val="24"/>
          <w:lang w:val="en-AU"/>
        </w:rPr>
      </w:pPr>
      <w:r>
        <w:rPr>
          <w:rFonts w:ascii="Arial" w:hAnsi="Arial" w:cs="Arial"/>
          <w:noProof/>
          <w:lang w:val="en-AU"/>
          <w14:ligatures w14:val="none"/>
        </w:rPr>
        <mc:AlternateContent>
          <mc:Choice Requires="wps">
            <w:drawing>
              <wp:anchor distT="0" distB="0" distL="114300" distR="114300" simplePos="0" relativeHeight="251684864" behindDoc="0" locked="0" layoutInCell="1" allowOverlap="1" wp14:anchorId="75AA1F4D" wp14:editId="72798459">
                <wp:simplePos x="0" y="0"/>
                <wp:positionH relativeFrom="page">
                  <wp:posOffset>5266055</wp:posOffset>
                </wp:positionH>
                <wp:positionV relativeFrom="paragraph">
                  <wp:posOffset>78359</wp:posOffset>
                </wp:positionV>
                <wp:extent cx="2295525" cy="525145"/>
                <wp:effectExtent l="0" t="0" r="9525" b="8890"/>
                <wp:wrapNone/>
                <wp:docPr id="1628374591" name="Text Box 12"/>
                <wp:cNvGraphicFramePr/>
                <a:graphic xmlns:a="http://schemas.openxmlformats.org/drawingml/2006/main">
                  <a:graphicData uri="http://schemas.microsoft.com/office/word/2010/wordprocessingShape">
                    <wps:wsp>
                      <wps:cNvSpPr txBox="1"/>
                      <wps:spPr>
                        <a:xfrm>
                          <a:off x="0" y="0"/>
                          <a:ext cx="2295525" cy="525145"/>
                        </a:xfrm>
                        <a:prstGeom prst="rect">
                          <a:avLst/>
                        </a:prstGeom>
                        <a:solidFill>
                          <a:schemeClr val="lt1"/>
                        </a:solidFill>
                        <a:ln w="6350">
                          <a:noFill/>
                        </a:ln>
                      </wps:spPr>
                      <wps:txbx>
                        <w:txbxContent>
                          <w:p w14:paraId="096C85E7" w14:textId="77777777" w:rsidR="00DD74A5" w:rsidRDefault="00000000">
                            <w:pPr>
                              <w:rPr>
                                <w:rFonts w:ascii="Arial" w:hAnsi="Arial" w:cs="Arial"/>
                                <w:b/>
                                <w:bCs/>
                                <w:sz w:val="20"/>
                                <w:szCs w:val="20"/>
                                <w:lang w:val="en-AU"/>
                              </w:rPr>
                            </w:pPr>
                            <w:r>
                              <w:rPr>
                                <w:rFonts w:ascii="Arial" w:hAnsi="Arial" w:cs="Arial"/>
                                <w:b/>
                                <w:bCs/>
                                <w:sz w:val="20"/>
                                <w:szCs w:val="20"/>
                                <w:lang w:val="en-AU"/>
                              </w:rPr>
                              <w:t>Fig 1: NetEase’s Historical Stock Price Chart (in HKD)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A1F4D" id="Text Box 12" o:spid="_x0000_s1034" type="#_x0000_t202" style="position:absolute;margin-left:414.65pt;margin-top:6.15pt;width:180.75pt;height:41.35pt;z-index:2516848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" fillcolor="white [3201]" stroked="f" strokeweight=".5pt">
                <v:textbox>
                  <w:txbxContent>
                    <w:p w14:paraId="096C85E7" w14:textId="77777777" w:rsidR="00DD74A5" w:rsidRDefault="00000000">
                      <w:pPr>
                        <w:rPr>
                          <w:rFonts w:ascii="Arial" w:hAnsi="Arial" w:cs="Arial"/>
                          <w:b/>
                          <w:bCs/>
                          <w:sz w:val="20"/>
                          <w:szCs w:val="20"/>
                          <w:lang w:val="en-AU"/>
                        </w:rPr>
                      </w:pPr>
                      <w:r>
                        <w:rPr>
                          <w:rFonts w:ascii="Arial" w:hAnsi="Arial" w:cs="Arial"/>
                          <w:b/>
                          <w:bCs/>
                          <w:sz w:val="20"/>
                          <w:szCs w:val="20"/>
                          <w:lang w:val="en-AU"/>
                        </w:rPr>
                        <w:t>Fig 1: NetEase’s Historical Stock Price Chart (in HKD)</w:t>
                      </w:r>
                    </w:p>
                  </w:txbxContent>
                </v:textbox>
                <w10:wrap anchorx="page"/>
              </v:shape>
            </w:pict>
          </mc:Fallback>
        </mc:AlternateContent>
      </w:r>
    </w:p>
    <w:p w14:paraId="712BA650" w14:textId="77777777" w:rsidR="00DD74A5" w:rsidRDefault="00DD74A5">
      <w:pPr>
        <w:rPr>
          <w:rFonts w:ascii="Arial" w:hAnsi="Arial" w:cs="Arial"/>
          <w:szCs w:val="24"/>
          <w:lang w:val="en-AU"/>
        </w:rPr>
      </w:pPr>
    </w:p>
    <w:p w14:paraId="32983A42" w14:textId="77777777" w:rsidR="00DD74A5" w:rsidRDefault="00DD74A5">
      <w:pPr>
        <w:rPr>
          <w:rFonts w:ascii="Arial" w:hAnsi="Arial" w:cs="Arial"/>
          <w:b/>
          <w:bCs/>
          <w:sz w:val="28"/>
          <w:szCs w:val="28"/>
          <w:lang w:val="en-AU"/>
        </w:rPr>
      </w:pPr>
    </w:p>
    <w:p w14:paraId="14FFBEBC" w14:textId="77777777" w:rsidR="00DD74A5" w:rsidRDefault="00000000">
      <w:pPr>
        <w:rPr>
          <w:rFonts w:ascii="Arial" w:hAnsi="Arial" w:cs="Arial"/>
          <w:b/>
          <w:bCs/>
          <w:sz w:val="28"/>
          <w:szCs w:val="28"/>
          <w:lang w:val="en-AU"/>
        </w:rPr>
      </w:pPr>
      <w:r>
        <w:rPr>
          <w:rFonts w:ascii="Arial" w:hAnsi="Arial" w:cs="Arial"/>
          <w:b/>
          <w:bCs/>
          <w:sz w:val="28"/>
          <w:szCs w:val="28"/>
          <w:lang w:val="en-AU"/>
        </w:rPr>
        <w:t>Business Operations &amp; Revenue Structure</w:t>
      </w:r>
    </w:p>
    <w:p w14:paraId="3244F416" w14:textId="77777777" w:rsidR="00DD74A5" w:rsidRDefault="00000000">
      <w:pPr>
        <w:rPr>
          <w:rFonts w:ascii="Arial" w:hAnsi="Arial" w:cs="Arial"/>
          <w:szCs w:val="24"/>
          <w:lang w:val="en-AU"/>
        </w:rPr>
      </w:pPr>
      <w:r>
        <w:rPr>
          <w:rFonts w:ascii="Arial" w:hAnsi="Arial" w:cs="Arial"/>
          <w:szCs w:val="24"/>
          <w:lang w:val="en-AU"/>
        </w:rPr>
        <w:t xml:space="preserve">Although NetEase’s primary market remains China, the company has expanded internationally through launching several games and listed itself on the Hong Kong Stock Exchange in 2020. Beyond games, NetEase also owns </w:t>
      </w:r>
      <w:proofErr w:type="spellStart"/>
      <w:r>
        <w:rPr>
          <w:rFonts w:ascii="Arial" w:hAnsi="Arial" w:cs="Arial"/>
          <w:szCs w:val="24"/>
          <w:lang w:val="en-AU"/>
        </w:rPr>
        <w:t>Youdao</w:t>
      </w:r>
      <w:proofErr w:type="spellEnd"/>
      <w:r>
        <w:rPr>
          <w:rFonts w:ascii="Arial" w:hAnsi="Arial" w:cs="Arial"/>
          <w:szCs w:val="24"/>
          <w:lang w:val="en-AU"/>
        </w:rPr>
        <w:t>, an AI-based learning platform featuring smart devices, as well as NetEase Cloud Music – one of China’s largest music platforms. These non-gaming businesses diversify NetEase’s portfolio, but its gaming segments have continued to fuel most of its revenue and operating profits.</w:t>
      </w:r>
    </w:p>
    <w:p w14:paraId="1A54B5E7" w14:textId="77777777" w:rsidR="00DD74A5" w:rsidRDefault="00000000">
      <w:pPr>
        <w:rPr>
          <w:rFonts w:ascii="Arial" w:hAnsi="Arial" w:cs="Arial"/>
          <w:b/>
          <w:bCs/>
          <w:color w:val="074F6A" w:themeColor="accent4" w:themeShade="80"/>
          <w:sz w:val="32"/>
          <w:szCs w:val="32"/>
          <w:u w:val="thick"/>
          <w:lang w:val="en-AU"/>
        </w:rPr>
      </w:pPr>
      <w:r>
        <w:rPr>
          <w:rFonts w:ascii="Arial" w:hAnsi="Arial" w:cs="Arial"/>
          <w:b/>
          <w:bCs/>
          <w:color w:val="074F6A" w:themeColor="accent4" w:themeShade="80"/>
          <w:sz w:val="32"/>
          <w:szCs w:val="32"/>
          <w:u w:val="thick"/>
          <w:lang w:val="en-AU"/>
        </w:rPr>
        <w:t>Industry Overview</w:t>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p>
    <w:p w14:paraId="3ED32474" w14:textId="77777777" w:rsidR="00DD74A5" w:rsidRDefault="00000000">
      <w:pPr>
        <w:pStyle w:val="ListParagraph"/>
        <w:numPr>
          <w:ilvl w:val="0"/>
          <w:numId w:val="1"/>
        </w:numPr>
        <w:rPr>
          <w:rFonts w:ascii="Arial" w:hAnsi="Arial" w:cs="Arial"/>
          <w:b/>
          <w:bCs/>
          <w:color w:val="00B050"/>
          <w:sz w:val="28"/>
          <w:szCs w:val="28"/>
          <w:lang w:val="en-AU"/>
        </w:rPr>
      </w:pPr>
      <w:r>
        <w:rPr>
          <w:rFonts w:ascii="Arial" w:hAnsi="Arial" w:cs="Arial"/>
          <w:b/>
          <w:bCs/>
          <w:color w:val="00B050"/>
          <w:sz w:val="28"/>
          <w:szCs w:val="28"/>
          <w:lang w:val="en-AU"/>
        </w:rPr>
        <w:t>Demand for games</w:t>
      </w:r>
    </w:p>
    <w:p w14:paraId="452A3F32" w14:textId="77777777" w:rsidR="00DD74A5" w:rsidRDefault="00000000">
      <w:pPr>
        <w:pStyle w:val="ListParagraph"/>
        <w:rPr>
          <w:rFonts w:ascii="Arial" w:hAnsi="Arial" w:cs="Arial"/>
          <w:color w:val="074F6A" w:themeColor="accent4" w:themeShade="80"/>
          <w:szCs w:val="24"/>
          <w:lang w:val="en-AU"/>
        </w:rPr>
      </w:pPr>
      <w:r>
        <w:rPr>
          <w:rFonts w:ascii="Arial" w:hAnsi="Arial" w:cs="Arial"/>
          <w:szCs w:val="24"/>
          <w:lang w:val="en-AU"/>
        </w:rPr>
        <w:t xml:space="preserve">Modern lifestyles often include gaming habits, which has become an increasingly common form of entertainment. The demand for games has been clear as the gaming industry has become increasingly popular over the years, its global market revenue showing consistent annual growth rates over the past decade. Furthermore, the </w:t>
      </w:r>
      <w:r>
        <w:rPr>
          <w:rFonts w:ascii="Arial" w:hAnsi="Arial" w:cs="Arial"/>
          <w:b/>
          <w:bCs/>
          <w:szCs w:val="24"/>
          <w:lang w:val="en-AU"/>
        </w:rPr>
        <w:t>global gaming revenue is expected to grow at a CAGR of approximately 6%</w:t>
      </w:r>
      <w:r>
        <w:rPr>
          <w:rFonts w:ascii="Arial" w:hAnsi="Arial" w:cs="Arial"/>
          <w:szCs w:val="24"/>
          <w:lang w:val="en-AU"/>
        </w:rPr>
        <w:t xml:space="preserve"> from 2026 to 2030.</w:t>
      </w:r>
    </w:p>
    <w:p w14:paraId="00C73ED4" w14:textId="77777777" w:rsidR="00DD74A5" w:rsidRDefault="00000000">
      <w:pPr>
        <w:pStyle w:val="ListParagraph"/>
        <w:numPr>
          <w:ilvl w:val="0"/>
          <w:numId w:val="1"/>
        </w:numPr>
        <w:rPr>
          <w:rFonts w:ascii="Arial" w:hAnsi="Arial" w:cs="Arial"/>
          <w:b/>
          <w:bCs/>
          <w:color w:val="00B050"/>
          <w:sz w:val="28"/>
          <w:szCs w:val="28"/>
          <w:lang w:val="en-AU"/>
        </w:rPr>
      </w:pPr>
      <w:r>
        <w:rPr>
          <w:rFonts w:ascii="Arial" w:hAnsi="Arial" w:cs="Arial"/>
          <w:b/>
          <w:bCs/>
          <w:color w:val="00B050"/>
          <w:sz w:val="28"/>
          <w:szCs w:val="28"/>
          <w:lang w:val="en-AU"/>
        </w:rPr>
        <w:t>Game Development</w:t>
      </w:r>
    </w:p>
    <w:p w14:paraId="76C20070" w14:textId="77777777" w:rsidR="00DD74A5" w:rsidRDefault="00000000">
      <w:pPr>
        <w:pStyle w:val="ListParagraph"/>
        <w:rPr>
          <w:rFonts w:ascii="Arial" w:hAnsi="Arial" w:cs="Arial"/>
          <w:szCs w:val="24"/>
          <w:lang w:val="en-AU"/>
        </w:rPr>
      </w:pPr>
      <w:r>
        <w:rPr>
          <w:rFonts w:ascii="Arial" w:hAnsi="Arial" w:cs="Arial"/>
          <w:szCs w:val="24"/>
          <w:lang w:val="en-AU"/>
        </w:rPr>
        <w:t xml:space="preserve">With continuous improvements in AI capabilities and development, the game industry is expected to thrive in the future. AI-based development tools may improve game research and development efficiency by assisting in coding, testing, and live operations, which allow faster content updates for games. With these prospects, global gaming revenue is expected to reach $353 billion USD by 2030. </w:t>
      </w:r>
    </w:p>
    <w:p w14:paraId="0B97B616" w14:textId="77777777" w:rsidR="00DD74A5" w:rsidRDefault="00000000">
      <w:pPr>
        <w:pStyle w:val="ListParagraph"/>
        <w:numPr>
          <w:ilvl w:val="0"/>
          <w:numId w:val="1"/>
        </w:numPr>
        <w:rPr>
          <w:rFonts w:ascii="Arial" w:hAnsi="Arial" w:cs="Arial"/>
          <w:b/>
          <w:bCs/>
          <w:color w:val="00B050"/>
          <w:sz w:val="28"/>
          <w:szCs w:val="28"/>
          <w:lang w:val="en-AU"/>
        </w:rPr>
      </w:pPr>
      <w:r>
        <w:rPr>
          <w:rFonts w:ascii="Arial" w:hAnsi="Arial" w:cs="Arial"/>
          <w:b/>
          <w:bCs/>
          <w:color w:val="00B050"/>
          <w:sz w:val="28"/>
          <w:szCs w:val="28"/>
          <w:lang w:val="en-AU"/>
        </w:rPr>
        <w:t>R&amp;D Capabilities Determine Rankings</w:t>
      </w:r>
    </w:p>
    <w:p w14:paraId="56313080" w14:textId="77777777" w:rsidR="00DD74A5" w:rsidRPr="002A7F20" w:rsidRDefault="00000000">
      <w:pPr>
        <w:pStyle w:val="ListParagraph"/>
        <w:rPr>
          <w:rFonts w:ascii="Arial" w:hAnsi="Arial" w:cs="Arial"/>
          <w:szCs w:val="24"/>
          <w:lang w:val="en-ID"/>
        </w:rPr>
      </w:pPr>
      <w:r w:rsidRPr="002A7F20">
        <w:rPr>
          <w:rFonts w:ascii="Arial" w:hAnsi="Arial" w:cs="Arial"/>
          <w:szCs w:val="24"/>
          <w:lang w:val="en-ID"/>
        </w:rPr>
        <w:t xml:space="preserve">Although NetEase and others have built deep expertise in proprietary engines, such as </w:t>
      </w:r>
      <w:proofErr w:type="spellStart"/>
      <w:r w:rsidRPr="002A7F20">
        <w:rPr>
          <w:rFonts w:ascii="Arial" w:hAnsi="Arial" w:cs="Arial"/>
          <w:szCs w:val="24"/>
          <w:lang w:val="en-ID"/>
        </w:rPr>
        <w:t>NeoX</w:t>
      </w:r>
      <w:proofErr w:type="spellEnd"/>
      <w:r w:rsidRPr="002A7F20">
        <w:rPr>
          <w:rFonts w:ascii="Arial" w:hAnsi="Arial" w:cs="Arial"/>
          <w:szCs w:val="24"/>
          <w:lang w:val="en-ID"/>
        </w:rPr>
        <w:t xml:space="preserve">, and long-term game operations, they still need breakthroughs in narrative design and original IP globalization to increase player engagement. Future competition will depend on creative capacity, with </w:t>
      </w:r>
      <w:r w:rsidRPr="002A7F20">
        <w:rPr>
          <w:rFonts w:ascii="Arial" w:hAnsi="Arial" w:cs="Arial"/>
          <w:b/>
          <w:bCs/>
          <w:szCs w:val="24"/>
          <w:lang w:val="en-ID"/>
        </w:rPr>
        <w:t>R&amp;D intensity determining industry rankings</w:t>
      </w:r>
      <w:r w:rsidRPr="002A7F20">
        <w:rPr>
          <w:rFonts w:ascii="Arial" w:hAnsi="Arial" w:cs="Arial"/>
          <w:szCs w:val="24"/>
          <w:lang w:val="en-ID"/>
        </w:rPr>
        <w:t xml:space="preserve">. </w:t>
      </w:r>
    </w:p>
    <w:p w14:paraId="038B5853" w14:textId="79877E58" w:rsidR="00DD74A5" w:rsidRPr="00AD7FF2" w:rsidRDefault="00000000" w:rsidP="00AD7FF2">
      <w:pPr>
        <w:pStyle w:val="ListParagraph"/>
        <w:rPr>
          <w:rFonts w:ascii="Arial" w:hAnsi="Arial" w:cs="Arial"/>
          <w:szCs w:val="24"/>
          <w:lang w:val="en-ID"/>
        </w:rPr>
      </w:pPr>
      <w:r w:rsidRPr="002A7F20">
        <w:rPr>
          <w:rFonts w:ascii="Arial" w:hAnsi="Arial" w:cs="Arial"/>
          <w:szCs w:val="24"/>
          <w:lang w:val="en-ID"/>
        </w:rPr>
        <w:t xml:space="preserve"> </w:t>
      </w:r>
    </w:p>
    <w:p w14:paraId="13C82273" w14:textId="02DF27F4" w:rsidR="00DD74A5" w:rsidRPr="00AD7FF2" w:rsidRDefault="00AD7FF2">
      <w:pPr>
        <w:rPr>
          <w:rFonts w:ascii="Arial" w:hAnsi="Arial" w:cs="Arial"/>
          <w:b/>
          <w:bCs/>
          <w:color w:val="074F6A" w:themeColor="accent4" w:themeShade="80"/>
          <w:sz w:val="32"/>
          <w:szCs w:val="32"/>
          <w:u w:val="single"/>
          <w:lang w:val="en-AU"/>
        </w:rPr>
      </w:pPr>
      <w:r>
        <w:rPr>
          <w:rFonts w:ascii="Arial" w:hAnsi="Arial" w:cs="Arial"/>
          <w:b/>
          <w:bCs/>
          <w:noProof/>
          <w:color w:val="00B050"/>
          <w:sz w:val="28"/>
          <w:szCs w:val="28"/>
          <w:u w:val="thick"/>
          <w:lang w:val="en-AU"/>
        </w:rPr>
        <w:drawing>
          <wp:anchor distT="0" distB="0" distL="114300" distR="114300" simplePos="0" relativeHeight="251659264" behindDoc="0" locked="0" layoutInCell="1" allowOverlap="1" wp14:anchorId="33878DC0" wp14:editId="374442EE">
            <wp:simplePos x="0" y="0"/>
            <wp:positionH relativeFrom="margin">
              <wp:posOffset>4251325</wp:posOffset>
            </wp:positionH>
            <wp:positionV relativeFrom="margin">
              <wp:posOffset>7284939</wp:posOffset>
            </wp:positionV>
            <wp:extent cx="2356485" cy="1950720"/>
            <wp:effectExtent l="0" t="0" r="5715" b="0"/>
            <wp:wrapSquare wrapText="bothSides"/>
            <wp:docPr id="179625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8910"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6485" cy="1950720"/>
                    </a:xfrm>
                    <a:prstGeom prst="rect">
                      <a:avLst/>
                    </a:prstGeom>
                  </pic:spPr>
                </pic:pic>
              </a:graphicData>
            </a:graphic>
          </wp:anchor>
        </w:drawing>
      </w:r>
      <w:r w:rsidR="00000000">
        <w:rPr>
          <w:rFonts w:ascii="Arial" w:hAnsi="Arial" w:cs="Arial"/>
          <w:b/>
          <w:bCs/>
          <w:color w:val="074F6A" w:themeColor="accent4" w:themeShade="80"/>
          <w:sz w:val="32"/>
          <w:szCs w:val="32"/>
          <w:u w:val="thick"/>
          <w:lang w:val="en-AU"/>
        </w:rPr>
        <w:t>Competitive Positioning</w:t>
      </w:r>
      <w:r w:rsidR="00000000">
        <w:rPr>
          <w:rFonts w:ascii="Arial" w:hAnsi="Arial" w:cs="Arial"/>
          <w:b/>
          <w:bCs/>
          <w:color w:val="074F6A" w:themeColor="accent4" w:themeShade="80"/>
          <w:sz w:val="32"/>
          <w:szCs w:val="32"/>
          <w:u w:val="thick"/>
          <w:lang w:val="en-AU"/>
        </w:rPr>
        <w:tab/>
      </w:r>
      <w:r w:rsidR="00000000">
        <w:rPr>
          <w:rFonts w:ascii="Arial" w:hAnsi="Arial" w:cs="Arial"/>
          <w:b/>
          <w:bCs/>
          <w:color w:val="074F6A" w:themeColor="accent4" w:themeShade="80"/>
          <w:sz w:val="32"/>
          <w:szCs w:val="32"/>
          <w:u w:val="thick"/>
          <w:lang w:val="en-AU"/>
        </w:rPr>
        <w:tab/>
      </w:r>
      <w:r w:rsidR="00000000">
        <w:rPr>
          <w:rFonts w:ascii="Arial" w:hAnsi="Arial" w:cs="Arial"/>
          <w:b/>
          <w:bCs/>
          <w:color w:val="074F6A" w:themeColor="accent4" w:themeShade="80"/>
          <w:sz w:val="32"/>
          <w:szCs w:val="32"/>
          <w:u w:val="thick"/>
          <w:lang w:val="en-AU"/>
        </w:rPr>
        <w:tab/>
      </w:r>
      <w:r w:rsidR="00000000">
        <w:rPr>
          <w:rFonts w:ascii="Arial" w:hAnsi="Arial" w:cs="Arial"/>
          <w:b/>
          <w:bCs/>
          <w:color w:val="074F6A" w:themeColor="accent4" w:themeShade="80"/>
          <w:sz w:val="32"/>
          <w:szCs w:val="32"/>
          <w:u w:val="thick"/>
          <w:lang w:val="en-AU"/>
        </w:rPr>
        <w:tab/>
      </w:r>
      <w:r w:rsidR="00000000">
        <w:rPr>
          <w:rFonts w:ascii="Arial" w:hAnsi="Arial" w:cs="Arial"/>
          <w:b/>
          <w:bCs/>
          <w:color w:val="074F6A" w:themeColor="accent4" w:themeShade="80"/>
          <w:sz w:val="32"/>
          <w:szCs w:val="32"/>
          <w:u w:val="thick"/>
          <w:lang w:val="en-AU"/>
        </w:rPr>
        <w:tab/>
      </w:r>
      <w:r w:rsidR="00000000">
        <w:rPr>
          <w:rFonts w:ascii="Arial" w:hAnsi="Arial" w:cs="Arial"/>
          <w:b/>
          <w:bCs/>
          <w:color w:val="074F6A" w:themeColor="accent4" w:themeShade="80"/>
          <w:sz w:val="32"/>
          <w:szCs w:val="32"/>
          <w:u w:val="thick"/>
          <w:lang w:val="en-AU"/>
        </w:rPr>
        <w:tab/>
      </w:r>
      <w:r w:rsidR="00000000">
        <w:rPr>
          <w:rFonts w:ascii="Arial" w:hAnsi="Arial" w:cs="Arial"/>
          <w:b/>
          <w:bCs/>
          <w:color w:val="074F6A" w:themeColor="accent4" w:themeShade="80"/>
          <w:sz w:val="32"/>
          <w:szCs w:val="32"/>
          <w:u w:val="thick"/>
          <w:lang w:val="en-AU"/>
        </w:rPr>
        <w:tab/>
      </w:r>
    </w:p>
    <w:p w14:paraId="7FDE5563" w14:textId="57CAF957" w:rsidR="00DD74A5" w:rsidRDefault="00AD7FF2">
      <w:pPr>
        <w:rPr>
          <w:rFonts w:ascii="Arial" w:hAnsi="Arial" w:cs="Arial"/>
          <w:lang w:val="en-AU"/>
        </w:rPr>
      </w:pPr>
      <w:r>
        <w:rPr>
          <w:rFonts w:ascii="Arial" w:hAnsi="Arial" w:cs="Arial"/>
          <w:noProof/>
          <w:szCs w:val="24"/>
          <w:lang w:val="en-AU"/>
          <w14:ligatures w14:val="none"/>
        </w:rPr>
        <mc:AlternateContent>
          <mc:Choice Requires="wps">
            <w:drawing>
              <wp:anchor distT="0" distB="0" distL="114300" distR="114300" simplePos="0" relativeHeight="251664384" behindDoc="0" locked="0" layoutInCell="1" allowOverlap="1" wp14:anchorId="62998811" wp14:editId="335BE76B">
                <wp:simplePos x="0" y="0"/>
                <wp:positionH relativeFrom="page">
                  <wp:posOffset>5172710</wp:posOffset>
                </wp:positionH>
                <wp:positionV relativeFrom="paragraph">
                  <wp:posOffset>2173740</wp:posOffset>
                </wp:positionV>
                <wp:extent cx="2334260" cy="283845"/>
                <wp:effectExtent l="0" t="0" r="0" b="0"/>
                <wp:wrapNone/>
                <wp:docPr id="62635704" name="Text Box 3"/>
                <wp:cNvGraphicFramePr/>
                <a:graphic xmlns:a="http://schemas.openxmlformats.org/drawingml/2006/main">
                  <a:graphicData uri="http://schemas.microsoft.com/office/word/2010/wordprocessingShape">
                    <wps:wsp>
                      <wps:cNvSpPr txBox="1"/>
                      <wps:spPr>
                        <a:xfrm>
                          <a:off x="0" y="0"/>
                          <a:ext cx="2334260" cy="283845"/>
                        </a:xfrm>
                        <a:prstGeom prst="rect">
                          <a:avLst/>
                        </a:prstGeom>
                        <a:noFill/>
                        <a:ln w="6350">
                          <a:noFill/>
                        </a:ln>
                      </wps:spPr>
                      <wps:txbx>
                        <w:txbxContent>
                          <w:p w14:paraId="413C086A" w14:textId="77777777" w:rsidR="00DD74A5" w:rsidRDefault="00000000">
                            <w:pPr>
                              <w:rPr>
                                <w:rFonts w:ascii="Arial" w:hAnsi="Arial" w:cs="Arial"/>
                                <w:sz w:val="16"/>
                                <w:szCs w:val="16"/>
                                <w:lang w:val="en-AU"/>
                              </w:rPr>
                            </w:pPr>
                            <w:r>
                              <w:rPr>
                                <w:rFonts w:ascii="Arial" w:hAnsi="Arial" w:cs="Arial"/>
                                <w:sz w:val="16"/>
                                <w:szCs w:val="16"/>
                                <w:lang w:val="en-AU"/>
                              </w:rPr>
                              <w:t>Source: BCG Publications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998811" id="Text Box 3" o:spid="_x0000_s1035" type="#_x0000_t202" style="position:absolute;margin-left:407.3pt;margin-top:171.15pt;width:183.8pt;height:22.35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" filled="f" stroked="f" strokeweight=".5pt">
                <v:textbox>
                  <w:txbxContent>
                    <w:p w14:paraId="413C086A" w14:textId="77777777" w:rsidR="00DD74A5" w:rsidRDefault="00000000">
                      <w:pPr>
                        <w:rPr>
                          <w:rFonts w:ascii="Arial" w:hAnsi="Arial" w:cs="Arial"/>
                          <w:sz w:val="16"/>
                          <w:szCs w:val="16"/>
                          <w:lang w:val="en-AU"/>
                        </w:rPr>
                      </w:pPr>
                      <w:r>
                        <w:rPr>
                          <w:rFonts w:ascii="Arial" w:hAnsi="Arial" w:cs="Arial"/>
                          <w:sz w:val="16"/>
                          <w:szCs w:val="16"/>
                          <w:lang w:val="en-AU"/>
                        </w:rPr>
                        <w:t>Source: BCG Publications</w:t>
                      </w:r>
                    </w:p>
                  </w:txbxContent>
                </v:textbox>
                <w10:wrap anchorx="page"/>
              </v:shape>
            </w:pict>
          </mc:Fallback>
        </mc:AlternateContent>
      </w:r>
      <w:r>
        <w:rPr>
          <w:rFonts w:ascii="Arial" w:hAnsi="Arial" w:cs="Arial"/>
          <w:b/>
          <w:bCs/>
          <w:noProof/>
          <w:color w:val="00B050"/>
          <w:sz w:val="28"/>
          <w:szCs w:val="28"/>
          <w:u w:val="thick"/>
          <w:lang w:val="en-AU"/>
          <w14:ligatures w14:val="none"/>
        </w:rPr>
        <mc:AlternateContent>
          <mc:Choice Requires="wps">
            <w:drawing>
              <wp:anchor distT="0" distB="0" distL="114300" distR="114300" simplePos="0" relativeHeight="251686912" behindDoc="0" locked="0" layoutInCell="1" allowOverlap="1" wp14:anchorId="7A324245" wp14:editId="38DE024E">
                <wp:simplePos x="0" y="0"/>
                <wp:positionH relativeFrom="page">
                  <wp:posOffset>5164111</wp:posOffset>
                </wp:positionH>
                <wp:positionV relativeFrom="paragraph">
                  <wp:posOffset>1824126</wp:posOffset>
                </wp:positionV>
                <wp:extent cx="2344420" cy="397239"/>
                <wp:effectExtent l="0" t="0" r="0" b="0"/>
                <wp:wrapNone/>
                <wp:docPr id="1599452560" name="Text Box 13"/>
                <wp:cNvGraphicFramePr/>
                <a:graphic xmlns:a="http://schemas.openxmlformats.org/drawingml/2006/main">
                  <a:graphicData uri="http://schemas.microsoft.com/office/word/2010/wordprocessingShape">
                    <wps:wsp>
                      <wps:cNvSpPr txBox="1"/>
                      <wps:spPr>
                        <a:xfrm>
                          <a:off x="0" y="0"/>
                          <a:ext cx="2344420" cy="397239"/>
                        </a:xfrm>
                        <a:prstGeom prst="rect">
                          <a:avLst/>
                        </a:prstGeom>
                        <a:noFill/>
                        <a:ln w="6350">
                          <a:noFill/>
                        </a:ln>
                      </wps:spPr>
                      <wps:txbx>
                        <w:txbxContent>
                          <w:p w14:paraId="3AC1B8E7" w14:textId="77777777" w:rsidR="00DD74A5" w:rsidRDefault="00000000">
                            <w:pPr>
                              <w:rPr>
                                <w:rFonts w:ascii="Arial" w:hAnsi="Arial" w:cs="Arial"/>
                                <w:b/>
                                <w:bCs/>
                                <w:sz w:val="20"/>
                                <w:szCs w:val="20"/>
                                <w:lang w:val="en-AU"/>
                              </w:rPr>
                            </w:pPr>
                            <w:r>
                              <w:rPr>
                                <w:rFonts w:ascii="Arial" w:hAnsi="Arial" w:cs="Arial"/>
                                <w:b/>
                                <w:bCs/>
                                <w:sz w:val="20"/>
                                <w:szCs w:val="20"/>
                                <w:lang w:val="en-AU"/>
                              </w:rPr>
                              <w:t>Fig 2: NetEase’s Historical and Projected Revenue (by analysts)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A324245" id="Text Box 13" o:spid="_x0000_s1036" type="#_x0000_t202" style="position:absolute;margin-left:406.6pt;margin-top:143.65pt;width:184.6pt;height:31.3pt;z-index:2516869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" filled="f" stroked="f" strokeweight=".5pt">
                <v:textbox>
                  <w:txbxContent>
                    <w:p w14:paraId="3AC1B8E7" w14:textId="77777777" w:rsidR="00DD74A5" w:rsidRDefault="00000000">
                      <w:pPr>
                        <w:rPr>
                          <w:rFonts w:ascii="Arial" w:hAnsi="Arial" w:cs="Arial"/>
                          <w:b/>
                          <w:bCs/>
                          <w:sz w:val="20"/>
                          <w:szCs w:val="20"/>
                          <w:lang w:val="en-AU"/>
                        </w:rPr>
                      </w:pPr>
                      <w:r>
                        <w:rPr>
                          <w:rFonts w:ascii="Arial" w:hAnsi="Arial" w:cs="Arial"/>
                          <w:b/>
                          <w:bCs/>
                          <w:sz w:val="20"/>
                          <w:szCs w:val="20"/>
                          <w:lang w:val="en-AU"/>
                        </w:rPr>
                        <w:t>Fig 2: NetEase’s Historical and Projected Revenue (by analysts)</w:t>
                      </w:r>
                    </w:p>
                  </w:txbxContent>
                </v:textbox>
                <w10:wrap anchorx="page"/>
              </v:shape>
            </w:pict>
          </mc:Fallback>
        </mc:AlternateContent>
      </w:r>
      <w:r w:rsidR="00000000">
        <w:rPr>
          <w:rFonts w:ascii="Arial" w:hAnsi="Arial" w:cs="Arial"/>
          <w:lang w:val="en-AU"/>
        </w:rPr>
        <w:t xml:space="preserve">NetEase is China’s second-largest company in the gaming industry by revenue, competing against other gaming company giants like Tencent and </w:t>
      </w:r>
      <w:proofErr w:type="spellStart"/>
      <w:r w:rsidR="00000000">
        <w:rPr>
          <w:rFonts w:ascii="Arial" w:hAnsi="Arial" w:cs="Arial"/>
          <w:lang w:val="en-AU"/>
        </w:rPr>
        <w:t>miHoYo</w:t>
      </w:r>
      <w:proofErr w:type="spellEnd"/>
      <w:r w:rsidR="00000000">
        <w:rPr>
          <w:rFonts w:ascii="Arial" w:hAnsi="Arial" w:cs="Arial"/>
          <w:lang w:val="en-AU"/>
        </w:rPr>
        <w:t>. While the game industry continues to thrive, NetEase has seized opportunities to release new games, introducing popular games such as Where Winds Meet, which have supported its revenue growth.</w:t>
      </w:r>
    </w:p>
    <w:p w14:paraId="0F7EBF56" w14:textId="23F453D3"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lastRenderedPageBreak/>
        <w:t>Core Focus on Gaming Services</w:t>
      </w:r>
    </w:p>
    <w:p w14:paraId="0C7F1033" w14:textId="2032E5BC" w:rsidR="00DD74A5" w:rsidRDefault="00000000">
      <w:pPr>
        <w:rPr>
          <w:rFonts w:ascii="Arial" w:hAnsi="Arial" w:cs="Arial"/>
          <w:b/>
          <w:bCs/>
          <w:sz w:val="28"/>
          <w:szCs w:val="28"/>
          <w:lang w:val="en-AU"/>
        </w:rPr>
      </w:pPr>
      <w:r>
        <w:rPr>
          <w:rFonts w:ascii="Arial" w:hAnsi="Arial" w:cs="Arial"/>
          <w:lang w:val="en-AU"/>
        </w:rPr>
        <w:t>NetEase focuses mostly on games, which makes up around 82% of its annual revenue</w:t>
      </w:r>
      <w:r>
        <w:rPr>
          <w:rFonts w:ascii="Arial" w:hAnsi="Arial" w:cs="Arial"/>
          <w:b/>
          <w:bCs/>
          <w:lang w:val="en-AU"/>
        </w:rPr>
        <w:t xml:space="preserve"> </w:t>
      </w:r>
      <w:r>
        <w:rPr>
          <w:rFonts w:ascii="Arial" w:hAnsi="Arial" w:cs="Arial"/>
          <w:lang w:val="en-AU"/>
        </w:rPr>
        <w:t xml:space="preserve">in 2025 (Fig 3). This business strategy allows NetEase to allocate more resources towards developing its game services and content, giving it an edge in player engagement, which is important for its competitiveness in the gaming market. </w:t>
      </w:r>
    </w:p>
    <w:p w14:paraId="019D32B9" w14:textId="5BA40EA3" w:rsidR="00DD74A5" w:rsidRDefault="00AD7FF2">
      <w:pPr>
        <w:pStyle w:val="ListParagraph"/>
        <w:ind w:left="0"/>
        <w:rPr>
          <w:rFonts w:ascii="Arial" w:hAnsi="Arial" w:cs="Arial"/>
          <w:b/>
          <w:bCs/>
          <w:color w:val="0070C0"/>
          <w:sz w:val="28"/>
          <w:szCs w:val="28"/>
          <w:lang w:val="en-AU"/>
        </w:rPr>
      </w:pPr>
      <w:r>
        <w:rPr>
          <w:rFonts w:ascii="Arial" w:hAnsi="Arial" w:cs="Arial"/>
          <w:noProof/>
          <w:lang w:val="en-AU"/>
        </w:rPr>
        <w:drawing>
          <wp:anchor distT="0" distB="0" distL="114300" distR="114300" simplePos="0" relativeHeight="251666432" behindDoc="0" locked="0" layoutInCell="1" allowOverlap="1" wp14:anchorId="7C2AECFF" wp14:editId="2A8FFB16">
            <wp:simplePos x="0" y="0"/>
            <wp:positionH relativeFrom="margin">
              <wp:posOffset>4594860</wp:posOffset>
            </wp:positionH>
            <wp:positionV relativeFrom="page">
              <wp:posOffset>2327858</wp:posOffset>
            </wp:positionV>
            <wp:extent cx="1470025" cy="1623695"/>
            <wp:effectExtent l="0" t="0" r="0" b="0"/>
            <wp:wrapSquare wrapText="bothSides"/>
            <wp:docPr id="174134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658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70025" cy="1623695"/>
                    </a:xfrm>
                    <a:prstGeom prst="rect">
                      <a:avLst/>
                    </a:prstGeom>
                  </pic:spPr>
                </pic:pic>
              </a:graphicData>
            </a:graphic>
          </wp:anchor>
        </w:drawing>
      </w:r>
      <w:r w:rsidR="00000000">
        <w:rPr>
          <w:rFonts w:ascii="Arial" w:hAnsi="Arial" w:cs="Arial"/>
          <w:b/>
          <w:bCs/>
          <w:color w:val="0070C0"/>
          <w:sz w:val="28"/>
          <w:szCs w:val="28"/>
          <w:lang w:val="en-AU"/>
        </w:rPr>
        <w:t>Diversification Beyond Gaming</w:t>
      </w:r>
    </w:p>
    <w:p w14:paraId="06AF8D8C" w14:textId="43889305" w:rsidR="00DD74A5" w:rsidRDefault="00000000">
      <w:pPr>
        <w:rPr>
          <w:rFonts w:ascii="Arial" w:hAnsi="Arial" w:cs="Arial"/>
          <w:lang w:val="en-AU"/>
        </w:rPr>
      </w:pPr>
      <w:r>
        <w:rPr>
          <w:rFonts w:ascii="Arial" w:hAnsi="Arial" w:cs="Arial"/>
          <w:lang w:val="en-AU"/>
        </w:rPr>
        <w:t xml:space="preserve">NetEase also owns </w:t>
      </w:r>
      <w:proofErr w:type="spellStart"/>
      <w:r>
        <w:rPr>
          <w:rFonts w:ascii="Arial" w:hAnsi="Arial" w:cs="Arial"/>
          <w:lang w:val="en-AU"/>
        </w:rPr>
        <w:t>Youdao</w:t>
      </w:r>
      <w:proofErr w:type="spellEnd"/>
      <w:r>
        <w:rPr>
          <w:rFonts w:ascii="Arial" w:hAnsi="Arial" w:cs="Arial"/>
          <w:lang w:val="en-AU"/>
        </w:rPr>
        <w:t xml:space="preserve"> and NetEase Cloud Music, which together generated 12% of NetEase’s total revenue in 2025. Although these companies are smaller in scale compared to NetEase’s gaming business, they help diversify NetEase’s portfolio and reduce its dependence on just gaming services.  </w:t>
      </w:r>
    </w:p>
    <w:p w14:paraId="17D5D907" w14:textId="44D82E2D" w:rsidR="00DD74A5" w:rsidRDefault="00DD74A5">
      <w:pPr>
        <w:rPr>
          <w:rFonts w:ascii="Arial" w:hAnsi="Arial" w:cs="Arial"/>
          <w:lang w:val="en-AU"/>
        </w:rPr>
      </w:pPr>
    </w:p>
    <w:p w14:paraId="01F3A41F" w14:textId="34704BCA" w:rsidR="00DD74A5" w:rsidRDefault="00AD7FF2">
      <w:pPr>
        <w:rPr>
          <w:rFonts w:ascii="Arial" w:hAnsi="Arial" w:cs="Arial"/>
          <w:b/>
          <w:bCs/>
          <w:color w:val="074F6A" w:themeColor="accent4" w:themeShade="80"/>
          <w:sz w:val="32"/>
          <w:szCs w:val="32"/>
          <w:u w:val="thick"/>
          <w:lang w:val="en-AU"/>
        </w:rPr>
      </w:pPr>
      <w:r>
        <w:rPr>
          <w:rFonts w:ascii="Arial" w:hAnsi="Arial" w:cs="Arial"/>
          <w:noProof/>
          <w:szCs w:val="24"/>
          <w:lang w:val="en-AU"/>
          <w14:ligatures w14:val="none"/>
        </w:rPr>
        <mc:AlternateContent>
          <mc:Choice Requires="wps">
            <w:drawing>
              <wp:anchor distT="0" distB="0" distL="114300" distR="114300" simplePos="0" relativeHeight="251687936" behindDoc="0" locked="0" layoutInCell="1" allowOverlap="1" wp14:anchorId="3269A44D" wp14:editId="4D8E8226">
                <wp:simplePos x="0" y="0"/>
                <wp:positionH relativeFrom="column">
                  <wp:posOffset>4594485</wp:posOffset>
                </wp:positionH>
                <wp:positionV relativeFrom="page">
                  <wp:posOffset>3949908</wp:posOffset>
                </wp:positionV>
                <wp:extent cx="1470025" cy="584617"/>
                <wp:effectExtent l="0" t="0" r="0" b="0"/>
                <wp:wrapNone/>
                <wp:docPr id="893277973" name="Text Box 14"/>
                <wp:cNvGraphicFramePr/>
                <a:graphic xmlns:a="http://schemas.openxmlformats.org/drawingml/2006/main">
                  <a:graphicData uri="http://schemas.microsoft.com/office/word/2010/wordprocessingShape">
                    <wps:wsp>
                      <wps:cNvSpPr txBox="1"/>
                      <wps:spPr>
                        <a:xfrm>
                          <a:off x="0" y="0"/>
                          <a:ext cx="1470025" cy="584617"/>
                        </a:xfrm>
                        <a:prstGeom prst="rect">
                          <a:avLst/>
                        </a:prstGeom>
                        <a:noFill/>
                        <a:ln w="6350">
                          <a:noFill/>
                        </a:ln>
                      </wps:spPr>
                      <wps:txbx>
                        <w:txbxContent>
                          <w:p w14:paraId="729F7E34" w14:textId="4EDB55A3" w:rsidR="00DD74A5" w:rsidRDefault="00000000" w:rsidP="00477986">
                            <w:pPr>
                              <w:jc w:val="center"/>
                              <w:rPr>
                                <w:rFonts w:ascii="Arial" w:hAnsi="Arial" w:cs="Arial"/>
                                <w:b/>
                                <w:bCs/>
                                <w:sz w:val="20"/>
                                <w:szCs w:val="20"/>
                                <w:lang w:val="en-AU"/>
                              </w:rPr>
                            </w:pPr>
                            <w:r>
                              <w:rPr>
                                <w:rFonts w:ascii="Arial" w:hAnsi="Arial" w:cs="Arial"/>
                                <w:b/>
                                <w:bCs/>
                                <w:sz w:val="20"/>
                                <w:szCs w:val="20"/>
                                <w:lang w:val="en-AU"/>
                              </w:rPr>
                              <w:t xml:space="preserve">Fig 3: NetEase’s 2025 </w:t>
                            </w:r>
                            <w:r w:rsidR="00477986">
                              <w:rPr>
                                <w:rFonts w:ascii="Arial" w:hAnsi="Arial" w:cs="Arial"/>
                                <w:b/>
                                <w:bCs/>
                                <w:sz w:val="20"/>
                                <w:szCs w:val="20"/>
                                <w:lang w:val="en-AU"/>
                              </w:rPr>
                              <w:t xml:space="preserve">Annual </w:t>
                            </w:r>
                            <w:r>
                              <w:rPr>
                                <w:rFonts w:ascii="Arial" w:hAnsi="Arial" w:cs="Arial"/>
                                <w:b/>
                                <w:bCs/>
                                <w:sz w:val="20"/>
                                <w:szCs w:val="20"/>
                                <w:lang w:val="en-AU"/>
                              </w:rPr>
                              <w:t xml:space="preserve">Revenue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269A44D" id="Text Box 14" o:spid="_x0000_s1037" type="#_x0000_t202" style="position:absolute;margin-left:361.75pt;margin-top:311pt;width:115.75pt;height:46.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" filled="f" stroked="f" strokeweight=".5pt">
                <v:textbox>
                  <w:txbxContent>
                    <w:p w14:paraId="729F7E34" w14:textId="4EDB55A3" w:rsidR="00DD74A5" w:rsidRDefault="00000000" w:rsidP="00477986">
                      <w:pPr>
                        <w:jc w:val="center"/>
                        <w:rPr>
                          <w:rFonts w:ascii="Arial" w:hAnsi="Arial" w:cs="Arial"/>
                          <w:b/>
                          <w:bCs/>
                          <w:sz w:val="20"/>
                          <w:szCs w:val="20"/>
                          <w:lang w:val="en-AU"/>
                        </w:rPr>
                      </w:pPr>
                      <w:r>
                        <w:rPr>
                          <w:rFonts w:ascii="Arial" w:hAnsi="Arial" w:cs="Arial"/>
                          <w:b/>
                          <w:bCs/>
                          <w:sz w:val="20"/>
                          <w:szCs w:val="20"/>
                          <w:lang w:val="en-AU"/>
                        </w:rPr>
                        <w:t xml:space="preserve">Fig 3: NetEase’s 2025 </w:t>
                      </w:r>
                      <w:r w:rsidR="00477986">
                        <w:rPr>
                          <w:rFonts w:ascii="Arial" w:hAnsi="Arial" w:cs="Arial"/>
                          <w:b/>
                          <w:bCs/>
                          <w:sz w:val="20"/>
                          <w:szCs w:val="20"/>
                          <w:lang w:val="en-AU"/>
                        </w:rPr>
                        <w:t xml:space="preserve">Annual </w:t>
                      </w:r>
                      <w:r>
                        <w:rPr>
                          <w:rFonts w:ascii="Arial" w:hAnsi="Arial" w:cs="Arial"/>
                          <w:b/>
                          <w:bCs/>
                          <w:sz w:val="20"/>
                          <w:szCs w:val="20"/>
                          <w:lang w:val="en-AU"/>
                        </w:rPr>
                        <w:t xml:space="preserve">Revenue </w:t>
                      </w:r>
                    </w:p>
                  </w:txbxContent>
                </v:textbox>
                <w10:wrap anchory="page"/>
              </v:shape>
            </w:pict>
          </mc:Fallback>
        </mc:AlternateContent>
      </w:r>
    </w:p>
    <w:p w14:paraId="7AEBE86D" w14:textId="77777777" w:rsidR="00DD74A5" w:rsidRDefault="00000000">
      <w:pPr>
        <w:rPr>
          <w:rFonts w:ascii="Arial" w:hAnsi="Arial" w:cs="Arial"/>
          <w:b/>
          <w:bCs/>
          <w:color w:val="074F6A" w:themeColor="accent4" w:themeShade="80"/>
          <w:sz w:val="32"/>
          <w:szCs w:val="32"/>
          <w:u w:val="thick"/>
          <w:lang w:val="en-AU"/>
        </w:rPr>
      </w:pPr>
      <w:r>
        <w:rPr>
          <w:rFonts w:ascii="Arial" w:hAnsi="Arial" w:cs="Arial"/>
          <w:b/>
          <w:bCs/>
          <w:color w:val="074F6A" w:themeColor="accent4" w:themeShade="80"/>
          <w:sz w:val="32"/>
          <w:szCs w:val="32"/>
          <w:u w:val="thick"/>
          <w:lang w:val="en-AU"/>
        </w:rPr>
        <w:t xml:space="preserve">Financial Analysis  </w:t>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p>
    <w:p w14:paraId="474097C5" w14:textId="172D9BF6" w:rsidR="00DD74A5" w:rsidRDefault="00477986">
      <w:pPr>
        <w:rPr>
          <w:rFonts w:ascii="Arial" w:hAnsi="Arial" w:cs="Arial"/>
          <w:b/>
          <w:bCs/>
          <w:color w:val="00B050"/>
          <w:sz w:val="32"/>
          <w:szCs w:val="32"/>
          <w:lang w:val="en-AU"/>
        </w:rPr>
      </w:pPr>
      <w:r>
        <w:rPr>
          <w:rFonts w:ascii="Arial" w:hAnsi="Arial" w:cs="Arial"/>
          <w:noProof/>
          <w:szCs w:val="24"/>
          <w:lang w:val="en-AU"/>
        </w:rPr>
        <w:drawing>
          <wp:anchor distT="0" distB="0" distL="114300" distR="114300" simplePos="0" relativeHeight="251660288" behindDoc="0" locked="0" layoutInCell="1" allowOverlap="1" wp14:anchorId="0479E8A2" wp14:editId="0C38873D">
            <wp:simplePos x="0" y="0"/>
            <wp:positionH relativeFrom="column">
              <wp:posOffset>3309620</wp:posOffset>
            </wp:positionH>
            <wp:positionV relativeFrom="paragraph">
              <wp:posOffset>101267</wp:posOffset>
            </wp:positionV>
            <wp:extent cx="3233420" cy="2121535"/>
            <wp:effectExtent l="0" t="0" r="5080" b="0"/>
            <wp:wrapSquare wrapText="bothSides"/>
            <wp:docPr id="12151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4233"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33420" cy="2121535"/>
                    </a:xfrm>
                    <a:prstGeom prst="rect">
                      <a:avLst/>
                    </a:prstGeom>
                  </pic:spPr>
                </pic:pic>
              </a:graphicData>
            </a:graphic>
          </wp:anchor>
        </w:drawing>
      </w:r>
      <w:r w:rsidR="00000000">
        <w:rPr>
          <w:rFonts w:ascii="Arial" w:hAnsi="Arial" w:cs="Arial"/>
          <w:b/>
          <w:bCs/>
          <w:color w:val="00B050"/>
          <w:sz w:val="32"/>
          <w:szCs w:val="32"/>
          <w:lang w:val="en-AU"/>
        </w:rPr>
        <w:t>1. Stable R&amp;D</w:t>
      </w:r>
    </w:p>
    <w:p w14:paraId="140B4499" w14:textId="4BC4EE61" w:rsidR="00DD74A5" w:rsidRDefault="00477986">
      <w:pPr>
        <w:rPr>
          <w:rFonts w:ascii="Arial" w:hAnsi="Arial" w:cs="Arial"/>
          <w:szCs w:val="24"/>
          <w:lang w:val="en-AU"/>
        </w:rPr>
      </w:pPr>
      <w:r>
        <w:rPr>
          <w:noProof/>
          <w:lang w:val="en-AU"/>
          <w14:ligatures w14:val="none"/>
        </w:rPr>
        <mc:AlternateContent>
          <mc:Choice Requires="wps">
            <w:drawing>
              <wp:anchor distT="0" distB="0" distL="114300" distR="114300" simplePos="0" relativeHeight="251663360" behindDoc="0" locked="0" layoutInCell="1" allowOverlap="1" wp14:anchorId="57ACC002" wp14:editId="782F0441">
                <wp:simplePos x="0" y="0"/>
                <wp:positionH relativeFrom="column">
                  <wp:posOffset>3312795</wp:posOffset>
                </wp:positionH>
                <wp:positionV relativeFrom="paragraph">
                  <wp:posOffset>1852930</wp:posOffset>
                </wp:positionV>
                <wp:extent cx="3233420" cy="304800"/>
                <wp:effectExtent l="0" t="0" r="0" b="0"/>
                <wp:wrapSquare wrapText="bothSides"/>
                <wp:docPr id="1680487719" name="Text Box 2"/>
                <wp:cNvGraphicFramePr/>
                <a:graphic xmlns:a="http://schemas.openxmlformats.org/drawingml/2006/main">
                  <a:graphicData uri="http://schemas.microsoft.com/office/word/2010/wordprocessingShape">
                    <wps:wsp>
                      <wps:cNvSpPr txBox="1"/>
                      <wps:spPr>
                        <a:xfrm>
                          <a:off x="0" y="0"/>
                          <a:ext cx="3233420" cy="304800"/>
                        </a:xfrm>
                        <a:prstGeom prst="rect">
                          <a:avLst/>
                        </a:prstGeom>
                        <a:noFill/>
                        <a:ln w="6350">
                          <a:noFill/>
                        </a:ln>
                      </wps:spPr>
                      <wps:txbx>
                        <w:txbxContent>
                          <w:p w14:paraId="45B8BD3B"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4: R&amp;D costs and intensity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7ACC002" id="Text Box 2" o:spid="_x0000_s1038" type="#_x0000_t202" style="position:absolute;margin-left:260.85pt;margin-top:145.9pt;width:254.6pt;height:2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" filled="f" stroked="f" strokeweight=".5pt">
                <v:textbox>
                  <w:txbxContent>
                    <w:p w14:paraId="45B8BD3B"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4: R&amp;D costs and intensity</w:t>
                      </w:r>
                    </w:p>
                  </w:txbxContent>
                </v:textbox>
                <w10:wrap type="square"/>
              </v:shape>
            </w:pict>
          </mc:Fallback>
        </mc:AlternateContent>
      </w:r>
      <w:r>
        <w:rPr>
          <w:rFonts w:ascii="Arial" w:hAnsi="Arial" w:cs="Arial"/>
          <w:noProof/>
          <w:szCs w:val="24"/>
          <w:lang w:val="en-AU"/>
        </w:rPr>
        <w:drawing>
          <wp:anchor distT="0" distB="0" distL="114300" distR="114300" simplePos="0" relativeHeight="251661312" behindDoc="0" locked="0" layoutInCell="1" allowOverlap="1" wp14:anchorId="0301B36E" wp14:editId="146D2A02">
            <wp:simplePos x="0" y="0"/>
            <wp:positionH relativeFrom="column">
              <wp:posOffset>3551555</wp:posOffset>
            </wp:positionH>
            <wp:positionV relativeFrom="paragraph">
              <wp:posOffset>2326005</wp:posOffset>
            </wp:positionV>
            <wp:extent cx="2911475" cy="2066925"/>
            <wp:effectExtent l="0" t="0" r="3175" b="9525"/>
            <wp:wrapSquare wrapText="bothSides"/>
            <wp:docPr id="9819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3667"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1475" cy="2066925"/>
                    </a:xfrm>
                    <a:prstGeom prst="rect">
                      <a:avLst/>
                    </a:prstGeom>
                  </pic:spPr>
                </pic:pic>
              </a:graphicData>
            </a:graphic>
          </wp:anchor>
        </w:drawing>
      </w:r>
      <w:r w:rsidR="00000000">
        <w:rPr>
          <w:rFonts w:ascii="Arial" w:hAnsi="Arial" w:cs="Arial"/>
          <w:szCs w:val="24"/>
          <w:lang w:val="en-AU"/>
        </w:rPr>
        <w:t xml:space="preserve">NetEase’s R&amp;D costs have been generally constant to steadily increasing the past few years. This could be attributed to NetEase’s R&amp;D </w:t>
      </w:r>
      <w:r w:rsidR="00000000">
        <w:rPr>
          <w:rFonts w:ascii="Arial" w:hAnsi="Arial" w:cs="Arial"/>
          <w:b/>
          <w:bCs/>
          <w:szCs w:val="24"/>
          <w:lang w:val="en-AU"/>
        </w:rPr>
        <w:t>in-house</w:t>
      </w:r>
      <w:r w:rsidR="00000000">
        <w:rPr>
          <w:rFonts w:ascii="Arial" w:hAnsi="Arial" w:cs="Arial"/>
          <w:szCs w:val="24"/>
          <w:lang w:val="en-AU"/>
        </w:rPr>
        <w:t xml:space="preserve"> team, meaning that competitors cannot just copy their games. Furthermore, around </w:t>
      </w:r>
      <w:r w:rsidR="00000000">
        <w:rPr>
          <w:rFonts w:ascii="Arial" w:hAnsi="Arial" w:cs="Arial"/>
          <w:b/>
          <w:bCs/>
          <w:szCs w:val="24"/>
          <w:lang w:val="en-AU"/>
        </w:rPr>
        <w:t>82% of NetEase’s gross profits is from games</w:t>
      </w:r>
      <w:r w:rsidR="00000000">
        <w:rPr>
          <w:rFonts w:ascii="Arial" w:hAnsi="Arial" w:cs="Arial"/>
          <w:szCs w:val="24"/>
          <w:lang w:val="en-AU"/>
        </w:rPr>
        <w:t xml:space="preserve"> (Fig 3) which shows that NetEase, in addition to being the second largest gaming company in China by revenue, will continue to be a </w:t>
      </w:r>
      <w:r w:rsidR="00000000">
        <w:rPr>
          <w:rFonts w:ascii="Arial" w:hAnsi="Arial" w:cs="Arial"/>
          <w:b/>
          <w:bCs/>
          <w:szCs w:val="24"/>
          <w:lang w:val="en-AU"/>
        </w:rPr>
        <w:t>strong competitor</w:t>
      </w:r>
      <w:r w:rsidR="00000000">
        <w:rPr>
          <w:rFonts w:ascii="Arial" w:hAnsi="Arial" w:cs="Arial"/>
          <w:szCs w:val="24"/>
          <w:lang w:val="en-AU"/>
        </w:rPr>
        <w:t xml:space="preserve"> in the gaming industry. </w:t>
      </w:r>
    </w:p>
    <w:p w14:paraId="0F5367DE" w14:textId="79EEAA36" w:rsidR="00DD74A5" w:rsidRDefault="00000000">
      <w:pPr>
        <w:rPr>
          <w:rFonts w:ascii="Arial" w:hAnsi="Arial" w:cs="Arial"/>
          <w:b/>
          <w:bCs/>
          <w:color w:val="00B050"/>
          <w:sz w:val="32"/>
          <w:szCs w:val="32"/>
          <w:lang w:val="en-AU"/>
        </w:rPr>
      </w:pPr>
      <w:r>
        <w:rPr>
          <w:rFonts w:ascii="Arial" w:hAnsi="Arial" w:cs="Arial"/>
          <w:b/>
          <w:bCs/>
          <w:color w:val="00B050"/>
          <w:sz w:val="32"/>
          <w:szCs w:val="32"/>
          <w:lang w:val="en-AU"/>
        </w:rPr>
        <w:t>2. Steady Revenue Growth</w:t>
      </w:r>
    </w:p>
    <w:p w14:paraId="0DC471AA" w14:textId="1EBB4433" w:rsidR="00DD74A5" w:rsidRDefault="00477986">
      <w:pPr>
        <w:rPr>
          <w:rFonts w:ascii="Arial" w:hAnsi="Arial" w:cs="Arial"/>
          <w:sz w:val="32"/>
          <w:szCs w:val="32"/>
          <w:lang w:val="en-AU"/>
        </w:rPr>
      </w:pPr>
      <w:r>
        <w:rPr>
          <w:rFonts w:ascii="Arial" w:hAnsi="Arial" w:cs="Arial"/>
          <w:b/>
          <w:bCs/>
          <w:noProof/>
          <w:color w:val="00B050"/>
          <w:sz w:val="32"/>
          <w:szCs w:val="32"/>
          <w:lang w:val="en-AU"/>
          <w14:ligatures w14:val="none"/>
        </w:rPr>
        <mc:AlternateContent>
          <mc:Choice Requires="wps">
            <w:drawing>
              <wp:anchor distT="0" distB="0" distL="114300" distR="114300" simplePos="0" relativeHeight="251688960" behindDoc="0" locked="0" layoutInCell="1" allowOverlap="1" wp14:anchorId="1232F037" wp14:editId="158C4ABA">
                <wp:simplePos x="0" y="0"/>
                <wp:positionH relativeFrom="column">
                  <wp:posOffset>3554095</wp:posOffset>
                </wp:positionH>
                <wp:positionV relativeFrom="paragraph">
                  <wp:posOffset>1684655</wp:posOffset>
                </wp:positionV>
                <wp:extent cx="2909632" cy="262890"/>
                <wp:effectExtent l="0" t="0" r="0" b="0"/>
                <wp:wrapNone/>
                <wp:docPr id="998935583" name="Text Box 15"/>
                <wp:cNvGraphicFramePr/>
                <a:graphic xmlns:a="http://schemas.openxmlformats.org/drawingml/2006/main">
                  <a:graphicData uri="http://schemas.microsoft.com/office/word/2010/wordprocessingShape">
                    <wps:wsp>
                      <wps:cNvSpPr txBox="1"/>
                      <wps:spPr>
                        <a:xfrm>
                          <a:off x="0" y="0"/>
                          <a:ext cx="2909632" cy="262890"/>
                        </a:xfrm>
                        <a:prstGeom prst="rect">
                          <a:avLst/>
                        </a:prstGeom>
                        <a:noFill/>
                        <a:ln w="6350">
                          <a:noFill/>
                        </a:ln>
                      </wps:spPr>
                      <wps:txbx>
                        <w:txbxContent>
                          <w:p w14:paraId="4C2D9F9F"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5: NetEase total annual revenue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232F037" id="Text Box 15" o:spid="_x0000_s1039" type="#_x0000_t202" style="position:absolute;margin-left:279.85pt;margin-top:132.65pt;width:229.1pt;height:20.7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" filled="f" stroked="f" strokeweight=".5pt">
                <v:textbox>
                  <w:txbxContent>
                    <w:p w14:paraId="4C2D9F9F"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5: NetEase total annual revenue</w:t>
                      </w:r>
                    </w:p>
                  </w:txbxContent>
                </v:textbox>
              </v:shape>
            </w:pict>
          </mc:Fallback>
        </mc:AlternateContent>
      </w:r>
      <w:r w:rsidR="00000000">
        <w:rPr>
          <w:rFonts w:ascii="Arial" w:hAnsi="Arial" w:cs="Arial"/>
          <w:szCs w:val="24"/>
          <w:lang w:val="en-AU"/>
        </w:rPr>
        <w:t xml:space="preserve">NetEase’s revenue has been increasing steadily over the past five years. This may be due to its consistent new game launches, some of which have quickly gained popularity. Furthermore, NetEase owns NetEase Cloud Music and </w:t>
      </w:r>
      <w:proofErr w:type="spellStart"/>
      <w:r w:rsidR="00000000">
        <w:rPr>
          <w:rFonts w:ascii="Arial" w:hAnsi="Arial" w:cs="Arial"/>
          <w:szCs w:val="24"/>
          <w:lang w:val="en-AU"/>
        </w:rPr>
        <w:t>Youdao</w:t>
      </w:r>
      <w:proofErr w:type="spellEnd"/>
      <w:r w:rsidR="00000000">
        <w:rPr>
          <w:rFonts w:ascii="Arial" w:hAnsi="Arial" w:cs="Arial"/>
          <w:szCs w:val="24"/>
          <w:lang w:val="en-AU"/>
        </w:rPr>
        <w:t xml:space="preserve">, which are both respectively successful companies. Combined with the fact that R&amp;D intensity has decreased in 2025 (Fig 4), it likely means that NetEase has </w:t>
      </w:r>
      <w:r w:rsidR="00000000">
        <w:rPr>
          <w:rFonts w:ascii="Arial" w:hAnsi="Arial" w:cs="Arial"/>
          <w:b/>
          <w:bCs/>
          <w:szCs w:val="24"/>
          <w:lang w:val="en-AU"/>
        </w:rPr>
        <w:t>improved its efficiency with resources while bringing in more cash</w:t>
      </w:r>
      <w:r w:rsidR="00000000">
        <w:rPr>
          <w:rFonts w:ascii="Arial" w:hAnsi="Arial" w:cs="Arial"/>
          <w:szCs w:val="24"/>
          <w:lang w:val="en-AU"/>
        </w:rPr>
        <w:t>.</w:t>
      </w:r>
      <w:r w:rsidR="00000000" w:rsidRPr="002A7F20">
        <w:rPr>
          <w:lang w:val="en-ID"/>
          <w14:ligatures w14:val="none"/>
        </w:rPr>
        <w:t xml:space="preserve"> </w:t>
      </w:r>
    </w:p>
    <w:p w14:paraId="44493B35" w14:textId="3C64AEFA" w:rsidR="00DD74A5" w:rsidRDefault="00AD7FF2">
      <w:pPr>
        <w:rPr>
          <w:rFonts w:ascii="Arial" w:hAnsi="Arial" w:cs="Arial"/>
          <w:b/>
          <w:bCs/>
          <w:color w:val="00B050"/>
          <w:sz w:val="32"/>
          <w:szCs w:val="32"/>
          <w:lang w:val="en-AU"/>
        </w:rPr>
      </w:pPr>
      <w:r>
        <w:rPr>
          <w:rFonts w:ascii="Arial" w:hAnsi="Arial" w:cs="Arial"/>
          <w:b/>
          <w:bCs/>
          <w:noProof/>
          <w:sz w:val="32"/>
          <w:szCs w:val="32"/>
          <w:lang w:val="en-AU"/>
        </w:rPr>
        <w:lastRenderedPageBreak/>
        <w:drawing>
          <wp:anchor distT="0" distB="0" distL="114300" distR="114300" simplePos="0" relativeHeight="251662336" behindDoc="0" locked="0" layoutInCell="1" allowOverlap="1" wp14:anchorId="3498E6FB" wp14:editId="3E8D1035">
            <wp:simplePos x="0" y="0"/>
            <wp:positionH relativeFrom="margin">
              <wp:posOffset>3477385</wp:posOffset>
            </wp:positionH>
            <wp:positionV relativeFrom="paragraph">
              <wp:posOffset>156</wp:posOffset>
            </wp:positionV>
            <wp:extent cx="3075940" cy="2173605"/>
            <wp:effectExtent l="0" t="0" r="0" b="0"/>
            <wp:wrapSquare wrapText="bothSides"/>
            <wp:docPr id="13075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67607"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75940" cy="217360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hAnsi="Arial" w:cs="Arial"/>
          <w:b/>
          <w:bCs/>
          <w:color w:val="00B050"/>
          <w:sz w:val="32"/>
          <w:szCs w:val="32"/>
          <w:lang w:val="en-AU"/>
        </w:rPr>
        <w:t>3. P/E ratio</w:t>
      </w:r>
    </w:p>
    <w:p w14:paraId="48713FCA" w14:textId="7D997D84" w:rsidR="00DD74A5" w:rsidRDefault="00477986">
      <w:pPr>
        <w:rPr>
          <w:rFonts w:ascii="Arial" w:hAnsi="Arial" w:cs="Arial"/>
          <w:lang w:val="en-AU"/>
        </w:rPr>
      </w:pPr>
      <w:r>
        <w:rPr>
          <w:rFonts w:ascii="Arial" w:hAnsi="Arial" w:cs="Arial"/>
          <w:b/>
          <w:bCs/>
          <w:noProof/>
          <w:color w:val="00B050"/>
          <w:sz w:val="32"/>
          <w:szCs w:val="32"/>
          <w:lang w:val="en-AU"/>
          <w14:ligatures w14:val="none"/>
        </w:rPr>
        <mc:AlternateContent>
          <mc:Choice Requires="wps">
            <w:drawing>
              <wp:anchor distT="0" distB="0" distL="114300" distR="114300" simplePos="0" relativeHeight="251689984" behindDoc="0" locked="0" layoutInCell="1" allowOverlap="1" wp14:anchorId="737360C4" wp14:editId="035295E9">
                <wp:simplePos x="0" y="0"/>
                <wp:positionH relativeFrom="page">
                  <wp:posOffset>4390265</wp:posOffset>
                </wp:positionH>
                <wp:positionV relativeFrom="paragraph">
                  <wp:posOffset>1804035</wp:posOffset>
                </wp:positionV>
                <wp:extent cx="3083560" cy="349885"/>
                <wp:effectExtent l="0" t="0" r="0" b="0"/>
                <wp:wrapNone/>
                <wp:docPr id="1213575969" name="Text Box 16"/>
                <wp:cNvGraphicFramePr/>
                <a:graphic xmlns:a="http://schemas.openxmlformats.org/drawingml/2006/main">
                  <a:graphicData uri="http://schemas.microsoft.com/office/word/2010/wordprocessingShape">
                    <wps:wsp>
                      <wps:cNvSpPr txBox="1"/>
                      <wps:spPr>
                        <a:xfrm>
                          <a:off x="0" y="0"/>
                          <a:ext cx="3083560" cy="349885"/>
                        </a:xfrm>
                        <a:prstGeom prst="rect">
                          <a:avLst/>
                        </a:prstGeom>
                        <a:noFill/>
                        <a:ln w="6350">
                          <a:noFill/>
                        </a:ln>
                      </wps:spPr>
                      <wps:txbx>
                        <w:txbxContent>
                          <w:p w14:paraId="0A4DBF1E"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6: Tencent &amp; NetEase’s Historical P/E Ratios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7360C4" id="Text Box 16" o:spid="_x0000_s1040" type="#_x0000_t202" style="position:absolute;margin-left:345.7pt;margin-top:142.05pt;width:242.8pt;height:27.55pt;z-index:2516899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" filled="f" stroked="f" strokeweight=".5pt">
                <v:textbox>
                  <w:txbxContent>
                    <w:p w14:paraId="0A4DBF1E"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6: Tencent &amp; NetEase’s Historical P/E Ratios</w:t>
                      </w:r>
                    </w:p>
                  </w:txbxContent>
                </v:textbox>
                <w10:wrap anchorx="page"/>
              </v:shape>
            </w:pict>
          </mc:Fallback>
        </mc:AlternateContent>
      </w:r>
      <w:r w:rsidR="00000000">
        <w:rPr>
          <w:rFonts w:ascii="Arial" w:hAnsi="Arial" w:cs="Arial"/>
          <w:lang w:val="en-AU"/>
        </w:rPr>
        <w:t xml:space="preserve">NetEase’s P/E ratios have been </w:t>
      </w:r>
      <w:proofErr w:type="gramStart"/>
      <w:r w:rsidR="00000000">
        <w:rPr>
          <w:rFonts w:ascii="Arial" w:hAnsi="Arial" w:cs="Arial"/>
          <w:lang w:val="en-AU"/>
        </w:rPr>
        <w:t>similar to</w:t>
      </w:r>
      <w:proofErr w:type="gramEnd"/>
      <w:r w:rsidR="00000000">
        <w:rPr>
          <w:rFonts w:ascii="Arial" w:hAnsi="Arial" w:cs="Arial"/>
          <w:lang w:val="en-AU"/>
        </w:rPr>
        <w:t xml:space="preserve"> Tencent’s – its main competitor and China’s largest gaming company by revenue – for the past five years (Fig 6). This is significant since this means that NetEase, as a more gaming-focused company, is </w:t>
      </w:r>
      <w:r w:rsidR="00000000">
        <w:rPr>
          <w:rFonts w:ascii="Arial" w:hAnsi="Arial" w:cs="Arial"/>
          <w:lang w:val="en-US"/>
        </w:rPr>
        <w:t>valued similarly to</w:t>
      </w:r>
      <w:r w:rsidR="00000000">
        <w:rPr>
          <w:rFonts w:ascii="Arial" w:hAnsi="Arial" w:cs="Arial"/>
          <w:lang w:val="en-AU"/>
        </w:rPr>
        <w:t xml:space="preserve"> Tencent – which </w:t>
      </w:r>
      <w:r w:rsidR="00000000">
        <w:rPr>
          <w:rFonts w:ascii="Arial" w:hAnsi="Arial" w:cs="Arial"/>
          <w:lang w:val="en-US"/>
        </w:rPr>
        <w:t xml:space="preserve">has a more diversified portfolio and </w:t>
      </w:r>
      <w:r w:rsidR="00000000">
        <w:rPr>
          <w:rFonts w:ascii="Arial" w:hAnsi="Arial" w:cs="Arial"/>
          <w:lang w:val="en-AU"/>
        </w:rPr>
        <w:t xml:space="preserve">owns popular apps like WeChat – which proves that NetEase is a very strong competitor in the gaming industry.    </w:t>
      </w:r>
    </w:p>
    <w:p w14:paraId="3BA8F290" w14:textId="77777777" w:rsidR="00DD74A5" w:rsidRDefault="00DD74A5">
      <w:pPr>
        <w:rPr>
          <w:rFonts w:ascii="Arial" w:hAnsi="Arial" w:cs="Arial"/>
          <w:b/>
          <w:bCs/>
          <w:color w:val="074F6A" w:themeColor="accent4" w:themeShade="80"/>
          <w:sz w:val="32"/>
          <w:szCs w:val="32"/>
          <w:u w:val="thick"/>
          <w:lang w:val="en-AU"/>
        </w:rPr>
      </w:pPr>
    </w:p>
    <w:p w14:paraId="5B6E5168" w14:textId="77777777" w:rsidR="00DD74A5" w:rsidRDefault="00000000">
      <w:pPr>
        <w:rPr>
          <w:rFonts w:ascii="Arial" w:hAnsi="Arial" w:cs="Arial"/>
          <w:b/>
          <w:bCs/>
          <w:color w:val="074F6A" w:themeColor="accent4" w:themeShade="80"/>
          <w:sz w:val="32"/>
          <w:szCs w:val="32"/>
          <w:u w:val="thick"/>
          <w:lang w:val="en-AU"/>
        </w:rPr>
      </w:pPr>
      <w:r>
        <w:rPr>
          <w:rFonts w:ascii="Arial" w:hAnsi="Arial" w:cs="Arial"/>
          <w:b/>
          <w:bCs/>
          <w:color w:val="074F6A" w:themeColor="accent4" w:themeShade="80"/>
          <w:sz w:val="32"/>
          <w:szCs w:val="32"/>
          <w:u w:val="thick"/>
          <w:lang w:val="en-AU"/>
        </w:rPr>
        <w:t>Valuation</w:t>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p>
    <w:p w14:paraId="3235ED7B" w14:textId="7429D7CB" w:rsidR="00DD74A5" w:rsidRDefault="00477986">
      <w:pPr>
        <w:rPr>
          <w:rFonts w:ascii="Arial" w:hAnsi="Arial" w:cs="Arial"/>
          <w:b/>
          <w:bCs/>
          <w:color w:val="0070C0"/>
          <w:sz w:val="28"/>
          <w:szCs w:val="28"/>
          <w:lang w:val="en-AU"/>
        </w:rPr>
      </w:pPr>
      <w:r>
        <w:rPr>
          <w:rFonts w:ascii="Arial" w:hAnsi="Arial" w:cs="Arial"/>
          <w:noProof/>
          <w:lang w:val="en-AU"/>
        </w:rPr>
        <w:drawing>
          <wp:anchor distT="0" distB="0" distL="114300" distR="114300" simplePos="0" relativeHeight="251668480" behindDoc="0" locked="0" layoutInCell="1" allowOverlap="1" wp14:anchorId="155A603E" wp14:editId="5F49FAA1">
            <wp:simplePos x="0" y="0"/>
            <wp:positionH relativeFrom="margin">
              <wp:posOffset>3027680</wp:posOffset>
            </wp:positionH>
            <wp:positionV relativeFrom="paragraph">
              <wp:posOffset>34696</wp:posOffset>
            </wp:positionV>
            <wp:extent cx="3516630" cy="2339340"/>
            <wp:effectExtent l="0" t="0" r="7620" b="3810"/>
            <wp:wrapSquare wrapText="bothSides"/>
            <wp:docPr id="190472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2889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516630" cy="2339340"/>
                    </a:xfrm>
                    <a:prstGeom prst="rect">
                      <a:avLst/>
                    </a:prstGeom>
                  </pic:spPr>
                </pic:pic>
              </a:graphicData>
            </a:graphic>
          </wp:anchor>
        </w:drawing>
      </w:r>
      <w:r w:rsidR="00000000">
        <w:rPr>
          <w:rFonts w:ascii="Arial" w:hAnsi="Arial" w:cs="Arial"/>
          <w:b/>
          <w:bCs/>
          <w:color w:val="0070C0"/>
          <w:sz w:val="28"/>
          <w:szCs w:val="28"/>
          <w:lang w:val="en-AU"/>
        </w:rPr>
        <w:t>Expected Future Revenue</w:t>
      </w:r>
    </w:p>
    <w:p w14:paraId="59E45455" w14:textId="2A4C0A81" w:rsidR="00DD74A5" w:rsidRDefault="00000000">
      <w:pPr>
        <w:rPr>
          <w:rFonts w:ascii="Arial" w:hAnsi="Arial" w:cs="Arial"/>
          <w:lang w:val="en-AU"/>
        </w:rPr>
      </w:pPr>
      <w:r>
        <w:rPr>
          <w:rFonts w:ascii="Arial" w:hAnsi="Arial" w:cs="Arial"/>
          <w:lang w:val="en-AU"/>
        </w:rPr>
        <w:t xml:space="preserve">The </w:t>
      </w:r>
      <w:r>
        <w:rPr>
          <w:rFonts w:ascii="Arial" w:hAnsi="Arial" w:cs="Arial"/>
          <w:b/>
          <w:bCs/>
          <w:lang w:val="en-AU"/>
        </w:rPr>
        <w:t>global gaming market’s revenue</w:t>
      </w:r>
      <w:r>
        <w:rPr>
          <w:rFonts w:ascii="Arial" w:hAnsi="Arial" w:cs="Arial"/>
          <w:lang w:val="en-AU"/>
        </w:rPr>
        <w:t xml:space="preserve"> is expected to grow at a </w:t>
      </w:r>
      <w:r>
        <w:rPr>
          <w:rFonts w:ascii="Arial" w:hAnsi="Arial" w:cs="Arial"/>
          <w:b/>
          <w:bCs/>
          <w:lang w:val="en-AU"/>
        </w:rPr>
        <w:t>6.6% CAGR</w:t>
      </w:r>
      <w:r>
        <w:rPr>
          <w:rFonts w:ascii="Arial" w:hAnsi="Arial" w:cs="Arial"/>
          <w:lang w:val="en-AU"/>
        </w:rPr>
        <w:t xml:space="preserve"> for its </w:t>
      </w:r>
      <w:r>
        <w:rPr>
          <w:rFonts w:ascii="Arial" w:hAnsi="Arial" w:cs="Arial"/>
          <w:b/>
          <w:bCs/>
          <w:lang w:val="en-AU"/>
        </w:rPr>
        <w:t>PC segment</w:t>
      </w:r>
      <w:r>
        <w:rPr>
          <w:rFonts w:ascii="Arial" w:hAnsi="Arial" w:cs="Arial"/>
          <w:lang w:val="en-AU"/>
        </w:rPr>
        <w:t xml:space="preserve"> and 4.4% for its console segment from 2026 to 2028. Based on current and previous data, we project that NetEase’s </w:t>
      </w:r>
      <w:r>
        <w:rPr>
          <w:rFonts w:ascii="Arial" w:hAnsi="Arial" w:cs="Arial"/>
          <w:b/>
          <w:bCs/>
          <w:lang w:val="en-AU"/>
        </w:rPr>
        <w:t>annual revenue growth</w:t>
      </w:r>
      <w:r>
        <w:rPr>
          <w:rFonts w:ascii="Arial" w:hAnsi="Arial" w:cs="Arial"/>
          <w:lang w:val="en-AU"/>
        </w:rPr>
        <w:t xml:space="preserve"> will be between </w:t>
      </w:r>
      <w:r>
        <w:rPr>
          <w:rFonts w:ascii="Arial" w:hAnsi="Arial" w:cs="Arial"/>
          <w:b/>
          <w:bCs/>
          <w:lang w:val="en-AU"/>
        </w:rPr>
        <w:t>6-7%</w:t>
      </w:r>
      <w:r>
        <w:rPr>
          <w:rFonts w:ascii="Arial" w:hAnsi="Arial" w:cs="Arial"/>
          <w:lang w:val="en-AU"/>
        </w:rPr>
        <w:t>. This assumption accounts for its strong competitive position in the market.</w:t>
      </w:r>
    </w:p>
    <w:p w14:paraId="27843A1D" w14:textId="04487545" w:rsidR="00DD74A5" w:rsidRDefault="00477986">
      <w:pPr>
        <w:rPr>
          <w:rFonts w:ascii="Arial" w:hAnsi="Arial" w:cs="Arial"/>
          <w:color w:val="00B050"/>
          <w:lang w:val="en-AU"/>
        </w:rPr>
      </w:pPr>
      <w:r>
        <w:rPr>
          <w:rFonts w:ascii="Arial" w:hAnsi="Arial" w:cs="Arial"/>
          <w:b/>
          <w:bCs/>
          <w:noProof/>
          <w:color w:val="0070C0"/>
          <w:sz w:val="28"/>
          <w:szCs w:val="28"/>
          <w:lang w:val="en-AU"/>
          <w14:ligatures w14:val="none"/>
        </w:rPr>
        <mc:AlternateContent>
          <mc:Choice Requires="wps">
            <w:drawing>
              <wp:anchor distT="0" distB="0" distL="114300" distR="114300" simplePos="0" relativeHeight="251691008" behindDoc="0" locked="0" layoutInCell="1" allowOverlap="1" wp14:anchorId="40C535EA" wp14:editId="3BA06182">
                <wp:simplePos x="0" y="0"/>
                <wp:positionH relativeFrom="margin">
                  <wp:posOffset>3036570</wp:posOffset>
                </wp:positionH>
                <wp:positionV relativeFrom="paragraph">
                  <wp:posOffset>106170</wp:posOffset>
                </wp:positionV>
                <wp:extent cx="3516630" cy="367259"/>
                <wp:effectExtent l="0" t="0" r="0" b="0"/>
                <wp:wrapNone/>
                <wp:docPr id="1886091523" name="Text Box 17"/>
                <wp:cNvGraphicFramePr/>
                <a:graphic xmlns:a="http://schemas.openxmlformats.org/drawingml/2006/main">
                  <a:graphicData uri="http://schemas.microsoft.com/office/word/2010/wordprocessingShape">
                    <wps:wsp>
                      <wps:cNvSpPr txBox="1"/>
                      <wps:spPr>
                        <a:xfrm>
                          <a:off x="0" y="0"/>
                          <a:ext cx="3516630" cy="367259"/>
                        </a:xfrm>
                        <a:prstGeom prst="rect">
                          <a:avLst/>
                        </a:prstGeom>
                        <a:noFill/>
                        <a:ln w="6350">
                          <a:noFill/>
                        </a:ln>
                      </wps:spPr>
                      <wps:txbx>
                        <w:txbxContent>
                          <w:p w14:paraId="7D8941E3"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7: NetEase’s Revenue Projections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0C535EA" id="Text Box 17" o:spid="_x0000_s1041" type="#_x0000_t202" style="position:absolute;margin-left:239.1pt;margin-top:8.35pt;width:276.9pt;height:28.9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" filled="f" stroked="f" strokeweight=".5pt">
                <v:textbox>
                  <w:txbxContent>
                    <w:p w14:paraId="7D8941E3"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7: NetEase’s Revenue Projections</w:t>
                      </w:r>
                    </w:p>
                  </w:txbxContent>
                </v:textbox>
                <w10:wrap anchorx="margin"/>
              </v:shape>
            </w:pict>
          </mc:Fallback>
        </mc:AlternateContent>
      </w:r>
    </w:p>
    <w:p w14:paraId="16B64055" w14:textId="77777777"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t>Costs of Goods Sold (COGS)</w:t>
      </w:r>
    </w:p>
    <w:p w14:paraId="68CEAF87" w14:textId="77777777" w:rsidR="00DD74A5" w:rsidRDefault="00000000">
      <w:pPr>
        <w:rPr>
          <w:rFonts w:ascii="Arial" w:hAnsi="Arial" w:cs="Arial"/>
          <w:szCs w:val="24"/>
          <w:lang w:val="en-AU"/>
        </w:rPr>
      </w:pPr>
      <w:r>
        <w:rPr>
          <w:rFonts w:ascii="Arial" w:hAnsi="Arial" w:cs="Arial"/>
          <w:szCs w:val="24"/>
          <w:lang w:val="en-AU"/>
        </w:rPr>
        <w:t>Costs of goods sold is estimated to be around 35-36% of revenue. This estimation is derived from historical data from around 2021-2025. As such, it is reasonable to continue using this data as a future baseline considering the gaming market’s consistent annual growth rate.</w:t>
      </w:r>
    </w:p>
    <w:p w14:paraId="5C30C627" w14:textId="77777777"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t>Depreciation</w:t>
      </w:r>
    </w:p>
    <w:p w14:paraId="562EA686" w14:textId="77777777" w:rsidR="00DD74A5" w:rsidRDefault="00000000">
      <w:pPr>
        <w:rPr>
          <w:rFonts w:ascii="Arial" w:hAnsi="Arial" w:cs="Arial"/>
          <w:szCs w:val="24"/>
          <w:lang w:val="en-AU"/>
        </w:rPr>
      </w:pPr>
      <w:r>
        <w:rPr>
          <w:rFonts w:ascii="Arial" w:hAnsi="Arial" w:cs="Arial"/>
          <w:szCs w:val="24"/>
          <w:lang w:val="en-AU"/>
        </w:rPr>
        <w:t xml:space="preserve">We project future depreciations to be equal to 2.0% of total revenue. This assumes that: </w:t>
      </w:r>
      <w:r>
        <w:rPr>
          <w:rFonts w:ascii="Arial" w:hAnsi="Arial" w:cs="Arial"/>
          <w:b/>
          <w:bCs/>
          <w:szCs w:val="24"/>
          <w:lang w:val="en-AU"/>
        </w:rPr>
        <w:t xml:space="preserve">1) </w:t>
      </w:r>
      <w:r>
        <w:rPr>
          <w:rFonts w:ascii="Arial" w:hAnsi="Arial" w:cs="Arial"/>
          <w:szCs w:val="24"/>
          <w:lang w:val="en-AU"/>
        </w:rPr>
        <w:t xml:space="preserve">future depreciation projection to revenue ratio will remain the same as 2025’s, and </w:t>
      </w:r>
      <w:r>
        <w:rPr>
          <w:rFonts w:ascii="Arial" w:hAnsi="Arial" w:cs="Arial"/>
          <w:b/>
          <w:bCs/>
          <w:szCs w:val="24"/>
          <w:lang w:val="en-AU"/>
        </w:rPr>
        <w:t>2)</w:t>
      </w:r>
      <w:r>
        <w:rPr>
          <w:rFonts w:ascii="Arial" w:hAnsi="Arial" w:cs="Arial"/>
          <w:szCs w:val="24"/>
          <w:lang w:val="en-AU"/>
        </w:rPr>
        <w:t xml:space="preserve"> this holds for all future cash flows. </w:t>
      </w:r>
    </w:p>
    <w:p w14:paraId="56B75325" w14:textId="77777777"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t>Research and Development (R&amp;D)</w:t>
      </w:r>
    </w:p>
    <w:p w14:paraId="51FDA4EE" w14:textId="77777777" w:rsidR="00DD74A5" w:rsidRDefault="00000000">
      <w:pPr>
        <w:rPr>
          <w:rFonts w:ascii="Arial" w:hAnsi="Arial" w:cs="Arial"/>
          <w:szCs w:val="24"/>
          <w:lang w:val="en-AU"/>
        </w:rPr>
      </w:pPr>
      <w:r>
        <w:rPr>
          <w:rFonts w:ascii="Arial" w:hAnsi="Arial" w:cs="Arial"/>
          <w:szCs w:val="24"/>
          <w:lang w:val="en-AU"/>
        </w:rPr>
        <w:t>Using NetEase’s 2021-2025 R&amp;D expenses’ annual growth rate average as a baseline, we expect the R&amp;D to be approximately 15.7% of revenue.</w:t>
      </w:r>
    </w:p>
    <w:p w14:paraId="0AAD2D49" w14:textId="77777777"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lastRenderedPageBreak/>
        <w:t>Selling, General and Administrative (SGA)</w:t>
      </w:r>
    </w:p>
    <w:p w14:paraId="30AEEF6F" w14:textId="77777777" w:rsidR="00DD74A5" w:rsidRDefault="00000000">
      <w:pPr>
        <w:rPr>
          <w:rFonts w:ascii="Arial" w:hAnsi="Arial" w:cs="Arial"/>
          <w:szCs w:val="24"/>
          <w:lang w:val="en-AU"/>
        </w:rPr>
      </w:pPr>
      <w:r>
        <w:rPr>
          <w:rFonts w:ascii="Arial" w:hAnsi="Arial" w:cs="Arial"/>
          <w:szCs w:val="24"/>
          <w:lang w:val="en-AU"/>
        </w:rPr>
        <w:t xml:space="preserve">The average of NetEase’s 2021-2025 SGA expenses is 16.7% of its revenue. We assume this average to be used as a fixed percentage to calculate future projections of SGA in our valuation model for all forecasted periods.   </w:t>
      </w:r>
    </w:p>
    <w:p w14:paraId="42244BB7" w14:textId="77777777"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t>Capital Expenditures (</w:t>
      </w:r>
      <w:proofErr w:type="spellStart"/>
      <w:r>
        <w:rPr>
          <w:rFonts w:ascii="Arial" w:hAnsi="Arial" w:cs="Arial"/>
          <w:b/>
          <w:bCs/>
          <w:color w:val="0070C0"/>
          <w:sz w:val="28"/>
          <w:szCs w:val="28"/>
          <w:lang w:val="en-AU"/>
        </w:rPr>
        <w:t>CapEx</w:t>
      </w:r>
      <w:proofErr w:type="spellEnd"/>
      <w:r>
        <w:rPr>
          <w:rFonts w:ascii="Arial" w:hAnsi="Arial" w:cs="Arial"/>
          <w:b/>
          <w:bCs/>
          <w:color w:val="0070C0"/>
          <w:sz w:val="28"/>
          <w:szCs w:val="28"/>
          <w:lang w:val="en-AU"/>
        </w:rPr>
        <w:t>)</w:t>
      </w:r>
    </w:p>
    <w:p w14:paraId="057995E2" w14:textId="77777777" w:rsidR="00DD74A5" w:rsidRDefault="00000000">
      <w:pPr>
        <w:rPr>
          <w:rFonts w:ascii="Arial" w:hAnsi="Arial" w:cs="Arial"/>
          <w:szCs w:val="24"/>
          <w:lang w:val="en-AU"/>
        </w:rPr>
      </w:pPr>
      <w:r>
        <w:rPr>
          <w:rFonts w:ascii="Arial" w:hAnsi="Arial" w:cs="Arial"/>
          <w:szCs w:val="24"/>
          <w:lang w:val="en-AU"/>
        </w:rPr>
        <w:t xml:space="preserve">Historical capital expenditures to revenue ratios </w:t>
      </w:r>
      <w:proofErr w:type="gramStart"/>
      <w:r>
        <w:rPr>
          <w:rFonts w:ascii="Arial" w:hAnsi="Arial" w:cs="Arial"/>
          <w:szCs w:val="24"/>
          <w:lang w:val="en-AU"/>
        </w:rPr>
        <w:t>yields</w:t>
      </w:r>
      <w:proofErr w:type="gramEnd"/>
      <w:r>
        <w:rPr>
          <w:rFonts w:ascii="Arial" w:hAnsi="Arial" w:cs="Arial"/>
          <w:szCs w:val="24"/>
          <w:lang w:val="en-AU"/>
        </w:rPr>
        <w:t xml:space="preserve"> an average of approximately 2.0-2.1%. Given the stability of this ratio throughout past data from 2021-2025, we project future capital expenditures to maintain a similar ratio and thus utilize this trend to compute future capital expenditure projections.</w:t>
      </w:r>
    </w:p>
    <w:p w14:paraId="2477AFE2" w14:textId="77777777"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t>Net Working Capital (NWC)</w:t>
      </w:r>
    </w:p>
    <w:p w14:paraId="1EA32E18" w14:textId="77777777" w:rsidR="00DD74A5" w:rsidRDefault="00000000">
      <w:pPr>
        <w:rPr>
          <w:rFonts w:ascii="Arial" w:hAnsi="Arial" w:cs="Arial"/>
          <w:lang w:val="en-AU"/>
        </w:rPr>
      </w:pPr>
      <w:r>
        <w:rPr>
          <w:rFonts w:ascii="Arial" w:hAnsi="Arial" w:cs="Arial"/>
          <w:lang w:val="en-AU"/>
        </w:rPr>
        <w:t xml:space="preserve">NWC has consistently remained positive from 2021 to 2025, indicating that NetEase holds enough current assets to cover short-term obligations. For our valuation model, using this historical data as a baseline, we expect moderately positive annual NWC changes in the future. </w:t>
      </w:r>
    </w:p>
    <w:p w14:paraId="752C2303" w14:textId="77777777"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t>Weighted Average Cost of Capital (WACC)</w:t>
      </w:r>
    </w:p>
    <w:p w14:paraId="39481131" w14:textId="63B7A366" w:rsidR="00DD74A5" w:rsidRDefault="00000000">
      <w:pPr>
        <w:rPr>
          <w:rFonts w:ascii="Arial" w:hAnsi="Arial" w:cs="Arial"/>
          <w:szCs w:val="24"/>
          <w:lang w:val="en-AU"/>
        </w:rPr>
      </w:pPr>
      <w:r>
        <w:rPr>
          <w:rFonts w:ascii="Arial" w:hAnsi="Arial" w:cs="Arial"/>
          <w:szCs w:val="24"/>
          <w:lang w:val="en-AU"/>
        </w:rPr>
        <w:t>To calculate the WACC, we use the following formula:</w:t>
      </w:r>
      <w:r>
        <w:rPr>
          <w:rFonts w:ascii="Arial" w:hAnsi="Arial" w:cs="Arial"/>
          <w:szCs w:val="24"/>
          <w:lang w:val="en-AU"/>
        </w:rPr>
        <w:br/>
      </w:r>
      <m:oMathPara>
        <m:oMath>
          <m:r>
            <w:rPr>
              <w:rFonts w:ascii="Cambria Math" w:hAnsi="Cambria Math" w:cs="Arial"/>
              <w:szCs w:val="24"/>
              <w:lang w:val="en-AU"/>
            </w:rPr>
            <m:t>WACC=</m:t>
          </m:r>
          <m:f>
            <m:fPr>
              <m:ctrlPr>
                <w:rPr>
                  <w:rFonts w:ascii="Cambria Math" w:hAnsi="Cambria Math" w:cs="Arial"/>
                  <w:i/>
                  <w:szCs w:val="24"/>
                  <w:lang w:val="en-AU"/>
                </w:rPr>
              </m:ctrlPr>
            </m:fPr>
            <m:num>
              <m:r>
                <w:rPr>
                  <w:rFonts w:ascii="Cambria Math" w:hAnsi="Cambria Math" w:cs="Arial"/>
                  <w:szCs w:val="24"/>
                  <w:lang w:val="en-AU"/>
                </w:rPr>
                <m:t>E</m:t>
              </m:r>
            </m:num>
            <m:den>
              <m:r>
                <w:rPr>
                  <w:rFonts w:ascii="Cambria Math" w:hAnsi="Cambria Math" w:cs="Arial"/>
                  <w:szCs w:val="24"/>
                  <w:lang w:val="en-AU"/>
                </w:rPr>
                <m:t>D+E</m:t>
              </m:r>
            </m:den>
          </m:f>
          <m:r>
            <w:rPr>
              <w:rFonts w:ascii="Cambria Math" w:hAnsi="Cambria Math" w:cs="Arial"/>
              <w:szCs w:val="24"/>
              <w:lang w:val="en-AU"/>
            </w:rPr>
            <m:t xml:space="preserve"> </m:t>
          </m:r>
          <m:d>
            <m:dPr>
              <m:ctrlPr>
                <w:rPr>
                  <w:rFonts w:ascii="Cambria Math" w:hAnsi="Cambria Math" w:cs="Arial"/>
                  <w:i/>
                  <w:szCs w:val="24"/>
                  <w:lang w:val="en-AU"/>
                </w:rPr>
              </m:ctrlPr>
            </m:dPr>
            <m:e>
              <m:sSub>
                <m:sSubPr>
                  <m:ctrlPr>
                    <w:rPr>
                      <w:rFonts w:ascii="Cambria Math" w:hAnsi="Cambria Math" w:cs="Arial"/>
                      <w:i/>
                      <w:szCs w:val="24"/>
                      <w:lang w:val="en-AU"/>
                    </w:rPr>
                  </m:ctrlPr>
                </m:sSubPr>
                <m:e>
                  <m:r>
                    <w:rPr>
                      <w:rFonts w:ascii="Cambria Math" w:hAnsi="Cambria Math" w:cs="Arial"/>
                      <w:szCs w:val="24"/>
                      <w:lang w:val="en-AU"/>
                    </w:rPr>
                    <m:t>r</m:t>
                  </m:r>
                </m:e>
                <m:sub>
                  <m:r>
                    <w:rPr>
                      <w:rFonts w:ascii="Cambria Math" w:hAnsi="Cambria Math" w:cs="Arial"/>
                      <w:szCs w:val="24"/>
                      <w:lang w:val="en-AU"/>
                    </w:rPr>
                    <m:t>E</m:t>
                  </m:r>
                </m:sub>
              </m:sSub>
            </m:e>
          </m:d>
          <m:r>
            <w:rPr>
              <w:rFonts w:ascii="Cambria Math" w:hAnsi="Cambria Math" w:cs="Arial"/>
              <w:szCs w:val="24"/>
              <w:lang w:val="en-AU"/>
            </w:rPr>
            <m:t>+</m:t>
          </m:r>
          <m:f>
            <m:fPr>
              <m:ctrlPr>
                <w:rPr>
                  <w:rFonts w:ascii="Cambria Math" w:hAnsi="Cambria Math" w:cs="Arial"/>
                  <w:i/>
                  <w:szCs w:val="24"/>
                  <w:lang w:val="en-AU"/>
                </w:rPr>
              </m:ctrlPr>
            </m:fPr>
            <m:num>
              <m:r>
                <w:rPr>
                  <w:rFonts w:ascii="Cambria Math" w:hAnsi="Cambria Math" w:cs="Arial"/>
                  <w:szCs w:val="24"/>
                  <w:lang w:val="en-AU"/>
                </w:rPr>
                <m:t>D</m:t>
              </m:r>
            </m:num>
            <m:den>
              <m:r>
                <w:rPr>
                  <w:rFonts w:ascii="Cambria Math" w:hAnsi="Cambria Math" w:cs="Arial"/>
                  <w:szCs w:val="24"/>
                  <w:lang w:val="en-AU"/>
                </w:rPr>
                <m:t>D+E</m:t>
              </m:r>
            </m:den>
          </m:f>
          <m:r>
            <w:rPr>
              <w:rFonts w:ascii="Cambria Math" w:hAnsi="Cambria Math" w:cs="Arial"/>
              <w:szCs w:val="24"/>
              <w:lang w:val="en-AU"/>
            </w:rPr>
            <m:t xml:space="preserve"> </m:t>
          </m:r>
          <m:d>
            <m:dPr>
              <m:ctrlPr>
                <w:rPr>
                  <w:rFonts w:ascii="Cambria Math" w:hAnsi="Cambria Math" w:cs="Arial"/>
                  <w:i/>
                  <w:szCs w:val="24"/>
                  <w:lang w:val="en-AU"/>
                </w:rPr>
              </m:ctrlPr>
            </m:dPr>
            <m:e>
              <m:sSub>
                <m:sSubPr>
                  <m:ctrlPr>
                    <w:rPr>
                      <w:rFonts w:ascii="Cambria Math" w:hAnsi="Cambria Math" w:cs="Arial"/>
                      <w:i/>
                      <w:szCs w:val="24"/>
                      <w:lang w:val="en-AU"/>
                    </w:rPr>
                  </m:ctrlPr>
                </m:sSubPr>
                <m:e>
                  <m:r>
                    <w:rPr>
                      <w:rFonts w:ascii="Cambria Math" w:hAnsi="Cambria Math" w:cs="Arial"/>
                      <w:szCs w:val="24"/>
                      <w:lang w:val="en-AU"/>
                    </w:rPr>
                    <m:t>r</m:t>
                  </m:r>
                </m:e>
                <m:sub>
                  <m:r>
                    <w:rPr>
                      <w:rFonts w:ascii="Cambria Math" w:hAnsi="Cambria Math" w:cs="Arial"/>
                      <w:szCs w:val="24"/>
                      <w:lang w:val="en-AU"/>
                    </w:rPr>
                    <m:t>D</m:t>
                  </m:r>
                </m:sub>
              </m:sSub>
            </m:e>
          </m:d>
          <m:r>
            <w:rPr>
              <w:rFonts w:ascii="Cambria Math" w:hAnsi="Cambria Math" w:cs="Arial"/>
              <w:szCs w:val="24"/>
              <w:lang w:val="en-AU"/>
            </w:rPr>
            <m:t xml:space="preserve"> (1-t)</m:t>
          </m:r>
        </m:oMath>
      </m:oMathPara>
    </w:p>
    <w:p w14:paraId="1CC85C3F" w14:textId="77777777" w:rsidR="00DD74A5" w:rsidRDefault="00000000">
      <w:pPr>
        <w:rPr>
          <w:rFonts w:ascii="Arial" w:hAnsi="Arial" w:cs="Arial"/>
          <w:szCs w:val="24"/>
          <w:lang w:val="en-AU"/>
        </w:rPr>
      </w:pPr>
      <w:r>
        <w:rPr>
          <w:rFonts w:ascii="Arial" w:hAnsi="Arial" w:cs="Arial"/>
          <w:szCs w:val="24"/>
          <w:lang w:val="en-AU"/>
        </w:rPr>
        <w:t>where:</w:t>
      </w:r>
    </w:p>
    <w:p w14:paraId="4D878F63" w14:textId="083122E0" w:rsidR="00DD74A5" w:rsidRDefault="000B3B14">
      <w:pPr>
        <w:pStyle w:val="ListParagraph"/>
        <w:numPr>
          <w:ilvl w:val="0"/>
          <w:numId w:val="2"/>
        </w:numPr>
        <w:rPr>
          <w:rFonts w:ascii="Arial" w:hAnsi="Arial" w:cs="Arial"/>
          <w:szCs w:val="24"/>
          <w:lang w:val="en-AU"/>
        </w:rPr>
      </w:pPr>
      <m:oMath>
        <m:sSub>
          <m:sSubPr>
            <m:ctrlPr>
              <w:rPr>
                <w:rFonts w:ascii="Cambria Math" w:hAnsi="Cambria Math" w:cs="Arial"/>
                <w:i/>
                <w:szCs w:val="24"/>
                <w:lang w:val="en-AU"/>
              </w:rPr>
            </m:ctrlPr>
          </m:sSubPr>
          <m:e>
            <m:r>
              <w:rPr>
                <w:rFonts w:ascii="Cambria Math" w:hAnsi="Cambria Math" w:cs="Arial"/>
                <w:szCs w:val="24"/>
                <w:lang w:val="en-AU"/>
              </w:rPr>
              <m:t>r</m:t>
            </m:r>
          </m:e>
          <m:sub>
            <m:r>
              <w:rPr>
                <w:rFonts w:ascii="Cambria Math" w:hAnsi="Cambria Math" w:cs="Arial"/>
                <w:szCs w:val="24"/>
                <w:lang w:val="en-AU"/>
              </w:rPr>
              <m:t>E</m:t>
            </m:r>
          </m:sub>
        </m:sSub>
        <m:r>
          <w:rPr>
            <w:rFonts w:ascii="Cambria Math" w:hAnsi="Cambria Math" w:cs="Arial"/>
            <w:szCs w:val="24"/>
            <w:lang w:val="en-AU"/>
          </w:rPr>
          <m:t xml:space="preserve"> </m:t>
        </m:r>
      </m:oMath>
      <w:r w:rsidR="00000000">
        <w:rPr>
          <w:rFonts w:ascii="Arial" w:hAnsi="Arial" w:cs="Arial"/>
          <w:szCs w:val="24"/>
          <w:lang w:val="en-AU"/>
        </w:rPr>
        <w:t xml:space="preserve">is the cost of equity, calculated using the CAPM formula. The computations yield </w:t>
      </w:r>
      <m:oMath>
        <m:sSub>
          <m:sSubPr>
            <m:ctrlPr>
              <w:rPr>
                <w:rFonts w:ascii="Cambria Math" w:hAnsi="Cambria Math" w:cs="Arial"/>
                <w:i/>
                <w:szCs w:val="24"/>
                <w:lang w:val="en-AU"/>
              </w:rPr>
            </m:ctrlPr>
          </m:sSubPr>
          <m:e>
            <m:r>
              <w:rPr>
                <w:rFonts w:ascii="Cambria Math" w:hAnsi="Cambria Math" w:cs="Arial"/>
                <w:szCs w:val="24"/>
                <w:lang w:val="en-AU"/>
              </w:rPr>
              <m:t>r</m:t>
            </m:r>
          </m:e>
          <m:sub>
            <m:r>
              <w:rPr>
                <w:rFonts w:ascii="Cambria Math" w:hAnsi="Cambria Math" w:cs="Arial"/>
                <w:szCs w:val="24"/>
                <w:lang w:val="en-AU"/>
              </w:rPr>
              <m:t>E</m:t>
            </m:r>
          </m:sub>
        </m:sSub>
      </m:oMath>
      <w:r w:rsidR="00000000">
        <w:rPr>
          <w:rFonts w:ascii="Arial" w:hAnsi="Arial" w:cs="Arial"/>
          <w:szCs w:val="24"/>
          <w:lang w:val="en-AU"/>
        </w:rPr>
        <w:t xml:space="preserve"> = 8.13%. </w:t>
      </w:r>
    </w:p>
    <w:p w14:paraId="6494B323" w14:textId="77777777" w:rsidR="00DD74A5" w:rsidRDefault="00000000">
      <w:pPr>
        <w:pStyle w:val="ListParagraph"/>
        <w:numPr>
          <w:ilvl w:val="0"/>
          <w:numId w:val="3"/>
        </w:numPr>
        <w:rPr>
          <w:rFonts w:ascii="Arial" w:hAnsi="Arial" w:cs="Arial"/>
          <w:szCs w:val="24"/>
          <w:lang w:val="en-AU"/>
        </w:rPr>
      </w:pPr>
      <w:r>
        <w:rPr>
          <w:rFonts w:ascii="Arial" w:hAnsi="Arial" w:cs="Arial"/>
          <w:szCs w:val="24"/>
          <w:lang w:val="en-AU"/>
        </w:rPr>
        <w:t>Beta is taken from data in Yahoo Finance, at 0.82 monthly based on the last 5 years’ data.</w:t>
      </w:r>
    </w:p>
    <w:p w14:paraId="37A92E51" w14:textId="77777777" w:rsidR="00DD74A5" w:rsidRDefault="00000000">
      <w:pPr>
        <w:pStyle w:val="ListParagraph"/>
        <w:numPr>
          <w:ilvl w:val="0"/>
          <w:numId w:val="3"/>
        </w:numPr>
        <w:rPr>
          <w:rFonts w:ascii="Arial" w:hAnsi="Arial" w:cs="Arial"/>
          <w:szCs w:val="24"/>
          <w:lang w:val="en-AU"/>
        </w:rPr>
      </w:pPr>
      <w:r>
        <w:rPr>
          <w:rFonts w:ascii="Arial" w:hAnsi="Arial" w:cs="Arial"/>
          <w:szCs w:val="24"/>
          <w:lang w:val="en-AU"/>
        </w:rPr>
        <w:t>The equity risk premium is chosen from China’s market at 6.5%, as NetEase’s primary market is China, where the typical range is 6-8%.</w:t>
      </w:r>
    </w:p>
    <w:p w14:paraId="7062A2C7" w14:textId="77777777" w:rsidR="00DD74A5" w:rsidRDefault="00000000">
      <w:pPr>
        <w:pStyle w:val="ListParagraph"/>
        <w:numPr>
          <w:ilvl w:val="0"/>
          <w:numId w:val="3"/>
        </w:numPr>
        <w:rPr>
          <w:rFonts w:ascii="Arial" w:hAnsi="Arial" w:cs="Arial"/>
          <w:szCs w:val="24"/>
          <w:lang w:val="en-AU"/>
        </w:rPr>
      </w:pPr>
      <w:r>
        <w:rPr>
          <w:rFonts w:ascii="Arial" w:hAnsi="Arial" w:cs="Arial"/>
          <w:szCs w:val="24"/>
          <w:lang w:val="en-AU"/>
        </w:rPr>
        <w:t xml:space="preserve">The </w:t>
      </w:r>
      <w:proofErr w:type="gramStart"/>
      <w:r>
        <w:rPr>
          <w:rFonts w:ascii="Arial" w:hAnsi="Arial" w:cs="Arial"/>
          <w:szCs w:val="24"/>
          <w:lang w:val="en-AU"/>
        </w:rPr>
        <w:t>risk free</w:t>
      </w:r>
      <w:proofErr w:type="gramEnd"/>
      <w:r>
        <w:rPr>
          <w:rFonts w:ascii="Arial" w:hAnsi="Arial" w:cs="Arial"/>
          <w:szCs w:val="24"/>
          <w:lang w:val="en-AU"/>
        </w:rPr>
        <w:t xml:space="preserve"> rate is chosen from local risk-free rate, at 2.8%.</w:t>
      </w:r>
    </w:p>
    <w:p w14:paraId="130BA5D4" w14:textId="65BCE102" w:rsidR="00DD74A5" w:rsidRDefault="000B3B14">
      <w:pPr>
        <w:pStyle w:val="ListParagraph"/>
        <w:numPr>
          <w:ilvl w:val="0"/>
          <w:numId w:val="2"/>
        </w:numPr>
        <w:rPr>
          <w:rFonts w:ascii="Arial" w:hAnsi="Arial" w:cs="Arial"/>
          <w:szCs w:val="24"/>
          <w:lang w:val="en-AU"/>
        </w:rPr>
      </w:pPr>
      <m:oMath>
        <m:sSub>
          <m:sSubPr>
            <m:ctrlPr>
              <w:rPr>
                <w:rFonts w:ascii="Cambria Math" w:hAnsi="Cambria Math" w:cs="Arial"/>
                <w:i/>
                <w:szCs w:val="24"/>
                <w:lang w:val="en-AU"/>
              </w:rPr>
            </m:ctrlPr>
          </m:sSubPr>
          <m:e>
            <m:r>
              <w:rPr>
                <w:rFonts w:ascii="Cambria Math" w:hAnsi="Cambria Math" w:cs="Arial"/>
                <w:szCs w:val="24"/>
                <w:lang w:val="en-AU"/>
              </w:rPr>
              <m:t>r</m:t>
            </m:r>
          </m:e>
          <m:sub>
            <m:r>
              <w:rPr>
                <w:rFonts w:ascii="Cambria Math" w:hAnsi="Cambria Math" w:cs="Arial"/>
                <w:szCs w:val="24"/>
                <w:lang w:val="en-AU"/>
              </w:rPr>
              <m:t>D</m:t>
            </m:r>
          </m:sub>
        </m:sSub>
      </m:oMath>
      <w:r w:rsidR="00000000">
        <w:rPr>
          <w:rFonts w:ascii="Arial" w:hAnsi="Arial" w:cs="Arial"/>
          <w:szCs w:val="24"/>
          <w:lang w:val="en-AU"/>
        </w:rPr>
        <w:t xml:space="preserve"> is the pre-tax cost of debt, calculated by approximating NetEase’s yield-to-maturity at 5.0% from historical trends. </w:t>
      </w:r>
    </w:p>
    <w:p w14:paraId="40E58152" w14:textId="77777777" w:rsidR="00DD74A5" w:rsidRDefault="00000000">
      <w:pPr>
        <w:pStyle w:val="ListParagraph"/>
        <w:numPr>
          <w:ilvl w:val="0"/>
          <w:numId w:val="2"/>
        </w:numPr>
        <w:rPr>
          <w:rFonts w:ascii="Arial" w:hAnsi="Arial" w:cs="Arial"/>
          <w:szCs w:val="24"/>
          <w:lang w:val="en-AU"/>
        </w:rPr>
      </w:pPr>
      <w:r>
        <w:rPr>
          <w:rFonts w:ascii="Arial" w:hAnsi="Arial" w:cs="Arial"/>
          <w:szCs w:val="24"/>
          <w:lang w:val="en-AU"/>
        </w:rPr>
        <w:t>The corporate tax rate, t, is calculated by historical average of tax rate data from 2021-2025, yielding 16.4%.</w:t>
      </w:r>
    </w:p>
    <w:p w14:paraId="3F9EEF52" w14:textId="77777777" w:rsidR="00DD74A5" w:rsidRDefault="00000000">
      <w:pPr>
        <w:pStyle w:val="ListParagraph"/>
        <w:numPr>
          <w:ilvl w:val="0"/>
          <w:numId w:val="2"/>
        </w:numPr>
        <w:rPr>
          <w:rFonts w:ascii="Arial" w:hAnsi="Arial" w:cs="Arial"/>
          <w:szCs w:val="24"/>
          <w:lang w:val="en-AU"/>
        </w:rPr>
      </w:pPr>
      <w:r>
        <w:rPr>
          <w:rFonts w:ascii="Arial" w:hAnsi="Arial" w:cs="Arial"/>
          <w:szCs w:val="24"/>
          <w:lang w:val="en-AU"/>
        </w:rPr>
        <w:t xml:space="preserve">Market value of equity (E) and market value of debt (D) is calculated using values from the 2025 annual report, where E = </w:t>
      </w:r>
      <w:r w:rsidRPr="002A7F20">
        <w:rPr>
          <w:rFonts w:ascii="Arial" w:hAnsi="Arial" w:cs="Arial"/>
          <w:szCs w:val="24"/>
          <w:lang w:val="en-ID"/>
        </w:rPr>
        <w:t>451.7 billion RMB</w:t>
      </w:r>
      <w:r>
        <w:rPr>
          <w:rFonts w:ascii="Arial" w:hAnsi="Arial" w:cs="Arial"/>
          <w:szCs w:val="24"/>
          <w:lang w:val="en-AU"/>
        </w:rPr>
        <w:t xml:space="preserve"> and D = 21.0 billion RMB.</w:t>
      </w:r>
    </w:p>
    <w:p w14:paraId="4F4FF009" w14:textId="77777777" w:rsidR="00DD74A5" w:rsidRDefault="00000000">
      <w:pPr>
        <w:rPr>
          <w:rFonts w:ascii="Arial" w:hAnsi="Arial" w:cs="Arial"/>
          <w:szCs w:val="24"/>
          <w:lang w:val="en-AU"/>
        </w:rPr>
      </w:pPr>
      <w:r>
        <w:rPr>
          <w:rFonts w:ascii="Arial" w:hAnsi="Arial" w:cs="Arial"/>
          <w:szCs w:val="24"/>
          <w:lang w:val="en-AU"/>
        </w:rPr>
        <w:t>Applying this formula yields a WACC of 7.96%.</w:t>
      </w:r>
    </w:p>
    <w:p w14:paraId="48B85B8A" w14:textId="77777777" w:rsidR="00DD74A5" w:rsidRDefault="00000000">
      <w:pPr>
        <w:rPr>
          <w:rFonts w:ascii="Arial" w:hAnsi="Arial" w:cs="Arial"/>
          <w:b/>
          <w:bCs/>
          <w:color w:val="0070C0"/>
          <w:sz w:val="28"/>
          <w:szCs w:val="28"/>
          <w:lang w:val="en-AU"/>
        </w:rPr>
      </w:pPr>
      <w:r>
        <w:rPr>
          <w:rFonts w:ascii="Arial" w:hAnsi="Arial" w:cs="Arial"/>
          <w:b/>
          <w:bCs/>
          <w:color w:val="0070C0"/>
          <w:sz w:val="28"/>
          <w:szCs w:val="28"/>
          <w:lang w:val="en-AU"/>
        </w:rPr>
        <w:t>Free Cash Flow (FCF)</w:t>
      </w:r>
    </w:p>
    <w:p w14:paraId="639CA7E7" w14:textId="77777777" w:rsidR="00DD74A5" w:rsidRDefault="00000000">
      <w:pPr>
        <w:rPr>
          <w:rFonts w:ascii="Arial" w:hAnsi="Arial" w:cs="Arial"/>
          <w:lang w:val="en-AU"/>
        </w:rPr>
      </w:pPr>
      <w:r>
        <w:rPr>
          <w:rFonts w:ascii="Arial" w:hAnsi="Arial" w:cs="Arial"/>
          <w:lang w:val="en-AU"/>
        </w:rPr>
        <w:t xml:space="preserve">Referring to Appendix A-4, we expect the FCF have a growth rate of 1%, using the Gordon growth model as our valuation method since NetEase is a mature firm.  </w:t>
      </w:r>
    </w:p>
    <w:p w14:paraId="0BE242E8" w14:textId="77777777" w:rsidR="00DD74A5" w:rsidRDefault="00000000">
      <w:pPr>
        <w:rPr>
          <w:rFonts w:ascii="Arial" w:hAnsi="Arial" w:cs="Arial"/>
          <w:lang w:val="en-AU"/>
        </w:rPr>
      </w:pPr>
      <w:r>
        <w:rPr>
          <w:rFonts w:ascii="Arial" w:hAnsi="Arial" w:cs="Arial"/>
          <w:lang w:val="en-AU"/>
        </w:rPr>
        <w:lastRenderedPageBreak/>
        <w:t xml:space="preserve">Using the calculated WACC as the discount rate, as well as assuming a perpetual growth rate of 1%, we used a Gordon growth model to calculate all future cash flows </w:t>
      </w:r>
      <w:proofErr w:type="gramStart"/>
      <w:r>
        <w:rPr>
          <w:rFonts w:ascii="Arial" w:hAnsi="Arial" w:cs="Arial"/>
          <w:lang w:val="en-AU"/>
        </w:rPr>
        <w:t>at</w:t>
      </w:r>
      <w:proofErr w:type="gramEnd"/>
      <w:r>
        <w:rPr>
          <w:rFonts w:ascii="Arial" w:hAnsi="Arial" w:cs="Arial"/>
          <w:lang w:val="en-AU"/>
        </w:rPr>
        <w:t xml:space="preserve"> 2032, with a PV of </w:t>
      </w:r>
    </w:p>
    <w:p w14:paraId="18527CAF" w14:textId="04E768B2" w:rsidR="000B3B14" w:rsidRPr="000B3B14" w:rsidRDefault="000B3B14">
      <w:pPr>
        <w:rPr>
          <w:rFonts w:ascii="Arial" w:hAnsi="Arial" w:cs="Arial"/>
          <w:lang w:val="en-AU"/>
        </w:rPr>
      </w:pPr>
      <m:oMathPara>
        <m:oMath>
          <m:f>
            <m:fPr>
              <m:ctrlPr>
                <w:rPr>
                  <w:rFonts w:ascii="Cambria Math" w:hAnsi="Cambria Math" w:cs="Arial"/>
                  <w:i/>
                  <w:lang w:val="en-AU"/>
                </w:rPr>
              </m:ctrlPr>
            </m:fPr>
            <m:num>
              <m:r>
                <w:rPr>
                  <w:rFonts w:ascii="Cambria Math" w:hAnsi="Cambria Math" w:cs="Arial"/>
                  <w:lang w:val="en-AU"/>
                </w:rPr>
                <m:t>43087</m:t>
              </m:r>
              <m:d>
                <m:dPr>
                  <m:ctrlPr>
                    <w:rPr>
                      <w:rFonts w:ascii="Cambria Math" w:hAnsi="Cambria Math" w:cs="Arial"/>
                      <w:i/>
                      <w:lang w:val="en-AU"/>
                    </w:rPr>
                  </m:ctrlPr>
                </m:dPr>
                <m:e>
                  <m:r>
                    <w:rPr>
                      <w:rFonts w:ascii="Cambria Math" w:hAnsi="Cambria Math" w:cs="Arial"/>
                      <w:lang w:val="en-AU"/>
                    </w:rPr>
                    <m:t>1.01</m:t>
                  </m:r>
                </m:e>
              </m:d>
            </m:num>
            <m:den>
              <m:r>
                <w:rPr>
                  <w:rFonts w:ascii="Cambria Math" w:hAnsi="Cambria Math" w:cs="Arial"/>
                  <w:lang w:val="en-AU"/>
                </w:rPr>
                <m:t>0.0796-0.01</m:t>
              </m:r>
            </m:den>
          </m:f>
          <m:r>
            <w:rPr>
              <w:rFonts w:ascii="Cambria Math" w:hAnsi="Cambria Math" w:cs="Arial"/>
              <w:lang w:val="en-AU"/>
            </w:rPr>
            <m:t>=625 256.7529 million RMB</m:t>
          </m:r>
        </m:oMath>
      </m:oMathPara>
    </w:p>
    <w:p w14:paraId="0187E062" w14:textId="77777777" w:rsidR="00DD74A5" w:rsidRDefault="00DD74A5">
      <w:pPr>
        <w:rPr>
          <w:rFonts w:ascii="Arial" w:hAnsi="Arial" w:cs="Arial"/>
          <w:lang w:val="en-AU"/>
        </w:rPr>
      </w:pPr>
    </w:p>
    <w:p w14:paraId="54B7BD62" w14:textId="65DF08CA" w:rsidR="00DD74A5" w:rsidRDefault="00000000">
      <w:pPr>
        <w:rPr>
          <w:rFonts w:ascii="Arial" w:hAnsi="Arial" w:cs="Arial"/>
          <w:lang w:val="en-AU"/>
        </w:rPr>
      </w:pPr>
      <w:r>
        <w:rPr>
          <w:rFonts w:ascii="Arial" w:hAnsi="Arial" w:cs="Arial"/>
          <w:lang w:val="en-AU"/>
        </w:rPr>
        <w:t>We then discount this back to 2025 (as Year 0), since the last annual report is from 2025. As such, the total NPV would equal</w:t>
      </w:r>
    </w:p>
    <w:p w14:paraId="7F584968" w14:textId="4B59E694" w:rsidR="00477986" w:rsidRDefault="000B3B14">
      <w:pPr>
        <w:rPr>
          <w:rFonts w:ascii="Cambria" w:hAnsi="Cambria" w:cs="Arial"/>
          <w:lang w:val="en-AU"/>
        </w:rPr>
      </w:pPr>
      <m:oMath>
        <m:f>
          <m:fPr>
            <m:ctrlPr>
              <w:rPr>
                <w:rFonts w:ascii="Cambria Math" w:hAnsi="Cambria Math" w:cs="Arial"/>
                <w:i/>
                <w:lang w:val="en-AU"/>
              </w:rPr>
            </m:ctrlPr>
          </m:fPr>
          <m:num>
            <m:r>
              <w:rPr>
                <w:rFonts w:ascii="Cambria Math" w:hAnsi="Cambria Math" w:cs="Arial"/>
                <w:lang w:val="en-AU"/>
              </w:rPr>
              <m:t>29,565</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0</m:t>
                </m:r>
              </m:sup>
            </m:sSup>
          </m:den>
        </m:f>
        <m:r>
          <w:rPr>
            <w:rFonts w:ascii="Cambria Math" w:hAnsi="Cambria Math" w:cs="Arial"/>
            <w:lang w:val="en-AU"/>
          </w:rPr>
          <m:t>+</m:t>
        </m:r>
        <m:f>
          <m:fPr>
            <m:ctrlPr>
              <w:rPr>
                <w:rFonts w:ascii="Cambria Math" w:hAnsi="Cambria Math" w:cs="Arial"/>
                <w:i/>
                <w:lang w:val="en-AU"/>
              </w:rPr>
            </m:ctrlPr>
          </m:fPr>
          <m:num>
            <m:r>
              <w:rPr>
                <w:rFonts w:ascii="Cambria Math" w:hAnsi="Cambria Math" w:cs="Arial"/>
                <w:lang w:val="en-AU"/>
              </w:rPr>
              <m:t>29,065</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1</m:t>
                </m:r>
              </m:sup>
            </m:sSup>
          </m:den>
        </m:f>
        <m:r>
          <w:rPr>
            <w:rFonts w:ascii="Cambria Math" w:hAnsi="Cambria Math" w:cs="Arial"/>
            <w:lang w:val="en-AU"/>
          </w:rPr>
          <m:t>+</m:t>
        </m:r>
        <m:f>
          <m:fPr>
            <m:ctrlPr>
              <w:rPr>
                <w:rFonts w:ascii="Cambria Math" w:hAnsi="Cambria Math" w:cs="Arial"/>
                <w:i/>
                <w:lang w:val="en-AU"/>
              </w:rPr>
            </m:ctrlPr>
          </m:fPr>
          <m:num>
            <m:r>
              <w:rPr>
                <w:rFonts w:ascii="Cambria Math" w:hAnsi="Cambria Math" w:cs="Arial"/>
                <w:lang w:val="en-AU"/>
              </w:rPr>
              <m:t>32,002</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2</m:t>
                </m:r>
              </m:sup>
            </m:sSup>
          </m:den>
        </m:f>
        <m:r>
          <w:rPr>
            <w:rFonts w:ascii="Cambria Math" w:hAnsi="Cambria Math" w:cs="Arial"/>
            <w:lang w:val="en-AU"/>
          </w:rPr>
          <m:t>+</m:t>
        </m:r>
        <m:f>
          <m:fPr>
            <m:ctrlPr>
              <w:rPr>
                <w:rFonts w:ascii="Cambria Math" w:hAnsi="Cambria Math" w:cs="Arial"/>
                <w:i/>
                <w:lang w:val="en-AU"/>
              </w:rPr>
            </m:ctrlPr>
          </m:fPr>
          <m:num>
            <m:r>
              <w:rPr>
                <w:rFonts w:ascii="Cambria Math" w:hAnsi="Cambria Math" w:cs="Arial"/>
                <w:lang w:val="en-AU"/>
              </w:rPr>
              <m:t>35,079</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3</m:t>
                </m:r>
              </m:sup>
            </m:sSup>
          </m:den>
        </m:f>
        <m:r>
          <w:rPr>
            <w:rFonts w:ascii="Cambria Math" w:hAnsi="Cambria Math" w:cs="Arial"/>
            <w:lang w:val="en-AU"/>
          </w:rPr>
          <m:t>+</m:t>
        </m:r>
        <m:f>
          <m:fPr>
            <m:ctrlPr>
              <w:rPr>
                <w:rFonts w:ascii="Cambria Math" w:hAnsi="Cambria Math" w:cs="Arial"/>
                <w:i/>
                <w:lang w:val="en-AU"/>
              </w:rPr>
            </m:ctrlPr>
          </m:fPr>
          <m:num>
            <m:r>
              <w:rPr>
                <w:rFonts w:ascii="Cambria Math" w:hAnsi="Cambria Math" w:cs="Arial"/>
                <w:lang w:val="en-AU"/>
              </w:rPr>
              <m:t>38,428</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4</m:t>
                </m:r>
              </m:sup>
            </m:sSup>
          </m:den>
        </m:f>
        <m:r>
          <w:rPr>
            <w:rFonts w:ascii="Cambria Math" w:hAnsi="Cambria Math" w:cs="Arial"/>
            <w:lang w:val="en-AU"/>
          </w:rPr>
          <m:t>+</m:t>
        </m:r>
        <m:f>
          <m:fPr>
            <m:ctrlPr>
              <w:rPr>
                <w:rFonts w:ascii="Cambria Math" w:hAnsi="Cambria Math" w:cs="Arial"/>
                <w:i/>
                <w:lang w:val="en-AU"/>
              </w:rPr>
            </m:ctrlPr>
          </m:fPr>
          <m:num>
            <m:r>
              <w:rPr>
                <w:rFonts w:ascii="Cambria Math" w:hAnsi="Cambria Math" w:cs="Arial"/>
                <w:lang w:val="en-AU"/>
              </w:rPr>
              <m:t>42,030</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5</m:t>
                </m:r>
              </m:sup>
            </m:sSup>
          </m:den>
        </m:f>
        <m:r>
          <w:rPr>
            <w:rFonts w:ascii="Cambria Math" w:hAnsi="Cambria Math" w:cs="Arial"/>
            <w:lang w:val="en-AU"/>
          </w:rPr>
          <m:t>+</m:t>
        </m:r>
        <m:f>
          <m:fPr>
            <m:ctrlPr>
              <w:rPr>
                <w:rFonts w:ascii="Cambria Math" w:hAnsi="Cambria Math" w:cs="Arial"/>
                <w:i/>
                <w:lang w:val="en-AU"/>
              </w:rPr>
            </m:ctrlPr>
          </m:fPr>
          <m:num>
            <m:r>
              <w:rPr>
                <w:rFonts w:ascii="Cambria Math" w:hAnsi="Cambria Math" w:cs="Arial"/>
                <w:lang w:val="en-AU"/>
              </w:rPr>
              <m:t>42,660</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6</m:t>
                </m:r>
              </m:sup>
            </m:sSup>
          </m:den>
        </m:f>
        <m:r>
          <w:rPr>
            <w:rFonts w:ascii="Cambria Math" w:hAnsi="Cambria Math" w:cs="Arial"/>
            <w:lang w:val="en-AU"/>
          </w:rPr>
          <m:t>+</m:t>
        </m:r>
        <m:f>
          <m:fPr>
            <m:ctrlPr>
              <w:rPr>
                <w:rFonts w:ascii="Cambria Math" w:hAnsi="Cambria Math" w:cs="Arial"/>
                <w:i/>
                <w:lang w:val="en-AU"/>
              </w:rPr>
            </m:ctrlPr>
          </m:fPr>
          <m:num>
            <m:r>
              <w:rPr>
                <w:rFonts w:ascii="Cambria Math" w:hAnsi="Cambria Math" w:cs="Arial"/>
                <w:lang w:val="en-AU"/>
              </w:rPr>
              <m:t>43,087</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7</m:t>
                </m:r>
              </m:sup>
            </m:sSup>
          </m:den>
        </m:f>
        <m:r>
          <w:rPr>
            <w:rFonts w:ascii="Cambria Math" w:hAnsi="Cambria Math" w:cs="Arial"/>
            <w:lang w:val="en-AU"/>
          </w:rPr>
          <m:t>+</m:t>
        </m:r>
        <m:f>
          <m:fPr>
            <m:ctrlPr>
              <w:rPr>
                <w:rFonts w:ascii="Cambria Math" w:hAnsi="Cambria Math" w:cs="Arial"/>
                <w:i/>
                <w:lang w:val="en-AU"/>
              </w:rPr>
            </m:ctrlPr>
          </m:fPr>
          <m:num>
            <m:r>
              <w:rPr>
                <w:rFonts w:ascii="Cambria Math" w:hAnsi="Cambria Math" w:cs="Arial"/>
                <w:lang w:val="en-AU"/>
              </w:rPr>
              <m:t>625,256.7529</m:t>
            </m:r>
          </m:num>
          <m:den>
            <m:sSup>
              <m:sSupPr>
                <m:ctrlPr>
                  <w:rPr>
                    <w:rFonts w:ascii="Cambria Math" w:hAnsi="Cambria Math" w:cs="Arial"/>
                    <w:i/>
                    <w:lang w:val="en-AU"/>
                  </w:rPr>
                </m:ctrlPr>
              </m:sSupPr>
              <m:e>
                <m:r>
                  <w:rPr>
                    <w:rFonts w:ascii="Cambria Math" w:hAnsi="Cambria Math" w:cs="Arial"/>
                    <w:lang w:val="en-AU"/>
                  </w:rPr>
                  <m:t>1.0796</m:t>
                </m:r>
              </m:e>
              <m:sup>
                <m:r>
                  <w:rPr>
                    <w:rFonts w:ascii="Cambria Math" w:hAnsi="Cambria Math" w:cs="Arial"/>
                    <w:lang w:val="en-AU"/>
                  </w:rPr>
                  <m:t>7</m:t>
                </m:r>
              </m:sup>
            </m:sSup>
          </m:den>
        </m:f>
        <m:r>
          <w:rPr>
            <w:rFonts w:ascii="Cambria Math" w:hAnsi="Cambria Math" w:cs="Arial"/>
            <w:lang w:val="en-AU"/>
          </w:rPr>
          <m:t xml:space="preserve"> </m:t>
        </m:r>
      </m:oMath>
      <w:r w:rsidR="00477986">
        <w:rPr>
          <w:rFonts w:ascii="Cambria" w:hAnsi="Cambria" w:cs="Arial"/>
          <w:lang w:val="en-AU"/>
        </w:rPr>
        <w:t xml:space="preserve"> </w:t>
      </w:r>
    </w:p>
    <w:p w14:paraId="4EB7A7CB" w14:textId="41C8B1CD" w:rsidR="00DD74A5" w:rsidRDefault="00477986">
      <w:pPr>
        <w:rPr>
          <w:rFonts w:ascii="Arial" w:hAnsi="Arial" w:cs="Arial"/>
          <w:lang w:val="en-AU"/>
        </w:rPr>
      </w:pPr>
      <w:r w:rsidRPr="00477986">
        <w:rPr>
          <w:rFonts w:ascii="Arial" w:hAnsi="Arial" w:cs="Arial"/>
          <w:lang w:val="en-AU"/>
        </w:rPr>
        <w:t xml:space="preserve">which is equal to </w:t>
      </w:r>
      <w:r w:rsidR="000B3B14" w:rsidRPr="00C44DDD">
        <w:rPr>
          <w:rFonts w:ascii="Arial" w:hAnsi="Arial" w:cs="Arial"/>
          <w:i/>
          <w:iCs/>
          <w:lang w:val="en-AU"/>
        </w:rPr>
        <w:t xml:space="preserve">586694.8119 </w:t>
      </w:r>
      <w:r w:rsidR="000B3B14" w:rsidRPr="00C44DDD">
        <w:rPr>
          <w:rFonts w:ascii="Arial" w:hAnsi="Arial" w:cs="Arial"/>
          <w:lang w:val="en-AU"/>
        </w:rPr>
        <w:t>million RMB</w:t>
      </w:r>
      <w:r w:rsidRPr="00477986">
        <w:rPr>
          <w:rFonts w:ascii="Arial" w:hAnsi="Arial" w:cs="Arial"/>
          <w:lang w:val="en-AU"/>
        </w:rPr>
        <w:t>.</w:t>
      </w:r>
      <w:r w:rsidR="00C44DDD">
        <w:rPr>
          <w:rFonts w:ascii="Arial" w:hAnsi="Arial" w:cs="Arial"/>
          <w:lang w:val="en-AU"/>
        </w:rPr>
        <w:t xml:space="preserve"> Divide that </w:t>
      </w:r>
      <w:r w:rsidR="00000000">
        <w:rPr>
          <w:rFonts w:ascii="Arial" w:hAnsi="Arial" w:cs="Arial"/>
          <w:lang w:val="en-AU"/>
        </w:rPr>
        <w:t>by the total number of shares outstanding (3,233.7 million shares) to get a fair price of</w:t>
      </w:r>
    </w:p>
    <w:p w14:paraId="649650A7" w14:textId="79131785" w:rsidR="00DD74A5" w:rsidRPr="00477986" w:rsidRDefault="00477986">
      <w:pPr>
        <w:rPr>
          <w:rFonts w:ascii="Arial" w:hAnsi="Arial" w:cs="Arial"/>
          <w:lang w:val="en-AU"/>
        </w:rPr>
      </w:pPr>
      <m:oMathPara>
        <m:oMath>
          <m:f>
            <m:fPr>
              <m:ctrlPr>
                <w:rPr>
                  <w:rFonts w:ascii="Cambria Math" w:hAnsi="Cambria Math" w:cs="Arial"/>
                  <w:i/>
                  <w:lang w:val="en-AU"/>
                </w:rPr>
              </m:ctrlPr>
            </m:fPr>
            <m:num>
              <m:r>
                <w:rPr>
                  <w:rFonts w:ascii="Cambria Math" w:hAnsi="Cambria Math" w:cs="Arial"/>
                  <w:lang w:val="en-AU"/>
                </w:rPr>
                <m:t>586,694.8119</m:t>
              </m:r>
            </m:num>
            <m:den>
              <m:r>
                <w:rPr>
                  <w:rFonts w:ascii="Cambria Math" w:hAnsi="Cambria Math" w:cs="Arial"/>
                  <w:lang w:val="en-AU"/>
                </w:rPr>
                <m:t>3,233.7</m:t>
              </m:r>
            </m:den>
          </m:f>
          <m:r>
            <w:rPr>
              <w:rFonts w:ascii="Cambria Math" w:hAnsi="Cambria Math" w:cs="Arial"/>
              <w:lang w:val="en-AU"/>
            </w:rPr>
            <m:t>=181.431429 RMB/share</m:t>
          </m:r>
        </m:oMath>
      </m:oMathPara>
    </w:p>
    <w:p w14:paraId="75A100FD" w14:textId="77777777" w:rsidR="00DD74A5" w:rsidRDefault="00000000">
      <w:pPr>
        <w:rPr>
          <w:rFonts w:ascii="Arial" w:hAnsi="Arial" w:cs="Arial"/>
          <w:b/>
          <w:bCs/>
          <w:color w:val="074F6A" w:themeColor="accent4" w:themeShade="80"/>
          <w:sz w:val="32"/>
          <w:szCs w:val="32"/>
          <w:u w:val="thick"/>
          <w:lang w:val="en-AU"/>
        </w:rPr>
      </w:pPr>
      <w:r>
        <w:rPr>
          <w:rFonts w:ascii="Arial" w:hAnsi="Arial" w:cs="Arial"/>
          <w:b/>
          <w:bCs/>
          <w:color w:val="074F6A" w:themeColor="accent4" w:themeShade="80"/>
          <w:sz w:val="32"/>
          <w:szCs w:val="32"/>
          <w:u w:val="thick"/>
          <w:lang w:val="en-AU"/>
        </w:rPr>
        <w:t>Sensitivity Analysis</w:t>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p>
    <w:p w14:paraId="6766BF21" w14:textId="2AD7FA70" w:rsidR="00477986" w:rsidRDefault="00477986">
      <w:pPr>
        <w:rPr>
          <w:rFonts w:ascii="Arial" w:hAnsi="Arial" w:cs="Arial"/>
          <w:lang w:val="en-AU"/>
        </w:rPr>
      </w:pPr>
      <w:r>
        <w:rPr>
          <w:rFonts w:ascii="Arial" w:hAnsi="Arial" w:cs="Arial"/>
          <w:noProof/>
          <w:lang w:val="en-AU"/>
        </w:rPr>
        <w:drawing>
          <wp:anchor distT="0" distB="0" distL="114300" distR="114300" simplePos="0" relativeHeight="251678720" behindDoc="0" locked="0" layoutInCell="1" allowOverlap="1" wp14:anchorId="19914021" wp14:editId="091CA44C">
            <wp:simplePos x="0" y="0"/>
            <wp:positionH relativeFrom="column">
              <wp:posOffset>3710096</wp:posOffset>
            </wp:positionH>
            <wp:positionV relativeFrom="paragraph">
              <wp:posOffset>6985</wp:posOffset>
            </wp:positionV>
            <wp:extent cx="2910205" cy="1963420"/>
            <wp:effectExtent l="0" t="0" r="4445" b="0"/>
            <wp:wrapSquare wrapText="bothSides"/>
            <wp:docPr id="195015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56140"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10205" cy="1963420"/>
                    </a:xfrm>
                    <a:prstGeom prst="rect">
                      <a:avLst/>
                    </a:prstGeom>
                  </pic:spPr>
                </pic:pic>
              </a:graphicData>
            </a:graphic>
          </wp:anchor>
        </w:drawing>
      </w:r>
      <w:r>
        <w:rPr>
          <w:rFonts w:ascii="Arial" w:hAnsi="Arial" w:cs="Arial"/>
          <w:noProof/>
          <w:lang w:val="en-AU"/>
          <w14:ligatures w14:val="none"/>
        </w:rPr>
        <mc:AlternateContent>
          <mc:Choice Requires="wps">
            <w:drawing>
              <wp:anchor distT="0" distB="0" distL="114300" distR="114300" simplePos="0" relativeHeight="251698176" behindDoc="0" locked="0" layoutInCell="1" allowOverlap="1" wp14:anchorId="0D592E41" wp14:editId="3D974F76">
                <wp:simplePos x="0" y="0"/>
                <wp:positionH relativeFrom="column">
                  <wp:posOffset>0</wp:posOffset>
                </wp:positionH>
                <wp:positionV relativeFrom="paragraph">
                  <wp:posOffset>6340</wp:posOffset>
                </wp:positionV>
                <wp:extent cx="3545174" cy="2743200"/>
                <wp:effectExtent l="0" t="0" r="11430" b="12700"/>
                <wp:wrapNone/>
                <wp:docPr id="498112439" name="Text Box 20"/>
                <wp:cNvGraphicFramePr/>
                <a:graphic xmlns:a="http://schemas.openxmlformats.org/drawingml/2006/main">
                  <a:graphicData uri="http://schemas.microsoft.com/office/word/2010/wordprocessingShape">
                    <wps:wsp>
                      <wps:cNvSpPr txBox="1"/>
                      <wps:spPr>
                        <a:xfrm>
                          <a:off x="0" y="0"/>
                          <a:ext cx="3545174" cy="2743200"/>
                        </a:xfrm>
                        <a:prstGeom prst="rect">
                          <a:avLst/>
                        </a:prstGeom>
                        <a:noFill/>
                        <a:ln w="6350">
                          <a:solidFill>
                            <a:prstClr val="black"/>
                          </a:solidFill>
                        </a:ln>
                      </wps:spPr>
                      <wps:txbx>
                        <w:txbxContent>
                          <w:p w14:paraId="4DC98993" w14:textId="47AFB8D3" w:rsidR="00477986" w:rsidRDefault="00477986" w:rsidP="00477986">
                            <w:pPr>
                              <w:rPr>
                                <w:rFonts w:ascii="Arial" w:hAnsi="Arial" w:cs="Arial"/>
                                <w:lang w:val="en-AU"/>
                              </w:rPr>
                            </w:pPr>
                            <w:r>
                              <w:rPr>
                                <w:rFonts w:ascii="Arial" w:hAnsi="Arial" w:cs="Arial"/>
                                <w:lang w:val="en-AU"/>
                              </w:rPr>
                              <w:t>F</w:t>
                            </w:r>
                            <w:r>
                              <w:rPr>
                                <w:rFonts w:ascii="Arial" w:hAnsi="Arial" w:cs="Arial"/>
                                <w:lang w:val="en-AU"/>
                              </w:rPr>
                              <w:t xml:space="preserve">or the sensitivity analysis, we adjusted the WACC by +- 0.5%. This method is commonly used as it allows us to simulate the fair price in realistic ranges. </w:t>
                            </w:r>
                            <w:proofErr w:type="spellStart"/>
                            <w:r>
                              <w:rPr>
                                <w:rFonts w:ascii="Arial" w:hAnsi="Arial" w:cs="Arial"/>
                                <w:lang w:val="en-AU"/>
                              </w:rPr>
                              <w:t>Analyzing</w:t>
                            </w:r>
                            <w:proofErr w:type="spellEnd"/>
                            <w:r>
                              <w:rPr>
                                <w:rFonts w:ascii="Arial" w:hAnsi="Arial" w:cs="Arial"/>
                                <w:lang w:val="en-AU"/>
                              </w:rPr>
                              <w:t xml:space="preserve"> NPV changes in this uncertainty range can help us better understand the firm’s sensitivity to change. The worst-case scenario in this analysis happens when the WACC is 0.5% above the baseline, which yields a fair price 6.6% below the baseline, and the best-case scenario occurs when the WACC is 0.5% below the baseline, which yields a fair price 7.7% above the baseline, as fair price is inversely proportional to the WACC (Fig 8). </w:t>
                            </w:r>
                          </w:p>
                          <w:p w14:paraId="610C7309" w14:textId="77777777" w:rsidR="00477986" w:rsidRPr="00477986" w:rsidRDefault="00477986">
                            <w:pPr>
                              <w:rPr>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592E41" id="Text Box 20" o:spid="_x0000_s1042" type="#_x0000_t202" style="position:absolute;margin-left:0;margin-top:.5pt;width:279.15pt;height:3in;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" filled="f" strokeweight=".5pt">
                <v:textbox>
                  <w:txbxContent>
                    <w:p w14:paraId="4DC98993" w14:textId="47AFB8D3" w:rsidR="00477986" w:rsidRDefault="00477986" w:rsidP="00477986">
                      <w:pPr>
                        <w:rPr>
                          <w:rFonts w:ascii="Arial" w:hAnsi="Arial" w:cs="Arial"/>
                          <w:lang w:val="en-AU"/>
                        </w:rPr>
                      </w:pPr>
                      <w:r>
                        <w:rPr>
                          <w:rFonts w:ascii="Arial" w:hAnsi="Arial" w:cs="Arial"/>
                          <w:lang w:val="en-AU"/>
                        </w:rPr>
                        <w:t>F</w:t>
                      </w:r>
                      <w:r>
                        <w:rPr>
                          <w:rFonts w:ascii="Arial" w:hAnsi="Arial" w:cs="Arial"/>
                          <w:lang w:val="en-AU"/>
                        </w:rPr>
                        <w:t xml:space="preserve">or the sensitivity analysis, we adjusted the WACC by +- 0.5%. This method is commonly used as it allows us to simulate the fair price in realistic ranges. </w:t>
                      </w:r>
                      <w:proofErr w:type="spellStart"/>
                      <w:r>
                        <w:rPr>
                          <w:rFonts w:ascii="Arial" w:hAnsi="Arial" w:cs="Arial"/>
                          <w:lang w:val="en-AU"/>
                        </w:rPr>
                        <w:t>Analyzing</w:t>
                      </w:r>
                      <w:proofErr w:type="spellEnd"/>
                      <w:r>
                        <w:rPr>
                          <w:rFonts w:ascii="Arial" w:hAnsi="Arial" w:cs="Arial"/>
                          <w:lang w:val="en-AU"/>
                        </w:rPr>
                        <w:t xml:space="preserve"> NPV changes in this uncertainty range can help us better understand the firm’s sensitivity to change. The worst-case scenario in this analysis happens when the WACC is 0.5% above the baseline, which yields a fair price 6.6% below the baseline, and the best-case scenario occurs when the WACC is 0.5% below the baseline, which yields a fair price 7.7% above the baseline, as fair price is inversely proportional to the WACC (Fig 8). </w:t>
                      </w:r>
                    </w:p>
                    <w:p w14:paraId="610C7309" w14:textId="77777777" w:rsidR="00477986" w:rsidRPr="00477986" w:rsidRDefault="00477986">
                      <w:pPr>
                        <w:rPr>
                          <w:lang w:val="en-AU"/>
                        </w:rPr>
                      </w:pPr>
                    </w:p>
                  </w:txbxContent>
                </v:textbox>
              </v:shape>
            </w:pict>
          </mc:Fallback>
        </mc:AlternateContent>
      </w:r>
    </w:p>
    <w:p w14:paraId="2154829A" w14:textId="77777777" w:rsidR="00477986" w:rsidRDefault="00477986">
      <w:pPr>
        <w:rPr>
          <w:rFonts w:ascii="Arial" w:hAnsi="Arial" w:cs="Arial"/>
          <w:lang w:val="en-AU"/>
        </w:rPr>
      </w:pPr>
    </w:p>
    <w:p w14:paraId="577B358E" w14:textId="77777777" w:rsidR="00477986" w:rsidRDefault="00477986">
      <w:pPr>
        <w:rPr>
          <w:rFonts w:ascii="Arial" w:hAnsi="Arial" w:cs="Arial"/>
          <w:lang w:val="en-AU"/>
        </w:rPr>
      </w:pPr>
    </w:p>
    <w:p w14:paraId="3AFE61F9" w14:textId="77777777" w:rsidR="00477986" w:rsidRDefault="00477986">
      <w:pPr>
        <w:rPr>
          <w:rFonts w:ascii="Arial" w:hAnsi="Arial" w:cs="Arial"/>
          <w:lang w:val="en-AU"/>
        </w:rPr>
      </w:pPr>
    </w:p>
    <w:p w14:paraId="6CD920CC" w14:textId="77777777" w:rsidR="00477986" w:rsidRDefault="00477986">
      <w:pPr>
        <w:rPr>
          <w:rFonts w:ascii="Arial" w:hAnsi="Arial" w:cs="Arial"/>
          <w:lang w:val="en-AU"/>
        </w:rPr>
      </w:pPr>
    </w:p>
    <w:p w14:paraId="115A5F5A" w14:textId="77777777" w:rsidR="00477986" w:rsidRDefault="00477986">
      <w:pPr>
        <w:rPr>
          <w:rFonts w:ascii="Arial" w:hAnsi="Arial" w:cs="Arial"/>
          <w:lang w:val="en-AU"/>
        </w:rPr>
      </w:pPr>
    </w:p>
    <w:p w14:paraId="3CAFE072" w14:textId="3AAF6731" w:rsidR="00DD74A5" w:rsidRDefault="00477986">
      <w:pPr>
        <w:rPr>
          <w:rFonts w:ascii="Arial" w:hAnsi="Arial" w:cs="Arial"/>
          <w:lang w:val="en-AU"/>
        </w:rPr>
      </w:pPr>
      <w:r>
        <w:rPr>
          <w:rFonts w:ascii="Arial" w:hAnsi="Arial" w:cs="Arial"/>
          <w:noProof/>
          <w:lang w:val="en-AU"/>
          <w14:ligatures w14:val="none"/>
        </w:rPr>
        <mc:AlternateContent>
          <mc:Choice Requires="wps">
            <w:drawing>
              <wp:anchor distT="0" distB="0" distL="114300" distR="114300" simplePos="0" relativeHeight="251692032" behindDoc="0" locked="0" layoutInCell="1" allowOverlap="1" wp14:anchorId="136F604A" wp14:editId="5D5C0ACC">
                <wp:simplePos x="0" y="0"/>
                <wp:positionH relativeFrom="column">
                  <wp:posOffset>3710067</wp:posOffset>
                </wp:positionH>
                <wp:positionV relativeFrom="paragraph">
                  <wp:posOffset>142521</wp:posOffset>
                </wp:positionV>
                <wp:extent cx="2905916" cy="525145"/>
                <wp:effectExtent l="0" t="0" r="0" b="0"/>
                <wp:wrapNone/>
                <wp:docPr id="320857722" name="Text Box 18"/>
                <wp:cNvGraphicFramePr/>
                <a:graphic xmlns:a="http://schemas.openxmlformats.org/drawingml/2006/main">
                  <a:graphicData uri="http://schemas.microsoft.com/office/word/2010/wordprocessingShape">
                    <wps:wsp>
                      <wps:cNvSpPr txBox="1"/>
                      <wps:spPr>
                        <a:xfrm>
                          <a:off x="0" y="0"/>
                          <a:ext cx="2905916" cy="525145"/>
                        </a:xfrm>
                        <a:prstGeom prst="rect">
                          <a:avLst/>
                        </a:prstGeom>
                        <a:noFill/>
                        <a:ln w="6350">
                          <a:noFill/>
                        </a:ln>
                      </wps:spPr>
                      <wps:txbx>
                        <w:txbxContent>
                          <w:p w14:paraId="589FC55F"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8: Sensitivity Analysis of NetEase Using WACC Changes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36F604A" id="_x0000_s1043" type="#_x0000_t202" style="position:absolute;margin-left:292.15pt;margin-top:11.2pt;width:228.8pt;height:41.3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" filled="f" stroked="f" strokeweight=".5pt">
                <v:textbox>
                  <w:txbxContent>
                    <w:p w14:paraId="589FC55F" w14:textId="77777777" w:rsidR="00DD74A5" w:rsidRDefault="00000000" w:rsidP="00477986">
                      <w:pPr>
                        <w:jc w:val="center"/>
                        <w:rPr>
                          <w:rFonts w:ascii="Arial" w:hAnsi="Arial" w:cs="Arial"/>
                          <w:b/>
                          <w:bCs/>
                          <w:sz w:val="20"/>
                          <w:szCs w:val="20"/>
                          <w:lang w:val="en-AU"/>
                        </w:rPr>
                      </w:pPr>
                      <w:r>
                        <w:rPr>
                          <w:rFonts w:ascii="Arial" w:hAnsi="Arial" w:cs="Arial"/>
                          <w:b/>
                          <w:bCs/>
                          <w:sz w:val="20"/>
                          <w:szCs w:val="20"/>
                          <w:lang w:val="en-AU"/>
                        </w:rPr>
                        <w:t>Fig 8: Sensitivity Analysis of NetEase Using WACC Changes</w:t>
                      </w:r>
                    </w:p>
                  </w:txbxContent>
                </v:textbox>
              </v:shape>
            </w:pict>
          </mc:Fallback>
        </mc:AlternateContent>
      </w:r>
      <w:r w:rsidR="00000000">
        <w:rPr>
          <w:rFonts w:ascii="Arial" w:hAnsi="Arial" w:cs="Arial"/>
          <w:lang w:val="en-AU"/>
        </w:rPr>
        <w:t xml:space="preserve"> </w:t>
      </w:r>
    </w:p>
    <w:p w14:paraId="42425CE4" w14:textId="77777777" w:rsidR="00DD74A5" w:rsidRDefault="00DD74A5">
      <w:pPr>
        <w:rPr>
          <w:rFonts w:ascii="Arial" w:hAnsi="Arial" w:cs="Arial"/>
          <w:lang w:val="en-US"/>
        </w:rPr>
      </w:pPr>
    </w:p>
    <w:p w14:paraId="5EF26E70" w14:textId="77777777" w:rsidR="00477986" w:rsidRDefault="00477986">
      <w:pPr>
        <w:rPr>
          <w:rFonts w:ascii="Arial" w:hAnsi="Arial" w:cs="Arial"/>
          <w:b/>
          <w:bCs/>
          <w:color w:val="074F6A" w:themeColor="accent4" w:themeShade="80"/>
          <w:sz w:val="32"/>
          <w:szCs w:val="32"/>
          <w:u w:val="thick"/>
          <w:lang w:val="en-AU"/>
        </w:rPr>
      </w:pPr>
    </w:p>
    <w:p w14:paraId="655CCA9B" w14:textId="77777777" w:rsidR="00477986" w:rsidRDefault="00477986">
      <w:pPr>
        <w:rPr>
          <w:rFonts w:ascii="Arial" w:hAnsi="Arial" w:cs="Arial"/>
          <w:b/>
          <w:bCs/>
          <w:color w:val="074F6A" w:themeColor="accent4" w:themeShade="80"/>
          <w:sz w:val="32"/>
          <w:szCs w:val="32"/>
          <w:u w:val="thick"/>
          <w:lang w:val="en-AU"/>
        </w:rPr>
      </w:pPr>
    </w:p>
    <w:p w14:paraId="06F26AC0" w14:textId="18433534" w:rsidR="00DD74A5" w:rsidRDefault="00000000">
      <w:pPr>
        <w:rPr>
          <w:rFonts w:ascii="Arial" w:hAnsi="Arial" w:cs="Arial"/>
          <w:b/>
          <w:bCs/>
          <w:color w:val="074F6A" w:themeColor="accent4" w:themeShade="80"/>
          <w:sz w:val="32"/>
          <w:szCs w:val="32"/>
          <w:u w:val="thick"/>
          <w:lang w:val="en-AU"/>
        </w:rPr>
      </w:pPr>
      <w:r>
        <w:rPr>
          <w:rFonts w:ascii="Arial" w:hAnsi="Arial" w:cs="Arial"/>
          <w:b/>
          <w:bCs/>
          <w:color w:val="074F6A" w:themeColor="accent4" w:themeShade="80"/>
          <w:sz w:val="32"/>
          <w:szCs w:val="32"/>
          <w:u w:val="thick"/>
          <w:lang w:val="en-AU"/>
        </w:rPr>
        <w:t>Investment Risks</w:t>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p>
    <w:p w14:paraId="1CF60C03" w14:textId="77777777" w:rsidR="00DD74A5" w:rsidRPr="002A7F20" w:rsidRDefault="00000000">
      <w:pPr>
        <w:rPr>
          <w:rFonts w:ascii="Arial" w:hAnsi="Arial" w:cs="Arial"/>
          <w:b/>
          <w:bCs/>
          <w:color w:val="EE0000"/>
          <w:sz w:val="28"/>
          <w:szCs w:val="28"/>
          <w:lang w:val="en-ID"/>
        </w:rPr>
      </w:pPr>
      <w:r w:rsidRPr="002A7F20">
        <w:rPr>
          <w:rFonts w:ascii="Arial" w:hAnsi="Arial" w:cs="Arial"/>
          <w:b/>
          <w:bCs/>
          <w:color w:val="EE0000"/>
          <w:sz w:val="28"/>
          <w:szCs w:val="28"/>
          <w:lang w:val="en-ID"/>
        </w:rPr>
        <w:t>Market Risk – Competitive Environment (C)</w:t>
      </w:r>
    </w:p>
    <w:p w14:paraId="263794C6" w14:textId="77777777" w:rsidR="00DD74A5" w:rsidRPr="002A7F20" w:rsidRDefault="00000000">
      <w:pPr>
        <w:rPr>
          <w:rFonts w:ascii="Arial" w:hAnsi="Arial" w:cs="Arial"/>
          <w:szCs w:val="24"/>
          <w:lang w:val="en-ID"/>
        </w:rPr>
      </w:pPr>
      <w:r>
        <w:rPr>
          <w:noProof/>
          <w:color w:val="EE0000"/>
          <w14:ligatures w14:val="none"/>
        </w:rPr>
        <w:lastRenderedPageBreak/>
        <w:drawing>
          <wp:anchor distT="0" distB="0" distL="114300" distR="114300" simplePos="0" relativeHeight="251682816" behindDoc="0" locked="0" layoutInCell="1" allowOverlap="1" wp14:anchorId="1DE39CD2" wp14:editId="4003DA76">
            <wp:simplePos x="0" y="0"/>
            <wp:positionH relativeFrom="page">
              <wp:align>right</wp:align>
            </wp:positionH>
            <wp:positionV relativeFrom="paragraph">
              <wp:posOffset>157480</wp:posOffset>
            </wp:positionV>
            <wp:extent cx="2560955" cy="2835910"/>
            <wp:effectExtent l="0" t="0" r="0" b="2540"/>
            <wp:wrapSquare wrapText="bothSides"/>
            <wp:docPr id="3" name="Picture 1" descr="/private/var/mobile/Containers/Data/Application/0223AB4F-0FE2-46A4-AEE7-3B37E7BBBBCF/tmp/insert_image_tmp_dir/2026-04-30 19:33:55.556000.png2026-04-30 19:33:55.55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private/var/mobile/Containers/Data/Application/0223AB4F-0FE2-46A4-AEE7-3B37E7BBBBCF/tmp/insert_image_tmp_dir/2026-04-30 19:33:55.556000.png2026-04-30 19:33:55.556000"/>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0" y="0"/>
                      <a:ext cx="2560955" cy="2835910"/>
                    </a:xfrm>
                    <a:prstGeom prst="rect">
                      <a:avLst/>
                    </a:prstGeom>
                  </pic:spPr>
                </pic:pic>
              </a:graphicData>
            </a:graphic>
          </wp:anchor>
        </w:drawing>
      </w:r>
      <w:r w:rsidRPr="002A7F20">
        <w:rPr>
          <w:rFonts w:ascii="Arial" w:hAnsi="Arial" w:cs="Arial"/>
          <w:szCs w:val="24"/>
          <w:lang w:val="en-ID"/>
        </w:rPr>
        <w:t>China’s game market is highly concentrated. However, Tencent and NetEase are China’s first and second largest gaming firms, together accounting for over 70% of the market. NetEase builds its defence through sustained high R&amp;D spending (17.7 billion RMB/year) and global game launches.</w:t>
      </w:r>
    </w:p>
    <w:p w14:paraId="3D5346EC" w14:textId="77777777" w:rsidR="00DD74A5" w:rsidRPr="002A7F20" w:rsidRDefault="00000000">
      <w:pPr>
        <w:rPr>
          <w:rFonts w:ascii="Arial" w:hAnsi="Arial" w:cs="Arial"/>
          <w:b/>
          <w:bCs/>
          <w:color w:val="EE0000"/>
          <w:sz w:val="28"/>
          <w:szCs w:val="28"/>
          <w:lang w:val="en-ID"/>
        </w:rPr>
      </w:pPr>
      <w:r w:rsidRPr="002A7F20">
        <w:rPr>
          <w:rFonts w:ascii="Arial" w:hAnsi="Arial" w:cs="Arial"/>
          <w:b/>
          <w:bCs/>
          <w:color w:val="EE0000"/>
          <w:sz w:val="28"/>
          <w:szCs w:val="28"/>
          <w:lang w:val="en-ID"/>
        </w:rPr>
        <w:t>Market Risk – Foreign Exchange Risk (F)</w:t>
      </w:r>
    </w:p>
    <w:p w14:paraId="3ED4A127" w14:textId="77777777" w:rsidR="00DD74A5" w:rsidRPr="002A7F20" w:rsidRDefault="00000000">
      <w:pPr>
        <w:rPr>
          <w:rFonts w:ascii="Arial" w:hAnsi="Arial" w:cs="Arial"/>
          <w:szCs w:val="24"/>
          <w:lang w:val="en-ID"/>
        </w:rPr>
      </w:pPr>
      <w:r>
        <w:rPr>
          <w:rFonts w:ascii="Arial" w:hAnsi="Arial" w:cs="Arial"/>
          <w:noProof/>
          <w:szCs w:val="24"/>
          <w14:ligatures w14:val="none"/>
        </w:rPr>
        <mc:AlternateContent>
          <mc:Choice Requires="wps">
            <w:drawing>
              <wp:anchor distT="0" distB="0" distL="114300" distR="114300" simplePos="0" relativeHeight="251693056" behindDoc="0" locked="0" layoutInCell="1" allowOverlap="1" wp14:anchorId="6EE0C737" wp14:editId="6EC1B20B">
                <wp:simplePos x="0" y="0"/>
                <wp:positionH relativeFrom="page">
                  <wp:posOffset>4999220</wp:posOffset>
                </wp:positionH>
                <wp:positionV relativeFrom="paragraph">
                  <wp:posOffset>1325058</wp:posOffset>
                </wp:positionV>
                <wp:extent cx="2560955" cy="350195"/>
                <wp:effectExtent l="0" t="0" r="0" b="0"/>
                <wp:wrapNone/>
                <wp:docPr id="1618982915" name="Text Box 19"/>
                <wp:cNvGraphicFramePr/>
                <a:graphic xmlns:a="http://schemas.openxmlformats.org/drawingml/2006/main">
                  <a:graphicData uri="http://schemas.microsoft.com/office/word/2010/wordprocessingShape">
                    <wps:wsp>
                      <wps:cNvSpPr txBox="1"/>
                      <wps:spPr>
                        <a:xfrm>
                          <a:off x="0" y="0"/>
                          <a:ext cx="2560955" cy="350195"/>
                        </a:xfrm>
                        <a:prstGeom prst="rect">
                          <a:avLst/>
                        </a:prstGeom>
                        <a:noFill/>
                        <a:ln w="6350">
                          <a:noFill/>
                        </a:ln>
                      </wps:spPr>
                      <wps:txbx>
                        <w:txbxContent>
                          <w:p w14:paraId="7D4BE28C" w14:textId="77777777" w:rsidR="00DD74A5" w:rsidRDefault="00000000">
                            <w:pPr>
                              <w:jc w:val="center"/>
                              <w:rPr>
                                <w:rFonts w:ascii="Arial" w:hAnsi="Arial" w:cs="Arial"/>
                                <w:b/>
                                <w:bCs/>
                                <w:sz w:val="20"/>
                                <w:szCs w:val="20"/>
                                <w:lang w:val="en-AU"/>
                              </w:rPr>
                            </w:pPr>
                            <w:r>
                              <w:rPr>
                                <w:rFonts w:ascii="Arial" w:hAnsi="Arial" w:cs="Arial"/>
                                <w:b/>
                                <w:bCs/>
                                <w:sz w:val="20"/>
                                <w:szCs w:val="20"/>
                                <w:lang w:val="en-AU"/>
                              </w:rPr>
                              <w:t>Fig 9: Risk Matrix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EE0C737" id="_x0000_s1044" type="#_x0000_t202" style="position:absolute;margin-left:393.65pt;margin-top:104.35pt;width:201.65pt;height:27.55pt;z-index:2516930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" filled="f" stroked="f" strokeweight=".5pt">
                <v:textbox>
                  <w:txbxContent>
                    <w:p w14:paraId="7D4BE28C" w14:textId="77777777" w:rsidR="00DD74A5" w:rsidRDefault="00000000">
                      <w:pPr>
                        <w:jc w:val="center"/>
                        <w:rPr>
                          <w:rFonts w:ascii="Arial" w:hAnsi="Arial" w:cs="Arial"/>
                          <w:b/>
                          <w:bCs/>
                          <w:sz w:val="20"/>
                          <w:szCs w:val="20"/>
                          <w:lang w:val="en-AU"/>
                        </w:rPr>
                      </w:pPr>
                      <w:r>
                        <w:rPr>
                          <w:rFonts w:ascii="Arial" w:hAnsi="Arial" w:cs="Arial"/>
                          <w:b/>
                          <w:bCs/>
                          <w:sz w:val="20"/>
                          <w:szCs w:val="20"/>
                          <w:lang w:val="en-AU"/>
                        </w:rPr>
                        <w:t>Fig 9: Risk Matrix</w:t>
                      </w:r>
                    </w:p>
                  </w:txbxContent>
                </v:textbox>
                <w10:wrap anchorx="page"/>
              </v:shape>
            </w:pict>
          </mc:Fallback>
        </mc:AlternateContent>
      </w:r>
      <w:r w:rsidRPr="002A7F20">
        <w:rPr>
          <w:rFonts w:ascii="Arial" w:hAnsi="Arial" w:cs="Arial"/>
          <w:szCs w:val="24"/>
          <w:lang w:val="en-ID"/>
        </w:rPr>
        <w:t>Overseas revenue now accounts for about 20% of NetEase’s total revenue. However, this also means that NetEase is exposed to risk of losses from foreign currency exchanges. In 2025, RMB appreciated around 6.9% against USD, leading to a total foreign exchange loss of 776 million RMB. To reduce this risk, NetEase uses FX forward contracts and natural hedging to minimize short-term volatility.</w:t>
      </w:r>
    </w:p>
    <w:p w14:paraId="7E3731B3" w14:textId="77777777" w:rsidR="00DD74A5" w:rsidRPr="002A7F20" w:rsidRDefault="00000000">
      <w:pPr>
        <w:rPr>
          <w:rFonts w:ascii="Arial" w:hAnsi="Arial" w:cs="Arial"/>
          <w:b/>
          <w:bCs/>
          <w:color w:val="EE0000"/>
          <w:sz w:val="28"/>
          <w:szCs w:val="28"/>
          <w:lang w:val="en-ID"/>
        </w:rPr>
      </w:pPr>
      <w:r w:rsidRPr="002A7F20">
        <w:rPr>
          <w:rFonts w:ascii="Arial" w:hAnsi="Arial" w:cs="Arial"/>
          <w:b/>
          <w:bCs/>
          <w:color w:val="EE0000"/>
          <w:sz w:val="28"/>
          <w:szCs w:val="28"/>
          <w:lang w:val="en-ID"/>
        </w:rPr>
        <w:t>Policy Risk – Regulatory Uncertainty (P)</w:t>
      </w:r>
    </w:p>
    <w:p w14:paraId="267AACBF" w14:textId="77777777" w:rsidR="00DD74A5" w:rsidRPr="002A7F20" w:rsidRDefault="00000000">
      <w:pPr>
        <w:rPr>
          <w:rFonts w:ascii="Arial" w:hAnsi="Arial" w:cs="Arial"/>
          <w:szCs w:val="24"/>
          <w:lang w:val="en-ID"/>
        </w:rPr>
      </w:pPr>
      <w:r w:rsidRPr="002A7F20">
        <w:rPr>
          <w:rFonts w:ascii="Arial" w:hAnsi="Arial" w:cs="Arial"/>
          <w:szCs w:val="24"/>
          <w:lang w:val="en-ID"/>
        </w:rPr>
        <w:t>Game license approvals have normalized with over 100 games licensed per month, but regulations such as the Cyber Data Security Administration Regulation and the Cybersecurity Law continue to tighten, raising compliance costs and cross</w:t>
      </w:r>
      <w:r w:rsidRPr="002A7F20">
        <w:rPr>
          <w:rFonts w:ascii="Arial" w:hAnsi="Arial" w:cs="Arial"/>
          <w:szCs w:val="24"/>
          <w:lang w:val="en-ID"/>
        </w:rPr>
        <w:noBreakHyphen/>
        <w:t>border data transfer requirements. NetEase reduces policy risk by diversifying its game pipeline, strengthening compliance systems, and maintaining a deferred revenue buffer (20.5 billion RMB, +5% QoQ).</w:t>
      </w:r>
    </w:p>
    <w:p w14:paraId="4B41D382" w14:textId="77777777" w:rsidR="00DD74A5" w:rsidRPr="002A7F20" w:rsidRDefault="00000000">
      <w:pPr>
        <w:rPr>
          <w:rFonts w:ascii="Arial" w:hAnsi="Arial" w:cs="Arial"/>
          <w:b/>
          <w:bCs/>
          <w:color w:val="EE0000"/>
          <w:sz w:val="28"/>
          <w:szCs w:val="28"/>
          <w:lang w:val="en-ID"/>
        </w:rPr>
      </w:pPr>
      <w:r w:rsidRPr="002A7F20">
        <w:rPr>
          <w:rFonts w:ascii="Arial" w:hAnsi="Arial" w:cs="Arial"/>
          <w:b/>
          <w:bCs/>
          <w:color w:val="EE0000"/>
          <w:sz w:val="28"/>
          <w:szCs w:val="28"/>
          <w:lang w:val="en-ID"/>
        </w:rPr>
        <w:t>Operational Risk – Dependence on Legacy Games (D)</w:t>
      </w:r>
    </w:p>
    <w:p w14:paraId="375BFDF1" w14:textId="77777777" w:rsidR="00DD74A5" w:rsidRPr="002A7F20" w:rsidRDefault="00000000">
      <w:pPr>
        <w:rPr>
          <w:rFonts w:ascii="Arial" w:hAnsi="Arial" w:cs="Arial"/>
          <w:szCs w:val="24"/>
          <w:lang w:val="en-ID"/>
        </w:rPr>
      </w:pPr>
      <w:r w:rsidRPr="002A7F20">
        <w:rPr>
          <w:rFonts w:ascii="Arial" w:hAnsi="Arial" w:cs="Arial"/>
          <w:szCs w:val="24"/>
          <w:lang w:val="en-ID"/>
        </w:rPr>
        <w:t>Game revenue accounts for approximately 82% of total revenue. Popular games form the revenue foundation, and declines in these legacy games would directly pressure earnings. NetEase reduces this risk by launching new games such as Where Winds Meet, expanding its licensed game portfolio, and sustaining R&amp;D investment above 17.7 billion RMB annually.</w:t>
      </w:r>
    </w:p>
    <w:p w14:paraId="5F29C69D" w14:textId="77777777" w:rsidR="00DD74A5" w:rsidRPr="002A7F20" w:rsidRDefault="00DD74A5">
      <w:pPr>
        <w:rPr>
          <w:rFonts w:ascii="Arial" w:hAnsi="Arial" w:cs="Arial"/>
          <w:szCs w:val="24"/>
          <w:lang w:val="en-ID"/>
        </w:rPr>
      </w:pPr>
    </w:p>
    <w:p w14:paraId="60B55A7D" w14:textId="77777777" w:rsidR="00DD74A5" w:rsidRPr="002A7F20" w:rsidRDefault="00DD74A5">
      <w:pPr>
        <w:rPr>
          <w:rFonts w:ascii="Arial" w:hAnsi="Arial" w:cs="Arial"/>
          <w:szCs w:val="24"/>
          <w:lang w:val="en-ID"/>
        </w:rPr>
      </w:pPr>
    </w:p>
    <w:p w14:paraId="285D4501" w14:textId="77777777" w:rsidR="00DD74A5" w:rsidRPr="002A7F20" w:rsidRDefault="00DD74A5">
      <w:pPr>
        <w:rPr>
          <w:rFonts w:ascii="Arial" w:hAnsi="Arial" w:cs="Arial"/>
          <w:szCs w:val="24"/>
          <w:lang w:val="en-ID"/>
        </w:rPr>
      </w:pPr>
    </w:p>
    <w:p w14:paraId="1D2CF7CE" w14:textId="77777777" w:rsidR="00DD74A5" w:rsidRDefault="00000000">
      <w:pPr>
        <w:rPr>
          <w:rFonts w:ascii="Arial" w:hAnsi="Arial" w:cs="Arial"/>
          <w:b/>
          <w:bCs/>
          <w:color w:val="074F6A" w:themeColor="accent4" w:themeShade="80"/>
          <w:sz w:val="32"/>
          <w:szCs w:val="32"/>
          <w:u w:val="thick"/>
          <w:lang w:val="en-AU"/>
        </w:rPr>
      </w:pPr>
      <w:r>
        <w:rPr>
          <w:rFonts w:ascii="Arial" w:hAnsi="Arial" w:cs="Arial"/>
          <w:b/>
          <w:bCs/>
          <w:color w:val="074F6A" w:themeColor="accent4" w:themeShade="80"/>
          <w:sz w:val="32"/>
          <w:szCs w:val="32"/>
          <w:u w:val="thick"/>
          <w:lang w:val="en-AU"/>
        </w:rPr>
        <w:t>Appendices</w:t>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r>
        <w:rPr>
          <w:rFonts w:ascii="Arial" w:hAnsi="Arial" w:cs="Arial"/>
          <w:b/>
          <w:bCs/>
          <w:color w:val="074F6A" w:themeColor="accent4" w:themeShade="80"/>
          <w:sz w:val="32"/>
          <w:szCs w:val="32"/>
          <w:u w:val="thick"/>
          <w:lang w:val="en-AU"/>
        </w:rPr>
        <w:tab/>
      </w:r>
    </w:p>
    <w:p w14:paraId="612B5567" w14:textId="77777777" w:rsidR="00DD74A5" w:rsidRDefault="00000000">
      <w:pPr>
        <w:rPr>
          <w:rFonts w:ascii="Arial" w:hAnsi="Arial" w:cs="Arial"/>
          <w:b/>
          <w:bCs/>
          <w:sz w:val="28"/>
          <w:szCs w:val="28"/>
          <w:lang w:val="en-AU"/>
        </w:rPr>
      </w:pPr>
      <w:r>
        <w:rPr>
          <w:rFonts w:ascii="Arial" w:hAnsi="Arial" w:cs="Arial"/>
          <w:b/>
          <w:bCs/>
          <w:sz w:val="28"/>
          <w:szCs w:val="28"/>
          <w:lang w:val="en-AU"/>
        </w:rPr>
        <w:t>Appendix A-1: Historical expense data (in RMB millions)</w:t>
      </w:r>
    </w:p>
    <w:tbl>
      <w:tblPr>
        <w:tblStyle w:val="GridTable4-Accent11"/>
        <w:tblW w:w="0" w:type="auto"/>
        <w:tblLook w:val="04A0" w:firstRow="1" w:lastRow="0" w:firstColumn="1" w:lastColumn="0" w:noHBand="0" w:noVBand="1"/>
      </w:tblPr>
      <w:tblGrid>
        <w:gridCol w:w="1671"/>
        <w:gridCol w:w="1463"/>
        <w:gridCol w:w="1464"/>
        <w:gridCol w:w="1473"/>
        <w:gridCol w:w="1473"/>
        <w:gridCol w:w="1472"/>
      </w:tblGrid>
      <w:tr w:rsidR="00DD74A5" w14:paraId="403F726D" w14:textId="77777777" w:rsidTr="00DD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tcPr>
          <w:p w14:paraId="567839C4" w14:textId="77777777" w:rsidR="00DD74A5" w:rsidRDefault="00DD74A5">
            <w:pPr>
              <w:rPr>
                <w:rFonts w:ascii="Arial" w:hAnsi="Arial" w:cs="Arial"/>
                <w:color w:val="074F6A" w:themeColor="accent4" w:themeShade="80"/>
                <w:sz w:val="32"/>
                <w:szCs w:val="32"/>
                <w:u w:val="thick"/>
                <w:lang w:val="en-AU"/>
              </w:rPr>
            </w:pPr>
          </w:p>
        </w:tc>
        <w:tc>
          <w:tcPr>
            <w:tcW w:w="1463" w:type="dxa"/>
          </w:tcPr>
          <w:p w14:paraId="5D4CFCE0"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2021</w:t>
            </w:r>
          </w:p>
        </w:tc>
        <w:tc>
          <w:tcPr>
            <w:tcW w:w="1464" w:type="dxa"/>
          </w:tcPr>
          <w:p w14:paraId="6D8E140F"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2022</w:t>
            </w:r>
          </w:p>
        </w:tc>
        <w:tc>
          <w:tcPr>
            <w:tcW w:w="1473" w:type="dxa"/>
          </w:tcPr>
          <w:p w14:paraId="7EA478DC"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2023</w:t>
            </w:r>
          </w:p>
        </w:tc>
        <w:tc>
          <w:tcPr>
            <w:tcW w:w="1473" w:type="dxa"/>
          </w:tcPr>
          <w:p w14:paraId="06BD820B"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2024</w:t>
            </w:r>
          </w:p>
        </w:tc>
        <w:tc>
          <w:tcPr>
            <w:tcW w:w="1472" w:type="dxa"/>
          </w:tcPr>
          <w:p w14:paraId="2F3285B0"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2025</w:t>
            </w:r>
          </w:p>
        </w:tc>
      </w:tr>
      <w:tr w:rsidR="00DD74A5" w14:paraId="329370B9" w14:textId="77777777" w:rsidTr="00DD74A5">
        <w:tc>
          <w:tcPr>
            <w:cnfStyle w:val="001000000000" w:firstRow="0" w:lastRow="0" w:firstColumn="1" w:lastColumn="0" w:oddVBand="0" w:evenVBand="0" w:oddHBand="0" w:evenHBand="0" w:firstRowFirstColumn="0" w:firstRowLastColumn="0" w:lastRowFirstColumn="0" w:lastRowLastColumn="0"/>
            <w:tcW w:w="1671" w:type="dxa"/>
          </w:tcPr>
          <w:p w14:paraId="5D158FFF" w14:textId="77777777" w:rsidR="00DD74A5" w:rsidRDefault="00000000">
            <w:pPr>
              <w:jc w:val="center"/>
              <w:rPr>
                <w:rFonts w:ascii="Arial" w:hAnsi="Arial" w:cs="Arial"/>
                <w:b w:val="0"/>
                <w:bCs w:val="0"/>
                <w:color w:val="074F6A" w:themeColor="accent4" w:themeShade="80"/>
                <w:szCs w:val="24"/>
                <w:lang w:val="en-AU"/>
              </w:rPr>
            </w:pPr>
            <w:r>
              <w:rPr>
                <w:rFonts w:ascii="Arial" w:hAnsi="Arial" w:cs="Arial"/>
                <w:szCs w:val="24"/>
                <w:lang w:val="en-AU"/>
              </w:rPr>
              <w:t>Depreciation</w:t>
            </w:r>
          </w:p>
        </w:tc>
        <w:tc>
          <w:tcPr>
            <w:tcW w:w="1463" w:type="dxa"/>
          </w:tcPr>
          <w:p w14:paraId="1F41FFA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3,276</w:t>
            </w:r>
          </w:p>
        </w:tc>
        <w:tc>
          <w:tcPr>
            <w:tcW w:w="1464" w:type="dxa"/>
          </w:tcPr>
          <w:p w14:paraId="41F9979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2,858</w:t>
            </w:r>
          </w:p>
        </w:tc>
        <w:tc>
          <w:tcPr>
            <w:tcW w:w="1473" w:type="dxa"/>
          </w:tcPr>
          <w:p w14:paraId="1F39413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3,055</w:t>
            </w:r>
          </w:p>
        </w:tc>
        <w:tc>
          <w:tcPr>
            <w:tcW w:w="1473" w:type="dxa"/>
          </w:tcPr>
          <w:p w14:paraId="7288A2A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2,418</w:t>
            </w:r>
          </w:p>
        </w:tc>
        <w:tc>
          <w:tcPr>
            <w:tcW w:w="1472" w:type="dxa"/>
          </w:tcPr>
          <w:p w14:paraId="7ED4537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2,247</w:t>
            </w:r>
          </w:p>
        </w:tc>
      </w:tr>
      <w:tr w:rsidR="00DD74A5" w14:paraId="64851C31" w14:textId="77777777" w:rsidTr="00DD74A5">
        <w:tc>
          <w:tcPr>
            <w:cnfStyle w:val="001000000000" w:firstRow="0" w:lastRow="0" w:firstColumn="1" w:lastColumn="0" w:oddVBand="0" w:evenVBand="0" w:oddHBand="0" w:evenHBand="0" w:firstRowFirstColumn="0" w:firstRowLastColumn="0" w:lastRowFirstColumn="0" w:lastRowLastColumn="0"/>
            <w:tcW w:w="1671" w:type="dxa"/>
          </w:tcPr>
          <w:p w14:paraId="5D58375B" w14:textId="77777777" w:rsidR="00DD74A5" w:rsidRDefault="00000000">
            <w:pPr>
              <w:jc w:val="center"/>
              <w:rPr>
                <w:rFonts w:ascii="Arial" w:hAnsi="Arial" w:cs="Arial"/>
                <w:b w:val="0"/>
                <w:bCs w:val="0"/>
                <w:szCs w:val="24"/>
                <w:lang w:val="en-AU"/>
              </w:rPr>
            </w:pPr>
            <w:r>
              <w:rPr>
                <w:rFonts w:ascii="Arial" w:hAnsi="Arial" w:cs="Arial"/>
                <w:szCs w:val="24"/>
                <w:lang w:val="en-AU"/>
              </w:rPr>
              <w:lastRenderedPageBreak/>
              <w:t>SGA</w:t>
            </w:r>
          </w:p>
        </w:tc>
        <w:tc>
          <w:tcPr>
            <w:tcW w:w="1463" w:type="dxa"/>
          </w:tcPr>
          <w:p w14:paraId="1C50893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16,478</w:t>
            </w:r>
          </w:p>
        </w:tc>
        <w:tc>
          <w:tcPr>
            <w:tcW w:w="1464" w:type="dxa"/>
          </w:tcPr>
          <w:p w14:paraId="58AC865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18,099</w:t>
            </w:r>
          </w:p>
        </w:tc>
        <w:tc>
          <w:tcPr>
            <w:tcW w:w="1473" w:type="dxa"/>
          </w:tcPr>
          <w:p w14:paraId="6DAB0B3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18,869</w:t>
            </w:r>
          </w:p>
        </w:tc>
        <w:tc>
          <w:tcPr>
            <w:tcW w:w="1473" w:type="dxa"/>
          </w:tcPr>
          <w:p w14:paraId="55D9A1E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18,698</w:t>
            </w:r>
          </w:p>
        </w:tc>
        <w:tc>
          <w:tcPr>
            <w:tcW w:w="1472" w:type="dxa"/>
          </w:tcPr>
          <w:p w14:paraId="192611C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18,848</w:t>
            </w:r>
          </w:p>
        </w:tc>
      </w:tr>
      <w:tr w:rsidR="00DD74A5" w14:paraId="06A50960" w14:textId="77777777" w:rsidTr="00DD74A5">
        <w:tc>
          <w:tcPr>
            <w:cnfStyle w:val="001000000000" w:firstRow="0" w:lastRow="0" w:firstColumn="1" w:lastColumn="0" w:oddVBand="0" w:evenVBand="0" w:oddHBand="0" w:evenHBand="0" w:firstRowFirstColumn="0" w:firstRowLastColumn="0" w:lastRowFirstColumn="0" w:lastRowLastColumn="0"/>
            <w:tcW w:w="1671" w:type="dxa"/>
          </w:tcPr>
          <w:p w14:paraId="61976B46" w14:textId="77777777" w:rsidR="00DD74A5" w:rsidRDefault="00000000">
            <w:pPr>
              <w:jc w:val="center"/>
              <w:rPr>
                <w:rFonts w:ascii="Arial" w:hAnsi="Arial" w:cs="Arial"/>
                <w:b w:val="0"/>
                <w:bCs w:val="0"/>
                <w:szCs w:val="24"/>
                <w:lang w:val="en-AU"/>
              </w:rPr>
            </w:pPr>
            <w:r>
              <w:rPr>
                <w:rFonts w:ascii="Arial" w:hAnsi="Arial" w:cs="Arial"/>
                <w:szCs w:val="24"/>
                <w:lang w:val="en-AU"/>
              </w:rPr>
              <w:t>R&amp;D</w:t>
            </w:r>
          </w:p>
        </w:tc>
        <w:tc>
          <w:tcPr>
            <w:tcW w:w="1463" w:type="dxa"/>
          </w:tcPr>
          <w:p w14:paraId="08FB56B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14,076</w:t>
            </w:r>
          </w:p>
        </w:tc>
        <w:tc>
          <w:tcPr>
            <w:tcW w:w="1464" w:type="dxa"/>
          </w:tcPr>
          <w:p w14:paraId="2D3A6EB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15,039</w:t>
            </w:r>
          </w:p>
        </w:tc>
        <w:tc>
          <w:tcPr>
            <w:tcW w:w="1473" w:type="dxa"/>
          </w:tcPr>
          <w:p w14:paraId="35B734B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16,485</w:t>
            </w:r>
          </w:p>
        </w:tc>
        <w:tc>
          <w:tcPr>
            <w:tcW w:w="1473" w:type="dxa"/>
          </w:tcPr>
          <w:p w14:paraId="506DDAB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17,525</w:t>
            </w:r>
          </w:p>
        </w:tc>
        <w:tc>
          <w:tcPr>
            <w:tcW w:w="1472" w:type="dxa"/>
          </w:tcPr>
          <w:p w14:paraId="216DA6C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17,719</w:t>
            </w:r>
          </w:p>
        </w:tc>
      </w:tr>
    </w:tbl>
    <w:p w14:paraId="046567DE" w14:textId="77777777" w:rsidR="00DD74A5" w:rsidRDefault="00DD74A5">
      <w:pPr>
        <w:rPr>
          <w:rFonts w:ascii="Arial" w:hAnsi="Arial" w:cs="Arial"/>
          <w:b/>
          <w:bCs/>
          <w:color w:val="074F6A" w:themeColor="accent4" w:themeShade="80"/>
          <w:sz w:val="32"/>
          <w:szCs w:val="32"/>
          <w:u w:val="thick"/>
          <w:lang w:val="en-AU"/>
        </w:rPr>
      </w:pPr>
    </w:p>
    <w:p w14:paraId="414E67C5" w14:textId="77777777" w:rsidR="00DD74A5" w:rsidRDefault="00000000">
      <w:pPr>
        <w:rPr>
          <w:rFonts w:ascii="Arial" w:hAnsi="Arial" w:cs="Arial"/>
          <w:b/>
          <w:bCs/>
          <w:sz w:val="28"/>
          <w:szCs w:val="28"/>
          <w:lang w:val="en-AU"/>
        </w:rPr>
      </w:pPr>
      <w:r>
        <w:rPr>
          <w:rFonts w:ascii="Arial" w:hAnsi="Arial" w:cs="Arial"/>
          <w:b/>
          <w:bCs/>
          <w:sz w:val="28"/>
          <w:szCs w:val="28"/>
          <w:lang w:val="en-AU"/>
        </w:rPr>
        <w:t>Appendix A-2: Revenue history (in RMB millions)</w:t>
      </w:r>
    </w:p>
    <w:tbl>
      <w:tblPr>
        <w:tblStyle w:val="GridTable4-Accent11"/>
        <w:tblW w:w="0" w:type="auto"/>
        <w:tblLook w:val="04A0" w:firstRow="1" w:lastRow="0" w:firstColumn="1" w:lastColumn="0" w:noHBand="0" w:noVBand="1"/>
      </w:tblPr>
      <w:tblGrid>
        <w:gridCol w:w="1671"/>
        <w:gridCol w:w="1463"/>
        <w:gridCol w:w="1464"/>
        <w:gridCol w:w="1473"/>
        <w:gridCol w:w="1473"/>
        <w:gridCol w:w="1472"/>
      </w:tblGrid>
      <w:tr w:rsidR="00DD74A5" w14:paraId="4A61E7A2" w14:textId="77777777" w:rsidTr="00DD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1" w:type="dxa"/>
          </w:tcPr>
          <w:p w14:paraId="77EFCC47" w14:textId="77777777" w:rsidR="00DD74A5" w:rsidRDefault="00DD74A5">
            <w:pPr>
              <w:rPr>
                <w:rFonts w:ascii="Arial" w:hAnsi="Arial" w:cs="Arial"/>
                <w:color w:val="074F6A" w:themeColor="accent4" w:themeShade="80"/>
                <w:sz w:val="32"/>
                <w:szCs w:val="32"/>
                <w:u w:val="thick"/>
                <w:lang w:val="en-AU"/>
              </w:rPr>
            </w:pPr>
          </w:p>
        </w:tc>
        <w:tc>
          <w:tcPr>
            <w:tcW w:w="1463" w:type="dxa"/>
          </w:tcPr>
          <w:p w14:paraId="457CA638"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2021</w:t>
            </w:r>
          </w:p>
        </w:tc>
        <w:tc>
          <w:tcPr>
            <w:tcW w:w="1464" w:type="dxa"/>
          </w:tcPr>
          <w:p w14:paraId="5A0197DF"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2022</w:t>
            </w:r>
          </w:p>
        </w:tc>
        <w:tc>
          <w:tcPr>
            <w:tcW w:w="1473" w:type="dxa"/>
          </w:tcPr>
          <w:p w14:paraId="0A2C2493"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2023</w:t>
            </w:r>
          </w:p>
        </w:tc>
        <w:tc>
          <w:tcPr>
            <w:tcW w:w="1473" w:type="dxa"/>
          </w:tcPr>
          <w:p w14:paraId="5A83D7B8"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2024</w:t>
            </w:r>
          </w:p>
        </w:tc>
        <w:tc>
          <w:tcPr>
            <w:tcW w:w="1472" w:type="dxa"/>
          </w:tcPr>
          <w:p w14:paraId="0EF79027"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4"/>
                <w:lang w:val="en-AU"/>
              </w:rPr>
            </w:pPr>
            <w:r>
              <w:rPr>
                <w:rFonts w:ascii="Arial" w:hAnsi="Arial" w:cs="Arial"/>
                <w:szCs w:val="24"/>
                <w:lang w:val="en-AU"/>
              </w:rPr>
              <w:t>2025</w:t>
            </w:r>
          </w:p>
        </w:tc>
      </w:tr>
      <w:tr w:rsidR="00DD74A5" w14:paraId="6F43AEDA" w14:textId="77777777" w:rsidTr="00DD74A5">
        <w:tc>
          <w:tcPr>
            <w:cnfStyle w:val="001000000000" w:firstRow="0" w:lastRow="0" w:firstColumn="1" w:lastColumn="0" w:oddVBand="0" w:evenVBand="0" w:oddHBand="0" w:evenHBand="0" w:firstRowFirstColumn="0" w:firstRowLastColumn="0" w:lastRowFirstColumn="0" w:lastRowLastColumn="0"/>
            <w:tcW w:w="1671" w:type="dxa"/>
          </w:tcPr>
          <w:p w14:paraId="290005EC" w14:textId="77777777" w:rsidR="00DD74A5" w:rsidRDefault="00000000">
            <w:pPr>
              <w:jc w:val="center"/>
              <w:rPr>
                <w:rFonts w:ascii="Arial" w:hAnsi="Arial" w:cs="Arial"/>
                <w:b w:val="0"/>
                <w:bCs w:val="0"/>
                <w:color w:val="074F6A" w:themeColor="accent4" w:themeShade="80"/>
                <w:szCs w:val="24"/>
                <w:lang w:val="en-AU"/>
              </w:rPr>
            </w:pPr>
            <w:r>
              <w:rPr>
                <w:rFonts w:ascii="Arial" w:hAnsi="Arial" w:cs="Arial"/>
                <w:szCs w:val="24"/>
                <w:lang w:val="en-AU"/>
              </w:rPr>
              <w:t>Revenue</w:t>
            </w:r>
          </w:p>
        </w:tc>
        <w:tc>
          <w:tcPr>
            <w:tcW w:w="1463" w:type="dxa"/>
          </w:tcPr>
          <w:p w14:paraId="00F000E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87,606</w:t>
            </w:r>
          </w:p>
        </w:tc>
        <w:tc>
          <w:tcPr>
            <w:tcW w:w="1464" w:type="dxa"/>
          </w:tcPr>
          <w:p w14:paraId="12608E4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96,496</w:t>
            </w:r>
          </w:p>
        </w:tc>
        <w:tc>
          <w:tcPr>
            <w:tcW w:w="1473" w:type="dxa"/>
          </w:tcPr>
          <w:p w14:paraId="1D3E9E7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103,468</w:t>
            </w:r>
          </w:p>
        </w:tc>
        <w:tc>
          <w:tcPr>
            <w:tcW w:w="1473" w:type="dxa"/>
          </w:tcPr>
          <w:p w14:paraId="0651554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105,295</w:t>
            </w:r>
          </w:p>
        </w:tc>
        <w:tc>
          <w:tcPr>
            <w:tcW w:w="1472" w:type="dxa"/>
          </w:tcPr>
          <w:p w14:paraId="7941E03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szCs w:val="24"/>
                <w:lang w:val="en-AU"/>
              </w:rPr>
            </w:pPr>
            <w:r>
              <w:rPr>
                <w:rFonts w:ascii="Arial" w:hAnsi="Arial" w:cs="Arial"/>
                <w:szCs w:val="24"/>
                <w:lang w:val="en-AU"/>
              </w:rPr>
              <w:t>112,626</w:t>
            </w:r>
          </w:p>
        </w:tc>
      </w:tr>
    </w:tbl>
    <w:p w14:paraId="1297D603" w14:textId="77777777" w:rsidR="00DD74A5" w:rsidRDefault="00DD74A5">
      <w:pPr>
        <w:rPr>
          <w:rFonts w:ascii="Arial" w:hAnsi="Arial" w:cs="Arial"/>
          <w:b/>
          <w:bCs/>
          <w:sz w:val="28"/>
          <w:szCs w:val="28"/>
          <w:lang w:val="en-AU"/>
        </w:rPr>
      </w:pPr>
    </w:p>
    <w:p w14:paraId="65F9EB75" w14:textId="77777777" w:rsidR="00DD74A5" w:rsidRDefault="00DD74A5">
      <w:pPr>
        <w:rPr>
          <w:rFonts w:ascii="Arial" w:hAnsi="Arial" w:cs="Arial"/>
          <w:b/>
          <w:bCs/>
          <w:sz w:val="28"/>
          <w:szCs w:val="28"/>
          <w:lang w:val="en-AU"/>
        </w:rPr>
      </w:pPr>
    </w:p>
    <w:p w14:paraId="3FCAD473" w14:textId="77777777" w:rsidR="00DD74A5" w:rsidRDefault="00000000">
      <w:pPr>
        <w:rPr>
          <w:rFonts w:ascii="Arial" w:hAnsi="Arial" w:cs="Arial"/>
          <w:b/>
          <w:bCs/>
          <w:sz w:val="28"/>
          <w:szCs w:val="28"/>
          <w:lang w:val="en-AU"/>
        </w:rPr>
      </w:pPr>
      <w:r>
        <w:rPr>
          <w:rFonts w:ascii="Arial" w:hAnsi="Arial" w:cs="Arial"/>
          <w:b/>
          <w:bCs/>
          <w:sz w:val="28"/>
          <w:szCs w:val="28"/>
          <w:lang w:val="en-AU"/>
        </w:rPr>
        <w:t>Appendix A-3: SWOT Analysis</w:t>
      </w:r>
    </w:p>
    <w:tbl>
      <w:tblPr>
        <w:tblStyle w:val="GridTable6Colorful-Accent11"/>
        <w:tblW w:w="0" w:type="auto"/>
        <w:tblLook w:val="04A0" w:firstRow="1" w:lastRow="0" w:firstColumn="1" w:lastColumn="0" w:noHBand="0" w:noVBand="1"/>
      </w:tblPr>
      <w:tblGrid>
        <w:gridCol w:w="4517"/>
        <w:gridCol w:w="4267"/>
      </w:tblGrid>
      <w:tr w:rsidR="00DD74A5" w:rsidRPr="002A7F20" w14:paraId="0577C1E1" w14:textId="77777777" w:rsidTr="00DD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7" w:type="dxa"/>
          </w:tcPr>
          <w:p w14:paraId="63451DA9" w14:textId="77777777" w:rsidR="00DD74A5" w:rsidRDefault="00000000">
            <w:pPr>
              <w:spacing w:after="0" w:line="240" w:lineRule="auto"/>
              <w:rPr>
                <w:rFonts w:ascii="Arial" w:hAnsi="Arial" w:cs="Arial"/>
                <w:b w:val="0"/>
                <w:bCs w:val="0"/>
                <w:lang w:val="en-AU"/>
              </w:rPr>
            </w:pPr>
            <w:r>
              <w:rPr>
                <w:rFonts w:ascii="Arial" w:hAnsi="Arial" w:cs="Arial"/>
                <w:lang w:val="en-AU"/>
              </w:rPr>
              <w:t>Strengths</w:t>
            </w:r>
          </w:p>
          <w:p w14:paraId="6D8FCD16" w14:textId="77777777" w:rsidR="00DD74A5" w:rsidRDefault="00DD74A5">
            <w:pPr>
              <w:spacing w:after="0" w:line="240" w:lineRule="auto"/>
              <w:rPr>
                <w:rFonts w:ascii="Arial" w:hAnsi="Arial" w:cs="Arial"/>
                <w:b w:val="0"/>
                <w:bCs w:val="0"/>
                <w:lang w:val="en-AU"/>
              </w:rPr>
            </w:pPr>
          </w:p>
          <w:p w14:paraId="40BBA606" w14:textId="77777777" w:rsidR="00DD74A5" w:rsidRDefault="00000000">
            <w:pPr>
              <w:pStyle w:val="ListParagraph"/>
              <w:numPr>
                <w:ilvl w:val="0"/>
                <w:numId w:val="4"/>
              </w:numPr>
              <w:spacing w:after="0" w:line="240" w:lineRule="auto"/>
              <w:rPr>
                <w:rFonts w:ascii="Arial" w:hAnsi="Arial" w:cs="Arial"/>
                <w:b w:val="0"/>
                <w:bCs w:val="0"/>
                <w:lang w:val="en-AU"/>
              </w:rPr>
            </w:pPr>
            <w:r>
              <w:rPr>
                <w:rFonts w:ascii="Arial" w:hAnsi="Arial" w:cs="Arial"/>
                <w:b w:val="0"/>
                <w:bCs w:val="0"/>
                <w:lang w:val="en-AU"/>
              </w:rPr>
              <w:t>Strong market position in China’s gaming industry.</w:t>
            </w:r>
          </w:p>
          <w:p w14:paraId="79DD16B5" w14:textId="77777777" w:rsidR="00DD74A5" w:rsidRDefault="00000000">
            <w:pPr>
              <w:pStyle w:val="ListParagraph"/>
              <w:numPr>
                <w:ilvl w:val="0"/>
                <w:numId w:val="4"/>
              </w:numPr>
              <w:spacing w:after="0" w:line="240" w:lineRule="auto"/>
              <w:rPr>
                <w:rFonts w:ascii="Arial" w:hAnsi="Arial" w:cs="Arial"/>
                <w:b w:val="0"/>
                <w:bCs w:val="0"/>
                <w:lang w:val="en-AU"/>
              </w:rPr>
            </w:pPr>
            <w:r>
              <w:rPr>
                <w:rFonts w:ascii="Arial" w:hAnsi="Arial" w:cs="Arial"/>
                <w:b w:val="0"/>
                <w:bCs w:val="0"/>
                <w:lang w:val="en-AU"/>
              </w:rPr>
              <w:t>Diversified non-gaming businesses.</w:t>
            </w:r>
          </w:p>
          <w:p w14:paraId="31BD187D" w14:textId="77777777" w:rsidR="00DD74A5" w:rsidRDefault="00000000">
            <w:pPr>
              <w:pStyle w:val="ListParagraph"/>
              <w:numPr>
                <w:ilvl w:val="0"/>
                <w:numId w:val="4"/>
              </w:numPr>
              <w:spacing w:after="0" w:line="240" w:lineRule="auto"/>
              <w:rPr>
                <w:rFonts w:ascii="Arial" w:hAnsi="Arial" w:cs="Arial"/>
                <w:b w:val="0"/>
                <w:bCs w:val="0"/>
                <w:lang w:val="en-AU"/>
              </w:rPr>
            </w:pPr>
            <w:r>
              <w:rPr>
                <w:rFonts w:ascii="Arial" w:hAnsi="Arial" w:cs="Arial"/>
                <w:b w:val="0"/>
                <w:bCs w:val="0"/>
                <w:lang w:val="en-AU"/>
              </w:rPr>
              <w:t>Rich game pipeline.</w:t>
            </w:r>
          </w:p>
          <w:p w14:paraId="3E613B1E" w14:textId="77777777" w:rsidR="00DD74A5" w:rsidRDefault="00000000">
            <w:pPr>
              <w:pStyle w:val="ListParagraph"/>
              <w:numPr>
                <w:ilvl w:val="0"/>
                <w:numId w:val="4"/>
              </w:numPr>
              <w:spacing w:after="0" w:line="240" w:lineRule="auto"/>
              <w:rPr>
                <w:rFonts w:ascii="Arial" w:hAnsi="Arial" w:cs="Arial"/>
                <w:b w:val="0"/>
                <w:bCs w:val="0"/>
                <w:lang w:val="en-AU"/>
              </w:rPr>
            </w:pPr>
            <w:r>
              <w:rPr>
                <w:rFonts w:ascii="Arial" w:hAnsi="Arial" w:cs="Arial"/>
                <w:b w:val="0"/>
                <w:bCs w:val="0"/>
                <w:lang w:val="en-AU"/>
              </w:rPr>
              <w:t>Robust financial health.</w:t>
            </w:r>
          </w:p>
          <w:p w14:paraId="3325C138" w14:textId="77777777" w:rsidR="00DD74A5" w:rsidRDefault="00DD74A5">
            <w:pPr>
              <w:spacing w:after="0" w:line="240" w:lineRule="auto"/>
              <w:rPr>
                <w:rFonts w:ascii="Arial" w:hAnsi="Arial" w:cs="Arial"/>
                <w:b w:val="0"/>
                <w:bCs w:val="0"/>
                <w:lang w:val="en-AU"/>
              </w:rPr>
            </w:pPr>
          </w:p>
          <w:p w14:paraId="4A725A95" w14:textId="77777777" w:rsidR="00DD74A5" w:rsidRDefault="00DD74A5">
            <w:pPr>
              <w:spacing w:after="0" w:line="240" w:lineRule="auto"/>
              <w:rPr>
                <w:rFonts w:ascii="Arial" w:hAnsi="Arial" w:cs="Arial"/>
                <w:lang w:val="en-AU"/>
              </w:rPr>
            </w:pPr>
          </w:p>
        </w:tc>
        <w:tc>
          <w:tcPr>
            <w:tcW w:w="4267" w:type="dxa"/>
          </w:tcPr>
          <w:p w14:paraId="2009ECC8" w14:textId="77777777" w:rsidR="00DD74A5"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Weaknesses</w:t>
            </w:r>
          </w:p>
          <w:p w14:paraId="37CD88A7" w14:textId="77777777" w:rsidR="00DD74A5" w:rsidRDefault="00DD74A5">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p>
          <w:p w14:paraId="630039E5" w14:textId="77777777" w:rsidR="00DD74A5" w:rsidRDefault="00000000">
            <w:pPr>
              <w:pStyle w:val="ListParagraph"/>
              <w:numPr>
                <w:ilvl w:val="0"/>
                <w:numId w:val="5"/>
              </w:num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b w:val="0"/>
                <w:bCs w:val="0"/>
                <w:lang w:val="en-AU"/>
              </w:rPr>
              <w:t>Heavy reliance on legacy games.</w:t>
            </w:r>
          </w:p>
          <w:p w14:paraId="1AB9EE1F" w14:textId="77777777" w:rsidR="00DD74A5" w:rsidRDefault="00000000">
            <w:pPr>
              <w:pStyle w:val="ListParagraph"/>
              <w:numPr>
                <w:ilvl w:val="0"/>
                <w:numId w:val="5"/>
              </w:num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b w:val="0"/>
                <w:bCs w:val="0"/>
                <w:lang w:val="en-AU"/>
              </w:rPr>
              <w:t>Weak international presence compared to its domestic presence.</w:t>
            </w:r>
          </w:p>
          <w:p w14:paraId="69F0CC43" w14:textId="77777777" w:rsidR="00DD74A5" w:rsidRDefault="00000000">
            <w:pPr>
              <w:pStyle w:val="ListParagraph"/>
              <w:numPr>
                <w:ilvl w:val="0"/>
                <w:numId w:val="5"/>
              </w:num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b w:val="0"/>
                <w:bCs w:val="0"/>
                <w:lang w:val="en-AU"/>
              </w:rPr>
              <w:t>Non-gaming segments under pressure.</w:t>
            </w:r>
          </w:p>
          <w:p w14:paraId="55D91E99" w14:textId="77777777" w:rsidR="00DD74A5" w:rsidRDefault="00DD74A5">
            <w:pPr>
              <w:pStyle w:val="ListParagraph"/>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lang w:val="en-AU"/>
              </w:rPr>
            </w:pPr>
          </w:p>
        </w:tc>
      </w:tr>
      <w:tr w:rsidR="00DD74A5" w:rsidRPr="002A7F20" w14:paraId="3A2F8E84" w14:textId="77777777" w:rsidTr="00DD74A5">
        <w:tc>
          <w:tcPr>
            <w:cnfStyle w:val="001000000000" w:firstRow="0" w:lastRow="0" w:firstColumn="1" w:lastColumn="0" w:oddVBand="0" w:evenVBand="0" w:oddHBand="0" w:evenHBand="0" w:firstRowFirstColumn="0" w:firstRowLastColumn="0" w:lastRowFirstColumn="0" w:lastRowLastColumn="0"/>
            <w:tcW w:w="4517" w:type="dxa"/>
            <w:shd w:val="clear" w:color="auto" w:fill="C1E4F5" w:themeFill="accent1" w:themeFillTint="33"/>
          </w:tcPr>
          <w:p w14:paraId="5E559699" w14:textId="77777777" w:rsidR="00DD74A5" w:rsidRDefault="00000000">
            <w:pPr>
              <w:spacing w:after="0" w:line="240" w:lineRule="auto"/>
              <w:rPr>
                <w:rFonts w:ascii="Arial" w:hAnsi="Arial" w:cs="Arial"/>
                <w:b w:val="0"/>
                <w:bCs w:val="0"/>
                <w:lang w:val="en-AU"/>
              </w:rPr>
            </w:pPr>
            <w:r>
              <w:rPr>
                <w:rFonts w:ascii="Arial" w:hAnsi="Arial" w:cs="Arial"/>
                <w:lang w:val="en-AU"/>
              </w:rPr>
              <w:t>Opportunities</w:t>
            </w:r>
          </w:p>
          <w:p w14:paraId="147F5ED3" w14:textId="77777777" w:rsidR="00DD74A5" w:rsidRDefault="00DD74A5">
            <w:pPr>
              <w:spacing w:after="0" w:line="240" w:lineRule="auto"/>
              <w:rPr>
                <w:rFonts w:ascii="Arial" w:hAnsi="Arial" w:cs="Arial"/>
                <w:b w:val="0"/>
                <w:bCs w:val="0"/>
                <w:lang w:val="en-AU"/>
              </w:rPr>
            </w:pPr>
          </w:p>
          <w:p w14:paraId="75658610" w14:textId="77777777" w:rsidR="00DD74A5" w:rsidRDefault="00000000">
            <w:pPr>
              <w:pStyle w:val="ListParagraph"/>
              <w:numPr>
                <w:ilvl w:val="0"/>
                <w:numId w:val="6"/>
              </w:numPr>
              <w:spacing w:after="0" w:line="240" w:lineRule="auto"/>
              <w:rPr>
                <w:rFonts w:ascii="Arial" w:hAnsi="Arial" w:cs="Arial"/>
                <w:b w:val="0"/>
                <w:bCs w:val="0"/>
                <w:lang w:val="en-AU"/>
              </w:rPr>
            </w:pPr>
            <w:r>
              <w:rPr>
                <w:rFonts w:ascii="Arial" w:hAnsi="Arial" w:cs="Arial"/>
                <w:b w:val="0"/>
                <w:bCs w:val="0"/>
                <w:lang w:val="en-AU"/>
              </w:rPr>
              <w:t>Game license quota system as a moat.</w:t>
            </w:r>
          </w:p>
          <w:p w14:paraId="52D5039B" w14:textId="77777777" w:rsidR="00DD74A5" w:rsidRDefault="00000000">
            <w:pPr>
              <w:pStyle w:val="ListParagraph"/>
              <w:numPr>
                <w:ilvl w:val="0"/>
                <w:numId w:val="6"/>
              </w:numPr>
              <w:spacing w:after="0" w:line="240" w:lineRule="auto"/>
              <w:rPr>
                <w:rFonts w:ascii="Arial" w:hAnsi="Arial" w:cs="Arial"/>
                <w:b w:val="0"/>
                <w:bCs w:val="0"/>
                <w:lang w:val="en-AU"/>
              </w:rPr>
            </w:pPr>
            <w:r>
              <w:rPr>
                <w:rFonts w:ascii="Arial" w:hAnsi="Arial" w:cs="Arial"/>
                <w:b w:val="0"/>
                <w:bCs w:val="0"/>
                <w:lang w:val="en-AU"/>
              </w:rPr>
              <w:t>Global “Research &amp; Development and operations” integration.</w:t>
            </w:r>
          </w:p>
          <w:p w14:paraId="50F82B72" w14:textId="77777777" w:rsidR="00DD74A5" w:rsidRDefault="00000000">
            <w:pPr>
              <w:pStyle w:val="ListParagraph"/>
              <w:numPr>
                <w:ilvl w:val="0"/>
                <w:numId w:val="6"/>
              </w:numPr>
              <w:spacing w:after="0" w:line="240" w:lineRule="auto"/>
              <w:rPr>
                <w:rFonts w:ascii="Arial" w:hAnsi="Arial" w:cs="Arial"/>
                <w:b w:val="0"/>
                <w:bCs w:val="0"/>
                <w:lang w:val="en-AU"/>
              </w:rPr>
            </w:pPr>
            <w:r>
              <w:rPr>
                <w:rFonts w:ascii="Arial" w:hAnsi="Arial" w:cs="Arial"/>
                <w:b w:val="0"/>
                <w:bCs w:val="0"/>
                <w:lang w:val="en-AU"/>
              </w:rPr>
              <w:t>Accelerating profitability of NetEase Cloud Music.</w:t>
            </w:r>
          </w:p>
          <w:p w14:paraId="5BA7A1F5" w14:textId="77777777" w:rsidR="00DD74A5" w:rsidRDefault="00DD74A5">
            <w:pPr>
              <w:spacing w:after="0" w:line="240" w:lineRule="auto"/>
              <w:rPr>
                <w:rFonts w:ascii="Arial" w:hAnsi="Arial" w:cs="Arial"/>
                <w:b w:val="0"/>
                <w:bCs w:val="0"/>
                <w:lang w:val="en-AU"/>
              </w:rPr>
            </w:pPr>
          </w:p>
          <w:p w14:paraId="48FD2346" w14:textId="77777777" w:rsidR="00DD74A5" w:rsidRDefault="00DD74A5">
            <w:pPr>
              <w:spacing w:after="0" w:line="240" w:lineRule="auto"/>
              <w:rPr>
                <w:rFonts w:ascii="Arial" w:hAnsi="Arial" w:cs="Arial"/>
                <w:lang w:val="en-AU"/>
              </w:rPr>
            </w:pPr>
          </w:p>
        </w:tc>
        <w:tc>
          <w:tcPr>
            <w:tcW w:w="4267" w:type="dxa"/>
            <w:shd w:val="clear" w:color="auto" w:fill="C1E4F5" w:themeFill="accent1" w:themeFillTint="33"/>
          </w:tcPr>
          <w:p w14:paraId="323F0428" w14:textId="77777777" w:rsidR="00DD74A5"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b/>
                <w:bCs/>
                <w:lang w:val="en-AU"/>
              </w:rPr>
            </w:pPr>
            <w:r>
              <w:rPr>
                <w:rFonts w:ascii="Arial" w:hAnsi="Arial" w:cs="Arial"/>
                <w:b/>
                <w:bCs/>
                <w:lang w:val="en-AU"/>
              </w:rPr>
              <w:t>Threats</w:t>
            </w:r>
          </w:p>
          <w:p w14:paraId="368F3033" w14:textId="77777777" w:rsidR="00DD74A5" w:rsidRDefault="00DD74A5">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b/>
                <w:bCs/>
                <w:lang w:val="en-AU"/>
              </w:rPr>
            </w:pPr>
          </w:p>
          <w:p w14:paraId="2E38DAD0" w14:textId="77777777" w:rsidR="00DD74A5" w:rsidRDefault="00000000">
            <w:pPr>
              <w:pStyle w:val="ListParagraph"/>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Intensifying competition.</w:t>
            </w:r>
          </w:p>
          <w:p w14:paraId="562F1F93" w14:textId="77777777" w:rsidR="00DD74A5" w:rsidRDefault="00000000">
            <w:pPr>
              <w:pStyle w:val="ListParagraph"/>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Volatility in overseas expansion.</w:t>
            </w:r>
          </w:p>
          <w:p w14:paraId="68DB2537" w14:textId="77777777" w:rsidR="00DD74A5" w:rsidRDefault="00000000">
            <w:pPr>
              <w:pStyle w:val="ListParagraph"/>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Potential tightening of game approvals, data security, or overseas investment rules.</w:t>
            </w:r>
          </w:p>
        </w:tc>
      </w:tr>
    </w:tbl>
    <w:p w14:paraId="4D7B2822" w14:textId="77777777" w:rsidR="00DD74A5" w:rsidRPr="002A7F20" w:rsidRDefault="00DD74A5">
      <w:pPr>
        <w:rPr>
          <w:rFonts w:ascii="Arial" w:hAnsi="Arial" w:cs="Arial"/>
          <w:b/>
          <w:bCs/>
          <w:sz w:val="28"/>
          <w:szCs w:val="28"/>
          <w:lang w:val="en-ID"/>
        </w:rPr>
      </w:pPr>
    </w:p>
    <w:p w14:paraId="08BF7373" w14:textId="77777777" w:rsidR="00DD74A5" w:rsidRDefault="00DD74A5">
      <w:pPr>
        <w:rPr>
          <w:rFonts w:ascii="Arial" w:hAnsi="Arial" w:cs="Arial"/>
          <w:b/>
          <w:bCs/>
          <w:sz w:val="28"/>
          <w:szCs w:val="28"/>
          <w:lang w:val="en-AU"/>
        </w:rPr>
      </w:pPr>
    </w:p>
    <w:p w14:paraId="33BCC71D" w14:textId="77777777" w:rsidR="00DD74A5" w:rsidRDefault="00000000">
      <w:pPr>
        <w:rPr>
          <w:rFonts w:ascii="Arial" w:hAnsi="Arial" w:cs="Arial"/>
          <w:b/>
          <w:bCs/>
          <w:sz w:val="28"/>
          <w:szCs w:val="28"/>
          <w:lang w:val="en-AU"/>
        </w:rPr>
      </w:pPr>
      <w:r>
        <w:rPr>
          <w:rFonts w:ascii="Arial" w:hAnsi="Arial" w:cs="Arial"/>
          <w:b/>
          <w:bCs/>
          <w:sz w:val="28"/>
          <w:szCs w:val="28"/>
          <w:lang w:val="en-AU"/>
        </w:rPr>
        <w:t>Appendix A-4: Cash flow projections (in RMB Millions)</w:t>
      </w:r>
    </w:p>
    <w:tbl>
      <w:tblPr>
        <w:tblStyle w:val="GridTable4-Accent11"/>
        <w:tblW w:w="11597" w:type="dxa"/>
        <w:tblInd w:w="-1139" w:type="dxa"/>
        <w:tblLook w:val="04A0" w:firstRow="1" w:lastRow="0" w:firstColumn="1" w:lastColumn="0" w:noHBand="0" w:noVBand="1"/>
      </w:tblPr>
      <w:tblGrid>
        <w:gridCol w:w="1935"/>
        <w:gridCol w:w="1084"/>
        <w:gridCol w:w="1084"/>
        <w:gridCol w:w="1084"/>
        <w:gridCol w:w="1084"/>
        <w:gridCol w:w="1084"/>
        <w:gridCol w:w="1084"/>
        <w:gridCol w:w="951"/>
        <w:gridCol w:w="951"/>
        <w:gridCol w:w="1256"/>
      </w:tblGrid>
      <w:tr w:rsidR="00DD74A5" w14:paraId="33F71336" w14:textId="77777777" w:rsidTr="00DD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C2F702F" w14:textId="77777777" w:rsidR="00DD74A5" w:rsidRDefault="00DD74A5">
            <w:pPr>
              <w:rPr>
                <w:rFonts w:ascii="Arial" w:hAnsi="Arial" w:cs="Arial"/>
                <w:b w:val="0"/>
                <w:bCs w:val="0"/>
                <w:lang w:val="en-AU"/>
              </w:rPr>
            </w:pPr>
          </w:p>
        </w:tc>
        <w:tc>
          <w:tcPr>
            <w:tcW w:w="1034" w:type="dxa"/>
          </w:tcPr>
          <w:p w14:paraId="72EFB44E"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2025A</w:t>
            </w:r>
          </w:p>
        </w:tc>
        <w:tc>
          <w:tcPr>
            <w:tcW w:w="1084" w:type="dxa"/>
          </w:tcPr>
          <w:p w14:paraId="70E5107D"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2026E</w:t>
            </w:r>
          </w:p>
        </w:tc>
        <w:tc>
          <w:tcPr>
            <w:tcW w:w="1084" w:type="dxa"/>
          </w:tcPr>
          <w:p w14:paraId="1EB68ADE"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2027E</w:t>
            </w:r>
          </w:p>
        </w:tc>
        <w:tc>
          <w:tcPr>
            <w:tcW w:w="1084" w:type="dxa"/>
          </w:tcPr>
          <w:p w14:paraId="5BFA1913"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2028E</w:t>
            </w:r>
          </w:p>
        </w:tc>
        <w:tc>
          <w:tcPr>
            <w:tcW w:w="1084" w:type="dxa"/>
          </w:tcPr>
          <w:p w14:paraId="24A0D11C"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2029E</w:t>
            </w:r>
          </w:p>
        </w:tc>
        <w:tc>
          <w:tcPr>
            <w:tcW w:w="1084" w:type="dxa"/>
          </w:tcPr>
          <w:p w14:paraId="4882E588"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2030E</w:t>
            </w:r>
          </w:p>
        </w:tc>
        <w:tc>
          <w:tcPr>
            <w:tcW w:w="951" w:type="dxa"/>
          </w:tcPr>
          <w:p w14:paraId="60AC5B62"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2031E</w:t>
            </w:r>
          </w:p>
        </w:tc>
        <w:tc>
          <w:tcPr>
            <w:tcW w:w="951" w:type="dxa"/>
          </w:tcPr>
          <w:p w14:paraId="4F3ABBA8"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2032E</w:t>
            </w:r>
          </w:p>
        </w:tc>
        <w:tc>
          <w:tcPr>
            <w:tcW w:w="1256" w:type="dxa"/>
          </w:tcPr>
          <w:p w14:paraId="1B3DFBF1"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Continue value</w:t>
            </w:r>
          </w:p>
        </w:tc>
      </w:tr>
      <w:tr w:rsidR="00DD74A5" w14:paraId="0EB1FABE"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28A8BD1C" w14:textId="77777777" w:rsidR="00DD74A5" w:rsidRDefault="00000000">
            <w:pPr>
              <w:rPr>
                <w:rFonts w:ascii="Arial" w:hAnsi="Arial" w:cs="Arial"/>
                <w:b w:val="0"/>
                <w:bCs w:val="0"/>
                <w:lang w:val="en-AU"/>
              </w:rPr>
            </w:pPr>
            <w:r>
              <w:rPr>
                <w:rFonts w:ascii="Arial" w:hAnsi="Arial" w:cs="Arial"/>
                <w:lang w:val="en-AU"/>
              </w:rPr>
              <w:t>Revenue</w:t>
            </w:r>
          </w:p>
        </w:tc>
        <w:tc>
          <w:tcPr>
            <w:tcW w:w="1034" w:type="dxa"/>
          </w:tcPr>
          <w:p w14:paraId="6C6BA16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112,625</w:t>
            </w:r>
          </w:p>
        </w:tc>
        <w:tc>
          <w:tcPr>
            <w:tcW w:w="1084" w:type="dxa"/>
          </w:tcPr>
          <w:p w14:paraId="781AE7A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126,530</w:t>
            </w:r>
          </w:p>
        </w:tc>
        <w:tc>
          <w:tcPr>
            <w:tcW w:w="1084" w:type="dxa"/>
          </w:tcPr>
          <w:p w14:paraId="3B3583E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135,387</w:t>
            </w:r>
          </w:p>
        </w:tc>
        <w:tc>
          <w:tcPr>
            <w:tcW w:w="1084" w:type="dxa"/>
          </w:tcPr>
          <w:p w14:paraId="0F11079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144,864</w:t>
            </w:r>
          </w:p>
        </w:tc>
        <w:tc>
          <w:tcPr>
            <w:tcW w:w="1084" w:type="dxa"/>
          </w:tcPr>
          <w:p w14:paraId="1B5DC05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155,004</w:t>
            </w:r>
          </w:p>
        </w:tc>
        <w:tc>
          <w:tcPr>
            <w:tcW w:w="1084" w:type="dxa"/>
          </w:tcPr>
          <w:p w14:paraId="76A8AD2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165,854</w:t>
            </w:r>
          </w:p>
        </w:tc>
        <w:tc>
          <w:tcPr>
            <w:tcW w:w="951" w:type="dxa"/>
            <w:shd w:val="clear" w:color="auto" w:fill="0070C0"/>
          </w:tcPr>
          <w:p w14:paraId="4008CD4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951" w:type="dxa"/>
            <w:shd w:val="clear" w:color="auto" w:fill="0070C0"/>
          </w:tcPr>
          <w:p w14:paraId="2CB7D12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56" w:type="dxa"/>
            <w:shd w:val="clear" w:color="auto" w:fill="0070C0"/>
          </w:tcPr>
          <w:p w14:paraId="22E0373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D74A5" w14:paraId="05FE08A1"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CECF761" w14:textId="77777777" w:rsidR="00DD74A5" w:rsidRDefault="00000000">
            <w:pPr>
              <w:rPr>
                <w:rFonts w:ascii="Arial" w:hAnsi="Arial" w:cs="Arial"/>
                <w:b w:val="0"/>
                <w:bCs w:val="0"/>
                <w:lang w:val="en-AU"/>
              </w:rPr>
            </w:pPr>
            <w:r>
              <w:rPr>
                <w:rFonts w:ascii="Arial" w:hAnsi="Arial" w:cs="Arial"/>
                <w:lang w:val="en-AU"/>
              </w:rPr>
              <w:lastRenderedPageBreak/>
              <w:t>- Cost Of Goods Sold</w:t>
            </w:r>
          </w:p>
        </w:tc>
        <w:tc>
          <w:tcPr>
            <w:tcW w:w="1034" w:type="dxa"/>
          </w:tcPr>
          <w:p w14:paraId="09DB327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40,224</w:t>
            </w:r>
          </w:p>
        </w:tc>
        <w:tc>
          <w:tcPr>
            <w:tcW w:w="1084" w:type="dxa"/>
          </w:tcPr>
          <w:p w14:paraId="392B93C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45,445</w:t>
            </w:r>
          </w:p>
        </w:tc>
        <w:tc>
          <w:tcPr>
            <w:tcW w:w="1084" w:type="dxa"/>
          </w:tcPr>
          <w:p w14:paraId="57D070D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48,165</w:t>
            </w:r>
          </w:p>
        </w:tc>
        <w:tc>
          <w:tcPr>
            <w:tcW w:w="1084" w:type="dxa"/>
          </w:tcPr>
          <w:p w14:paraId="7285A92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51,064</w:t>
            </w:r>
          </w:p>
        </w:tc>
        <w:tc>
          <w:tcPr>
            <w:tcW w:w="1084" w:type="dxa"/>
          </w:tcPr>
          <w:p w14:paraId="0CB6BD6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54,127</w:t>
            </w:r>
          </w:p>
        </w:tc>
        <w:tc>
          <w:tcPr>
            <w:tcW w:w="1084" w:type="dxa"/>
          </w:tcPr>
          <w:p w14:paraId="598C942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57,374</w:t>
            </w:r>
          </w:p>
        </w:tc>
        <w:tc>
          <w:tcPr>
            <w:tcW w:w="951" w:type="dxa"/>
            <w:shd w:val="clear" w:color="auto" w:fill="0070C0"/>
          </w:tcPr>
          <w:p w14:paraId="011C421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341FF60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492E0837"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6EDD07C8"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7D9DADCD" w14:textId="77777777" w:rsidR="00DD74A5" w:rsidRDefault="00000000">
            <w:pPr>
              <w:rPr>
                <w:rFonts w:ascii="Arial" w:hAnsi="Arial" w:cs="Arial"/>
                <w:b w:val="0"/>
                <w:bCs w:val="0"/>
                <w:lang w:val="en-AU"/>
              </w:rPr>
            </w:pPr>
            <w:r>
              <w:rPr>
                <w:rFonts w:ascii="Arial" w:hAnsi="Arial" w:cs="Arial"/>
                <w:lang w:val="en-AU"/>
              </w:rPr>
              <w:t>- Depreciation</w:t>
            </w:r>
          </w:p>
        </w:tc>
        <w:tc>
          <w:tcPr>
            <w:tcW w:w="1034" w:type="dxa"/>
          </w:tcPr>
          <w:p w14:paraId="25217CD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2,247</w:t>
            </w:r>
          </w:p>
        </w:tc>
        <w:tc>
          <w:tcPr>
            <w:tcW w:w="1084" w:type="dxa"/>
          </w:tcPr>
          <w:p w14:paraId="10BF4F8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2,524</w:t>
            </w:r>
          </w:p>
        </w:tc>
        <w:tc>
          <w:tcPr>
            <w:tcW w:w="1084" w:type="dxa"/>
          </w:tcPr>
          <w:p w14:paraId="165B88F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2,701</w:t>
            </w:r>
          </w:p>
        </w:tc>
        <w:tc>
          <w:tcPr>
            <w:tcW w:w="1084" w:type="dxa"/>
          </w:tcPr>
          <w:p w14:paraId="50A28D8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2,890</w:t>
            </w:r>
          </w:p>
        </w:tc>
        <w:tc>
          <w:tcPr>
            <w:tcW w:w="1084" w:type="dxa"/>
          </w:tcPr>
          <w:p w14:paraId="071B479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3,093</w:t>
            </w:r>
          </w:p>
        </w:tc>
        <w:tc>
          <w:tcPr>
            <w:tcW w:w="1084" w:type="dxa"/>
          </w:tcPr>
          <w:p w14:paraId="3C950D8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3,309</w:t>
            </w:r>
          </w:p>
        </w:tc>
        <w:tc>
          <w:tcPr>
            <w:tcW w:w="951" w:type="dxa"/>
            <w:shd w:val="clear" w:color="auto" w:fill="0070C0"/>
          </w:tcPr>
          <w:p w14:paraId="3D356A1C"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45347B2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09647B5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6DB659AC"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30806690" w14:textId="77777777" w:rsidR="00DD74A5" w:rsidRDefault="00000000">
            <w:pPr>
              <w:rPr>
                <w:rFonts w:ascii="Arial" w:hAnsi="Arial" w:cs="Arial"/>
                <w:b w:val="0"/>
                <w:bCs w:val="0"/>
                <w:lang w:val="en-AU"/>
              </w:rPr>
            </w:pPr>
            <w:r>
              <w:rPr>
                <w:rFonts w:ascii="Arial" w:hAnsi="Arial" w:cs="Arial"/>
                <w:lang w:val="en-AU"/>
              </w:rPr>
              <w:t>- SGA</w:t>
            </w:r>
          </w:p>
        </w:tc>
        <w:tc>
          <w:tcPr>
            <w:tcW w:w="1034" w:type="dxa"/>
          </w:tcPr>
          <w:p w14:paraId="48EB732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18,848</w:t>
            </w:r>
          </w:p>
        </w:tc>
        <w:tc>
          <w:tcPr>
            <w:tcW w:w="1084" w:type="dxa"/>
          </w:tcPr>
          <w:p w14:paraId="0BADC55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21,510</w:t>
            </w:r>
          </w:p>
        </w:tc>
        <w:tc>
          <w:tcPr>
            <w:tcW w:w="1084" w:type="dxa"/>
          </w:tcPr>
          <w:p w14:paraId="24792F9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22,716</w:t>
            </w:r>
          </w:p>
        </w:tc>
        <w:tc>
          <w:tcPr>
            <w:tcW w:w="1084" w:type="dxa"/>
          </w:tcPr>
          <w:p w14:paraId="5824880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23,989</w:t>
            </w:r>
          </w:p>
        </w:tc>
        <w:tc>
          <w:tcPr>
            <w:tcW w:w="1084" w:type="dxa"/>
          </w:tcPr>
          <w:p w14:paraId="0C83674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25,324</w:t>
            </w:r>
          </w:p>
        </w:tc>
        <w:tc>
          <w:tcPr>
            <w:tcW w:w="1084" w:type="dxa"/>
          </w:tcPr>
          <w:p w14:paraId="281D2C5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26,782</w:t>
            </w:r>
          </w:p>
        </w:tc>
        <w:tc>
          <w:tcPr>
            <w:tcW w:w="951" w:type="dxa"/>
            <w:shd w:val="clear" w:color="auto" w:fill="0070C0"/>
          </w:tcPr>
          <w:p w14:paraId="023AC58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23B856D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71E8093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4946D93A"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079AFB79" w14:textId="77777777" w:rsidR="00DD74A5" w:rsidRDefault="00000000">
            <w:pPr>
              <w:rPr>
                <w:rFonts w:ascii="Arial" w:hAnsi="Arial" w:cs="Arial"/>
                <w:b w:val="0"/>
                <w:bCs w:val="0"/>
                <w:lang w:val="en-AU"/>
              </w:rPr>
            </w:pPr>
            <w:r>
              <w:rPr>
                <w:rFonts w:ascii="Arial" w:hAnsi="Arial" w:cs="Arial"/>
                <w:lang w:val="en-AU"/>
              </w:rPr>
              <w:t>- R&amp;D</w:t>
            </w:r>
          </w:p>
        </w:tc>
        <w:tc>
          <w:tcPr>
            <w:tcW w:w="1034" w:type="dxa"/>
          </w:tcPr>
          <w:p w14:paraId="5FADF84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17,719</w:t>
            </w:r>
          </w:p>
        </w:tc>
        <w:tc>
          <w:tcPr>
            <w:tcW w:w="1084" w:type="dxa"/>
          </w:tcPr>
          <w:p w14:paraId="301B3CF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20,245</w:t>
            </w:r>
          </w:p>
        </w:tc>
        <w:tc>
          <w:tcPr>
            <w:tcW w:w="1084" w:type="dxa"/>
          </w:tcPr>
          <w:p w14:paraId="1FFDF8B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21,431</w:t>
            </w:r>
          </w:p>
        </w:tc>
        <w:tc>
          <w:tcPr>
            <w:tcW w:w="1084" w:type="dxa"/>
          </w:tcPr>
          <w:p w14:paraId="6D3C48E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22,676</w:t>
            </w:r>
          </w:p>
        </w:tc>
        <w:tc>
          <w:tcPr>
            <w:tcW w:w="1084" w:type="dxa"/>
          </w:tcPr>
          <w:p w14:paraId="3CC64C8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24,000</w:t>
            </w:r>
          </w:p>
        </w:tc>
        <w:tc>
          <w:tcPr>
            <w:tcW w:w="1084" w:type="dxa"/>
          </w:tcPr>
          <w:p w14:paraId="1E733D0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25,396</w:t>
            </w:r>
          </w:p>
        </w:tc>
        <w:tc>
          <w:tcPr>
            <w:tcW w:w="951" w:type="dxa"/>
            <w:shd w:val="clear" w:color="auto" w:fill="0070C0"/>
          </w:tcPr>
          <w:p w14:paraId="45F7EDEF"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36FC7DC"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02531B3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1DCD04DE"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3E086947" w14:textId="77777777" w:rsidR="00DD74A5" w:rsidRDefault="00000000">
            <w:pPr>
              <w:rPr>
                <w:rFonts w:ascii="Arial" w:hAnsi="Arial" w:cs="Arial"/>
                <w:b w:val="0"/>
                <w:bCs w:val="0"/>
                <w:lang w:val="en-AU"/>
              </w:rPr>
            </w:pPr>
            <w:r>
              <w:rPr>
                <w:rFonts w:ascii="Arial" w:hAnsi="Arial" w:cs="Arial"/>
                <w:lang w:val="en-AU"/>
              </w:rPr>
              <w:t>EBIT</w:t>
            </w:r>
          </w:p>
        </w:tc>
        <w:tc>
          <w:tcPr>
            <w:tcW w:w="1034" w:type="dxa"/>
          </w:tcPr>
          <w:p w14:paraId="63BBA62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35,834</w:t>
            </w:r>
          </w:p>
        </w:tc>
        <w:tc>
          <w:tcPr>
            <w:tcW w:w="1084" w:type="dxa"/>
          </w:tcPr>
          <w:p w14:paraId="30E20C7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36,530</w:t>
            </w:r>
          </w:p>
        </w:tc>
        <w:tc>
          <w:tcPr>
            <w:tcW w:w="1084" w:type="dxa"/>
          </w:tcPr>
          <w:p w14:paraId="6B0448E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40,125</w:t>
            </w:r>
          </w:p>
        </w:tc>
        <w:tc>
          <w:tcPr>
            <w:tcW w:w="1084" w:type="dxa"/>
          </w:tcPr>
          <w:p w14:paraId="1E6EB24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44,035</w:t>
            </w:r>
          </w:p>
        </w:tc>
        <w:tc>
          <w:tcPr>
            <w:tcW w:w="1084" w:type="dxa"/>
          </w:tcPr>
          <w:p w14:paraId="17BACD6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48,304</w:t>
            </w:r>
          </w:p>
        </w:tc>
        <w:tc>
          <w:tcPr>
            <w:tcW w:w="1084" w:type="dxa"/>
          </w:tcPr>
          <w:p w14:paraId="7465A57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52,956</w:t>
            </w:r>
          </w:p>
        </w:tc>
        <w:tc>
          <w:tcPr>
            <w:tcW w:w="951" w:type="dxa"/>
            <w:shd w:val="clear" w:color="auto" w:fill="0070C0"/>
          </w:tcPr>
          <w:p w14:paraId="7A893B3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7DB1925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2048A41F"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6CFA09D3"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D4076B0" w14:textId="77777777" w:rsidR="00DD74A5" w:rsidRDefault="00000000">
            <w:pPr>
              <w:rPr>
                <w:rFonts w:ascii="Arial" w:hAnsi="Arial" w:cs="Arial"/>
                <w:b w:val="0"/>
                <w:bCs w:val="0"/>
                <w:lang w:val="en-AU"/>
              </w:rPr>
            </w:pPr>
            <w:r>
              <w:rPr>
                <w:rFonts w:ascii="Arial" w:hAnsi="Arial" w:cs="Arial"/>
                <w:lang w:val="en-AU"/>
              </w:rPr>
              <w:t xml:space="preserve">Taxes </w:t>
            </w:r>
          </w:p>
        </w:tc>
        <w:tc>
          <w:tcPr>
            <w:tcW w:w="1034" w:type="dxa"/>
          </w:tcPr>
          <w:p w14:paraId="0D16271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5,416</w:t>
            </w:r>
          </w:p>
        </w:tc>
        <w:tc>
          <w:tcPr>
            <w:tcW w:w="1084" w:type="dxa"/>
          </w:tcPr>
          <w:p w14:paraId="25E5649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7,306</w:t>
            </w:r>
          </w:p>
        </w:tc>
        <w:tc>
          <w:tcPr>
            <w:tcW w:w="1084" w:type="dxa"/>
          </w:tcPr>
          <w:p w14:paraId="6C5084D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8,025</w:t>
            </w:r>
          </w:p>
        </w:tc>
        <w:tc>
          <w:tcPr>
            <w:tcW w:w="1084" w:type="dxa"/>
          </w:tcPr>
          <w:p w14:paraId="680413D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8,807</w:t>
            </w:r>
          </w:p>
        </w:tc>
        <w:tc>
          <w:tcPr>
            <w:tcW w:w="1084" w:type="dxa"/>
          </w:tcPr>
          <w:p w14:paraId="7F7A686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9,661</w:t>
            </w:r>
          </w:p>
        </w:tc>
        <w:tc>
          <w:tcPr>
            <w:tcW w:w="1084" w:type="dxa"/>
          </w:tcPr>
          <w:p w14:paraId="16056D2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10,591</w:t>
            </w:r>
          </w:p>
        </w:tc>
        <w:tc>
          <w:tcPr>
            <w:tcW w:w="951" w:type="dxa"/>
            <w:shd w:val="clear" w:color="auto" w:fill="0070C0"/>
          </w:tcPr>
          <w:p w14:paraId="69392A3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114560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1435BF5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04E4EDB3"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4F57DDB6" w14:textId="77777777" w:rsidR="00DD74A5" w:rsidRDefault="00000000">
            <w:pPr>
              <w:rPr>
                <w:rFonts w:ascii="Arial" w:hAnsi="Arial" w:cs="Arial"/>
                <w:b w:val="0"/>
                <w:bCs w:val="0"/>
                <w:lang w:val="en-AU"/>
              </w:rPr>
            </w:pPr>
            <w:r>
              <w:rPr>
                <w:rFonts w:ascii="Arial" w:hAnsi="Arial" w:cs="Arial"/>
                <w:lang w:val="en-AU"/>
              </w:rPr>
              <w:t>Unlevered Net Income</w:t>
            </w:r>
          </w:p>
        </w:tc>
        <w:tc>
          <w:tcPr>
            <w:tcW w:w="1034" w:type="dxa"/>
          </w:tcPr>
          <w:p w14:paraId="78E164E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30,418</w:t>
            </w:r>
          </w:p>
        </w:tc>
        <w:tc>
          <w:tcPr>
            <w:tcW w:w="1084" w:type="dxa"/>
          </w:tcPr>
          <w:p w14:paraId="79E917A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29,445</w:t>
            </w:r>
          </w:p>
        </w:tc>
        <w:tc>
          <w:tcPr>
            <w:tcW w:w="1084" w:type="dxa"/>
          </w:tcPr>
          <w:p w14:paraId="7E3D802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32,299</w:t>
            </w:r>
          </w:p>
        </w:tc>
        <w:tc>
          <w:tcPr>
            <w:tcW w:w="1084" w:type="dxa"/>
          </w:tcPr>
          <w:p w14:paraId="1869C58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35,396</w:t>
            </w:r>
          </w:p>
        </w:tc>
        <w:tc>
          <w:tcPr>
            <w:tcW w:w="1084" w:type="dxa"/>
          </w:tcPr>
          <w:p w14:paraId="2CCB03B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38,768</w:t>
            </w:r>
          </w:p>
        </w:tc>
        <w:tc>
          <w:tcPr>
            <w:tcW w:w="1084" w:type="dxa"/>
          </w:tcPr>
          <w:p w14:paraId="035B38A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42,394</w:t>
            </w:r>
          </w:p>
        </w:tc>
        <w:tc>
          <w:tcPr>
            <w:tcW w:w="951" w:type="dxa"/>
            <w:shd w:val="clear" w:color="auto" w:fill="0070C0"/>
          </w:tcPr>
          <w:p w14:paraId="5D9889EC"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3FF0123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77F81FB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0F3A73B3"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D7F8D12" w14:textId="77777777" w:rsidR="00DD74A5" w:rsidRDefault="00000000">
            <w:pPr>
              <w:rPr>
                <w:rFonts w:ascii="Arial" w:hAnsi="Arial" w:cs="Arial"/>
                <w:b w:val="0"/>
                <w:bCs w:val="0"/>
                <w:lang w:val="en-AU"/>
              </w:rPr>
            </w:pPr>
            <w:r>
              <w:rPr>
                <w:rFonts w:ascii="Arial" w:hAnsi="Arial" w:cs="Arial"/>
                <w:lang w:val="en-AU"/>
              </w:rPr>
              <w:t>+ Depreciation</w:t>
            </w:r>
          </w:p>
        </w:tc>
        <w:tc>
          <w:tcPr>
            <w:tcW w:w="1034" w:type="dxa"/>
          </w:tcPr>
          <w:p w14:paraId="0153C95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2,247</w:t>
            </w:r>
          </w:p>
        </w:tc>
        <w:tc>
          <w:tcPr>
            <w:tcW w:w="1084" w:type="dxa"/>
          </w:tcPr>
          <w:p w14:paraId="0660450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2,800</w:t>
            </w:r>
          </w:p>
        </w:tc>
        <w:tc>
          <w:tcPr>
            <w:tcW w:w="1084" w:type="dxa"/>
          </w:tcPr>
          <w:p w14:paraId="36460F3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2,950</w:t>
            </w:r>
          </w:p>
        </w:tc>
        <w:tc>
          <w:tcPr>
            <w:tcW w:w="1084" w:type="dxa"/>
          </w:tcPr>
          <w:p w14:paraId="38C384B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3,100</w:t>
            </w:r>
          </w:p>
        </w:tc>
        <w:tc>
          <w:tcPr>
            <w:tcW w:w="1084" w:type="dxa"/>
          </w:tcPr>
          <w:p w14:paraId="3FC84CA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3,250</w:t>
            </w:r>
          </w:p>
        </w:tc>
        <w:tc>
          <w:tcPr>
            <w:tcW w:w="1084" w:type="dxa"/>
          </w:tcPr>
          <w:p w14:paraId="0230B40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3,400</w:t>
            </w:r>
          </w:p>
        </w:tc>
        <w:tc>
          <w:tcPr>
            <w:tcW w:w="951" w:type="dxa"/>
            <w:shd w:val="clear" w:color="auto" w:fill="0070C0"/>
          </w:tcPr>
          <w:p w14:paraId="217632F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4E8E6588"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47D9F28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42755249"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0754C27" w14:textId="77777777" w:rsidR="00DD74A5" w:rsidRDefault="00000000">
            <w:pPr>
              <w:rPr>
                <w:rFonts w:ascii="Arial" w:hAnsi="Arial" w:cs="Arial"/>
                <w:b w:val="0"/>
                <w:bCs w:val="0"/>
                <w:lang w:val="en-AU"/>
              </w:rPr>
            </w:pPr>
            <w:r>
              <w:rPr>
                <w:rFonts w:ascii="Arial" w:hAnsi="Arial" w:cs="Arial"/>
                <w:lang w:val="en-AU"/>
              </w:rPr>
              <w:t xml:space="preserve">- </w:t>
            </w:r>
            <w:r>
              <w:rPr>
                <w:rFonts w:ascii="Arial" w:hAnsi="Arial" w:cs="Arial"/>
              </w:rPr>
              <w:t>Δ</w:t>
            </w:r>
            <w:r>
              <w:rPr>
                <w:rFonts w:ascii="Arial" w:hAnsi="Arial" w:cs="Arial"/>
                <w:lang w:val="en-AU"/>
              </w:rPr>
              <w:t>NWC</w:t>
            </w:r>
          </w:p>
        </w:tc>
        <w:tc>
          <w:tcPr>
            <w:tcW w:w="1034" w:type="dxa"/>
          </w:tcPr>
          <w:p w14:paraId="3EF761D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1,048</w:t>
            </w:r>
          </w:p>
        </w:tc>
        <w:tc>
          <w:tcPr>
            <w:tcW w:w="1084" w:type="dxa"/>
          </w:tcPr>
          <w:p w14:paraId="3372322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254</w:t>
            </w:r>
          </w:p>
        </w:tc>
        <w:tc>
          <w:tcPr>
            <w:tcW w:w="1084" w:type="dxa"/>
          </w:tcPr>
          <w:p w14:paraId="3EF9E37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162</w:t>
            </w:r>
          </w:p>
        </w:tc>
        <w:tc>
          <w:tcPr>
            <w:tcW w:w="1084" w:type="dxa"/>
          </w:tcPr>
          <w:p w14:paraId="1398576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173</w:t>
            </w:r>
          </w:p>
        </w:tc>
        <w:tc>
          <w:tcPr>
            <w:tcW w:w="1084" w:type="dxa"/>
          </w:tcPr>
          <w:p w14:paraId="565CBD1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185</w:t>
            </w:r>
          </w:p>
        </w:tc>
        <w:tc>
          <w:tcPr>
            <w:tcW w:w="1084" w:type="dxa"/>
          </w:tcPr>
          <w:p w14:paraId="3ECFE710" w14:textId="77777777" w:rsidR="00DD74A5"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kern w:val="0"/>
                <w:szCs w:val="24"/>
                <w:lang w:bidi="ar-SA"/>
                <w14:ligatures w14:val="none"/>
              </w:rPr>
            </w:pPr>
            <w:r>
              <w:rPr>
                <w:rStyle w:val="Strong"/>
                <w:rFonts w:ascii="Arial" w:hAnsi="Arial" w:cs="Arial"/>
                <w:b w:val="0"/>
                <w:bCs w:val="0"/>
              </w:rPr>
              <w:t>198</w:t>
            </w:r>
          </w:p>
          <w:p w14:paraId="48E02F5F"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B86323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4640641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2F4D45A3"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249FAEDF"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29E28CB8" w14:textId="77777777" w:rsidR="00DD74A5" w:rsidRDefault="00000000">
            <w:pPr>
              <w:rPr>
                <w:rFonts w:ascii="Arial" w:hAnsi="Arial" w:cs="Arial"/>
                <w:b w:val="0"/>
                <w:bCs w:val="0"/>
                <w:lang w:val="en-AU"/>
              </w:rPr>
            </w:pPr>
            <w:r>
              <w:rPr>
                <w:rFonts w:ascii="Arial" w:hAnsi="Arial" w:cs="Arial"/>
                <w:lang w:val="en-AU"/>
              </w:rPr>
              <w:t xml:space="preserve">- </w:t>
            </w:r>
            <w:proofErr w:type="spellStart"/>
            <w:r>
              <w:rPr>
                <w:rFonts w:ascii="Arial" w:hAnsi="Arial" w:cs="Arial"/>
                <w:lang w:val="en-AU"/>
              </w:rPr>
              <w:t>CapEx</w:t>
            </w:r>
            <w:proofErr w:type="spellEnd"/>
          </w:p>
        </w:tc>
        <w:tc>
          <w:tcPr>
            <w:tcW w:w="1034" w:type="dxa"/>
          </w:tcPr>
          <w:p w14:paraId="733D2C4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2,052</w:t>
            </w:r>
          </w:p>
        </w:tc>
        <w:tc>
          <w:tcPr>
            <w:tcW w:w="1084" w:type="dxa"/>
          </w:tcPr>
          <w:p w14:paraId="0CD8C44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2,650</w:t>
            </w:r>
          </w:p>
        </w:tc>
        <w:tc>
          <w:tcPr>
            <w:tcW w:w="1084" w:type="dxa"/>
          </w:tcPr>
          <w:p w14:paraId="72EE0CC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2,836</w:t>
            </w:r>
          </w:p>
        </w:tc>
        <w:tc>
          <w:tcPr>
            <w:tcW w:w="1084" w:type="dxa"/>
          </w:tcPr>
          <w:p w14:paraId="316D820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3,034</w:t>
            </w:r>
          </w:p>
        </w:tc>
        <w:tc>
          <w:tcPr>
            <w:tcW w:w="1084" w:type="dxa"/>
          </w:tcPr>
          <w:p w14:paraId="51229F9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3,298</w:t>
            </w:r>
          </w:p>
        </w:tc>
        <w:tc>
          <w:tcPr>
            <w:tcW w:w="1084" w:type="dxa"/>
          </w:tcPr>
          <w:p w14:paraId="385205A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3,474</w:t>
            </w:r>
          </w:p>
        </w:tc>
        <w:tc>
          <w:tcPr>
            <w:tcW w:w="951" w:type="dxa"/>
            <w:shd w:val="clear" w:color="auto" w:fill="0070C0"/>
          </w:tcPr>
          <w:p w14:paraId="3DB0AE2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3E1665D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7C4CAD4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3E754967"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1D045816" w14:textId="77777777" w:rsidR="00DD74A5" w:rsidRDefault="00000000">
            <w:pPr>
              <w:rPr>
                <w:rFonts w:ascii="Arial" w:hAnsi="Arial" w:cs="Arial"/>
                <w:b w:val="0"/>
                <w:bCs w:val="0"/>
                <w:lang w:val="en-AU"/>
              </w:rPr>
            </w:pPr>
            <w:r>
              <w:rPr>
                <w:rFonts w:ascii="Arial" w:hAnsi="Arial" w:cs="Arial"/>
                <w:lang w:val="en-AU"/>
              </w:rPr>
              <w:t>Free Cash Flow</w:t>
            </w:r>
          </w:p>
        </w:tc>
        <w:tc>
          <w:tcPr>
            <w:tcW w:w="1034" w:type="dxa"/>
          </w:tcPr>
          <w:p w14:paraId="4AB40AE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29,565</w:t>
            </w:r>
          </w:p>
        </w:tc>
        <w:tc>
          <w:tcPr>
            <w:tcW w:w="1084" w:type="dxa"/>
          </w:tcPr>
          <w:p w14:paraId="781206C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w:t>
            </w:r>
            <w:r>
              <w:rPr>
                <w:rFonts w:ascii="Arial" w:hAnsi="Arial" w:cs="Arial"/>
              </w:rPr>
              <w:t>9,065</w:t>
            </w:r>
          </w:p>
        </w:tc>
        <w:tc>
          <w:tcPr>
            <w:tcW w:w="1084" w:type="dxa"/>
          </w:tcPr>
          <w:p w14:paraId="669A93C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32,002</w:t>
            </w:r>
          </w:p>
        </w:tc>
        <w:tc>
          <w:tcPr>
            <w:tcW w:w="1084" w:type="dxa"/>
          </w:tcPr>
          <w:p w14:paraId="5323F57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35,079</w:t>
            </w:r>
          </w:p>
        </w:tc>
        <w:tc>
          <w:tcPr>
            <w:tcW w:w="1084" w:type="dxa"/>
          </w:tcPr>
          <w:p w14:paraId="258C843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38,428</w:t>
            </w:r>
          </w:p>
        </w:tc>
        <w:tc>
          <w:tcPr>
            <w:tcW w:w="1084" w:type="dxa"/>
          </w:tcPr>
          <w:p w14:paraId="1AB9DFD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42,030</w:t>
            </w:r>
          </w:p>
        </w:tc>
        <w:tc>
          <w:tcPr>
            <w:tcW w:w="951" w:type="dxa"/>
          </w:tcPr>
          <w:p w14:paraId="67CE1AF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42,660</w:t>
            </w:r>
          </w:p>
        </w:tc>
        <w:tc>
          <w:tcPr>
            <w:tcW w:w="951" w:type="dxa"/>
          </w:tcPr>
          <w:p w14:paraId="68ED755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43,087</w:t>
            </w:r>
          </w:p>
        </w:tc>
        <w:tc>
          <w:tcPr>
            <w:tcW w:w="1256" w:type="dxa"/>
          </w:tcPr>
          <w:p w14:paraId="78BB248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625,257</w:t>
            </w:r>
          </w:p>
        </w:tc>
      </w:tr>
      <w:tr w:rsidR="00DD74A5" w14:paraId="75DC16B6"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348DBFB9" w14:textId="77777777" w:rsidR="00DD74A5" w:rsidRDefault="00000000">
            <w:pPr>
              <w:rPr>
                <w:rFonts w:ascii="Arial" w:hAnsi="Arial" w:cs="Arial"/>
                <w:b w:val="0"/>
                <w:bCs w:val="0"/>
                <w:lang w:val="en-AU"/>
              </w:rPr>
            </w:pPr>
            <w:r>
              <w:rPr>
                <w:rFonts w:ascii="Arial" w:hAnsi="Arial" w:cs="Arial"/>
                <w:lang w:val="en-AU"/>
              </w:rPr>
              <w:t>WACC (r)</w:t>
            </w:r>
          </w:p>
        </w:tc>
        <w:tc>
          <w:tcPr>
            <w:tcW w:w="1034" w:type="dxa"/>
          </w:tcPr>
          <w:p w14:paraId="3D00E4B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c>
          <w:tcPr>
            <w:tcW w:w="1084" w:type="dxa"/>
          </w:tcPr>
          <w:p w14:paraId="6653F9E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c>
          <w:tcPr>
            <w:tcW w:w="1084" w:type="dxa"/>
          </w:tcPr>
          <w:p w14:paraId="3EA70B8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c>
          <w:tcPr>
            <w:tcW w:w="1084" w:type="dxa"/>
          </w:tcPr>
          <w:p w14:paraId="29730AF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c>
          <w:tcPr>
            <w:tcW w:w="1084" w:type="dxa"/>
          </w:tcPr>
          <w:p w14:paraId="3D79AC4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c>
          <w:tcPr>
            <w:tcW w:w="1084" w:type="dxa"/>
          </w:tcPr>
          <w:p w14:paraId="7FD22EB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c>
          <w:tcPr>
            <w:tcW w:w="951" w:type="dxa"/>
          </w:tcPr>
          <w:p w14:paraId="3D576BB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c>
          <w:tcPr>
            <w:tcW w:w="951" w:type="dxa"/>
          </w:tcPr>
          <w:p w14:paraId="5DCD072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c>
          <w:tcPr>
            <w:tcW w:w="1256" w:type="dxa"/>
          </w:tcPr>
          <w:p w14:paraId="1D9846A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7.96%</w:t>
            </w:r>
          </w:p>
        </w:tc>
      </w:tr>
      <w:tr w:rsidR="00DD74A5" w14:paraId="689CF545"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17604958" w14:textId="77777777" w:rsidR="00DD74A5" w:rsidRDefault="00000000">
            <w:pPr>
              <w:rPr>
                <w:rFonts w:ascii="Arial" w:hAnsi="Arial" w:cs="Arial"/>
                <w:b w:val="0"/>
                <w:bCs w:val="0"/>
                <w:lang w:val="en-AU"/>
              </w:rPr>
            </w:pPr>
            <w:r>
              <w:rPr>
                <w:rFonts w:ascii="Arial" w:hAnsi="Arial" w:cs="Arial"/>
                <w:lang w:val="en-AU"/>
              </w:rPr>
              <w:t>PV of FCF</w:t>
            </w:r>
          </w:p>
        </w:tc>
        <w:tc>
          <w:tcPr>
            <w:tcW w:w="1034" w:type="dxa"/>
          </w:tcPr>
          <w:p w14:paraId="63EA66C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29,565</w:t>
            </w:r>
          </w:p>
        </w:tc>
        <w:tc>
          <w:tcPr>
            <w:tcW w:w="1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DD74A5" w14:paraId="04FD9ECA" w14:textId="77777777">
              <w:trPr>
                <w:tblCellSpacing w:w="15" w:type="dxa"/>
              </w:trPr>
              <w:tc>
                <w:tcPr>
                  <w:tcW w:w="0" w:type="auto"/>
                  <w:vAlign w:val="center"/>
                </w:tcPr>
                <w:p w14:paraId="327671EF" w14:textId="77777777" w:rsidR="00DD74A5" w:rsidRDefault="00000000">
                  <w:pPr>
                    <w:jc w:val="center"/>
                    <w:rPr>
                      <w:rFonts w:ascii="Arial" w:hAnsi="Arial" w:cs="Arial"/>
                    </w:rPr>
                  </w:pPr>
                  <w:r>
                    <w:rPr>
                      <w:rFonts w:ascii="Arial" w:hAnsi="Arial" w:cs="Arial"/>
                    </w:rPr>
                    <w:t>26,922</w:t>
                  </w:r>
                </w:p>
              </w:tc>
            </w:tr>
          </w:tbl>
          <w:p w14:paraId="10C1715E"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4A5" w14:paraId="38C49E9A" w14:textId="77777777">
              <w:trPr>
                <w:tblCellSpacing w:w="15" w:type="dxa"/>
              </w:trPr>
              <w:tc>
                <w:tcPr>
                  <w:tcW w:w="0" w:type="auto"/>
                  <w:vAlign w:val="center"/>
                </w:tcPr>
                <w:p w14:paraId="6826EFA6" w14:textId="77777777" w:rsidR="00DD74A5" w:rsidRDefault="00DD74A5">
                  <w:pPr>
                    <w:jc w:val="center"/>
                    <w:rPr>
                      <w:rFonts w:ascii="Arial" w:hAnsi="Arial" w:cs="Arial"/>
                    </w:rPr>
                  </w:pPr>
                </w:p>
              </w:tc>
            </w:tr>
          </w:tbl>
          <w:p w14:paraId="6A0557F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DD74A5" w14:paraId="123CE492" w14:textId="77777777">
              <w:trPr>
                <w:tblCellSpacing w:w="15" w:type="dxa"/>
              </w:trPr>
              <w:tc>
                <w:tcPr>
                  <w:tcW w:w="0" w:type="auto"/>
                  <w:vAlign w:val="center"/>
                </w:tcPr>
                <w:p w14:paraId="6A0D1072" w14:textId="77777777" w:rsidR="00DD74A5" w:rsidRDefault="00000000">
                  <w:pPr>
                    <w:jc w:val="center"/>
                    <w:rPr>
                      <w:rFonts w:ascii="Arial" w:hAnsi="Arial" w:cs="Arial"/>
                    </w:rPr>
                  </w:pPr>
                  <w:r>
                    <w:rPr>
                      <w:rFonts w:ascii="Arial" w:hAnsi="Arial" w:cs="Arial"/>
                    </w:rPr>
                    <w:t>27,457</w:t>
                  </w:r>
                </w:p>
              </w:tc>
            </w:tr>
          </w:tbl>
          <w:p w14:paraId="451971E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4A5" w14:paraId="3FCEC4D9" w14:textId="77777777">
              <w:trPr>
                <w:tblCellSpacing w:w="15" w:type="dxa"/>
              </w:trPr>
              <w:tc>
                <w:tcPr>
                  <w:tcW w:w="0" w:type="auto"/>
                  <w:vAlign w:val="center"/>
                </w:tcPr>
                <w:p w14:paraId="7C32B175" w14:textId="77777777" w:rsidR="00DD74A5" w:rsidRDefault="00DD74A5">
                  <w:pPr>
                    <w:jc w:val="center"/>
                    <w:rPr>
                      <w:rFonts w:ascii="Arial" w:hAnsi="Arial" w:cs="Arial"/>
                    </w:rPr>
                  </w:pPr>
                </w:p>
              </w:tc>
            </w:tr>
          </w:tbl>
          <w:p w14:paraId="7A628F85"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p w14:paraId="3228E79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27,878</w:t>
            </w:r>
          </w:p>
        </w:tc>
        <w:tc>
          <w:tcPr>
            <w:tcW w:w="1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DD74A5" w14:paraId="25EF5072" w14:textId="77777777">
              <w:trPr>
                <w:tblCellSpacing w:w="15" w:type="dxa"/>
              </w:trPr>
              <w:tc>
                <w:tcPr>
                  <w:tcW w:w="0" w:type="auto"/>
                  <w:vAlign w:val="center"/>
                </w:tcPr>
                <w:p w14:paraId="66495283" w14:textId="77777777" w:rsidR="00DD74A5" w:rsidRDefault="00000000">
                  <w:pPr>
                    <w:jc w:val="center"/>
                    <w:rPr>
                      <w:rFonts w:ascii="Arial" w:hAnsi="Arial" w:cs="Arial"/>
                    </w:rPr>
                  </w:pPr>
                  <w:r>
                    <w:rPr>
                      <w:rFonts w:ascii="Arial" w:hAnsi="Arial" w:cs="Arial"/>
                    </w:rPr>
                    <w:t>28,288</w:t>
                  </w:r>
                </w:p>
              </w:tc>
            </w:tr>
          </w:tbl>
          <w:p w14:paraId="68EDEB9F"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4A5" w14:paraId="4893948E" w14:textId="77777777">
              <w:trPr>
                <w:tblCellSpacing w:w="15" w:type="dxa"/>
              </w:trPr>
              <w:tc>
                <w:tcPr>
                  <w:tcW w:w="0" w:type="auto"/>
                  <w:vAlign w:val="center"/>
                </w:tcPr>
                <w:p w14:paraId="0A75142C" w14:textId="77777777" w:rsidR="00DD74A5" w:rsidRDefault="00DD74A5">
                  <w:pPr>
                    <w:jc w:val="center"/>
                    <w:rPr>
                      <w:rFonts w:ascii="Arial" w:hAnsi="Arial" w:cs="Arial"/>
                    </w:rPr>
                  </w:pPr>
                </w:p>
              </w:tc>
            </w:tr>
          </w:tbl>
          <w:p w14:paraId="60B6EABE"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p w14:paraId="64586F1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28,658</w:t>
            </w:r>
          </w:p>
        </w:tc>
        <w:tc>
          <w:tcPr>
            <w:tcW w:w="951" w:type="dxa"/>
          </w:tcPr>
          <w:p w14:paraId="2FAA86B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26,943</w:t>
            </w:r>
          </w:p>
        </w:tc>
        <w:tc>
          <w:tcPr>
            <w:tcW w:w="951" w:type="dxa"/>
          </w:tcPr>
          <w:p w14:paraId="3BFE1D2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25,206</w:t>
            </w:r>
          </w:p>
        </w:tc>
        <w:tc>
          <w:tcPr>
            <w:tcW w:w="1256" w:type="dxa"/>
          </w:tcPr>
          <w:p w14:paraId="1EB032E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365,779</w:t>
            </w:r>
          </w:p>
        </w:tc>
      </w:tr>
      <w:tr w:rsidR="00DD74A5" w14:paraId="2BABC20A"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687A4ADB" w14:textId="77777777" w:rsidR="00DD74A5" w:rsidRDefault="00000000">
            <w:pPr>
              <w:rPr>
                <w:rFonts w:ascii="Arial" w:hAnsi="Arial" w:cs="Arial"/>
                <w:b w:val="0"/>
                <w:bCs w:val="0"/>
                <w:lang w:val="en-AU"/>
              </w:rPr>
            </w:pPr>
            <w:r>
              <w:rPr>
                <w:rFonts w:ascii="Arial" w:hAnsi="Arial" w:cs="Arial"/>
                <w:lang w:val="en-AU"/>
              </w:rPr>
              <w:t>Total NPV</w:t>
            </w:r>
          </w:p>
        </w:tc>
        <w:tc>
          <w:tcPr>
            <w:tcW w:w="1034" w:type="dxa"/>
          </w:tcPr>
          <w:p w14:paraId="369697E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586,695</w:t>
            </w:r>
          </w:p>
        </w:tc>
        <w:tc>
          <w:tcPr>
            <w:tcW w:w="1084" w:type="dxa"/>
            <w:shd w:val="clear" w:color="auto" w:fill="45B0E1" w:themeFill="accent1" w:themeFillTint="99"/>
          </w:tcPr>
          <w:p w14:paraId="4A4DC19F"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2409C8A8"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26638AF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53D790A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0FD45B57"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45B0E1" w:themeFill="accent1" w:themeFillTint="99"/>
          </w:tcPr>
          <w:p w14:paraId="60C0CCD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45B0E1" w:themeFill="accent1" w:themeFillTint="99"/>
          </w:tcPr>
          <w:p w14:paraId="5F7ED20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45B0E1" w:themeFill="accent1" w:themeFillTint="99"/>
          </w:tcPr>
          <w:p w14:paraId="1F4B6D45"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bl>
    <w:p w14:paraId="773FC887" w14:textId="77777777" w:rsidR="00DD74A5" w:rsidRDefault="00DD74A5">
      <w:pPr>
        <w:rPr>
          <w:rFonts w:ascii="Arial" w:hAnsi="Arial" w:cs="Arial"/>
          <w:lang w:val="en-AU"/>
        </w:rPr>
      </w:pPr>
    </w:p>
    <w:p w14:paraId="64FCED82" w14:textId="77777777" w:rsidR="00DD74A5" w:rsidRDefault="00DD74A5">
      <w:pPr>
        <w:rPr>
          <w:rFonts w:ascii="Arial" w:hAnsi="Arial" w:cs="Arial"/>
          <w:lang w:val="en-AU"/>
        </w:rPr>
      </w:pPr>
    </w:p>
    <w:p w14:paraId="563087D7" w14:textId="77777777" w:rsidR="00DD74A5" w:rsidRDefault="00DD74A5">
      <w:pPr>
        <w:rPr>
          <w:rFonts w:ascii="Arial" w:hAnsi="Arial" w:cs="Arial"/>
          <w:b/>
          <w:bCs/>
          <w:lang w:val="en-AU"/>
        </w:rPr>
      </w:pPr>
    </w:p>
    <w:p w14:paraId="1ED8275D" w14:textId="77777777" w:rsidR="00DD74A5" w:rsidRDefault="00DD74A5">
      <w:pPr>
        <w:rPr>
          <w:rFonts w:ascii="Arial" w:hAnsi="Arial" w:cs="Arial"/>
          <w:b/>
          <w:bCs/>
          <w:lang w:val="en-AU"/>
        </w:rPr>
      </w:pPr>
    </w:p>
    <w:p w14:paraId="656ACF9C" w14:textId="77777777" w:rsidR="00DD74A5" w:rsidRDefault="00DD74A5">
      <w:pPr>
        <w:rPr>
          <w:rFonts w:ascii="Arial" w:hAnsi="Arial" w:cs="Arial"/>
          <w:b/>
          <w:bCs/>
          <w:lang w:val="en-AU"/>
        </w:rPr>
      </w:pPr>
    </w:p>
    <w:p w14:paraId="4DAB6FAF" w14:textId="77777777" w:rsidR="00DD74A5" w:rsidRDefault="00DD74A5">
      <w:pPr>
        <w:rPr>
          <w:rFonts w:ascii="Arial" w:hAnsi="Arial" w:cs="Arial"/>
          <w:b/>
          <w:bCs/>
          <w:sz w:val="28"/>
          <w:szCs w:val="28"/>
          <w:lang w:val="en-AU"/>
        </w:rPr>
      </w:pPr>
    </w:p>
    <w:p w14:paraId="44E86883" w14:textId="77777777" w:rsidR="00DD74A5" w:rsidRDefault="00DD74A5">
      <w:pPr>
        <w:rPr>
          <w:rFonts w:ascii="Arial" w:hAnsi="Arial" w:cs="Arial"/>
          <w:b/>
          <w:bCs/>
          <w:sz w:val="28"/>
          <w:szCs w:val="28"/>
          <w:lang w:val="en-AU"/>
        </w:rPr>
      </w:pPr>
    </w:p>
    <w:p w14:paraId="22FE3E90" w14:textId="77777777" w:rsidR="00DD74A5" w:rsidRDefault="00000000">
      <w:pPr>
        <w:rPr>
          <w:rFonts w:ascii="Arial" w:hAnsi="Arial" w:cs="Arial"/>
          <w:b/>
          <w:bCs/>
          <w:sz w:val="28"/>
          <w:szCs w:val="28"/>
          <w:lang w:val="en-AU"/>
        </w:rPr>
      </w:pPr>
      <w:r>
        <w:rPr>
          <w:rFonts w:ascii="Arial" w:hAnsi="Arial" w:cs="Arial"/>
          <w:b/>
          <w:bCs/>
          <w:sz w:val="28"/>
          <w:szCs w:val="28"/>
          <w:lang w:val="en-AU"/>
        </w:rPr>
        <w:t xml:space="preserve">Appendix A-5: Sensitivity Analysis Best Case (WACC -0.5%) </w:t>
      </w:r>
    </w:p>
    <w:p w14:paraId="0EB2CD0B" w14:textId="77777777" w:rsidR="00DD74A5" w:rsidRDefault="00000000">
      <w:pPr>
        <w:rPr>
          <w:rFonts w:ascii="Arial" w:hAnsi="Arial" w:cs="Arial"/>
          <w:b/>
          <w:bCs/>
          <w:lang w:val="en-AU"/>
        </w:rPr>
      </w:pPr>
      <w:r>
        <w:rPr>
          <w:rFonts w:ascii="Arial" w:hAnsi="Arial" w:cs="Arial"/>
          <w:b/>
          <w:bCs/>
          <w:lang w:val="en-AU"/>
        </w:rPr>
        <w:t>[in RMB millions]</w:t>
      </w:r>
    </w:p>
    <w:tbl>
      <w:tblPr>
        <w:tblStyle w:val="GridTable4-Accent11"/>
        <w:tblW w:w="11597" w:type="dxa"/>
        <w:tblInd w:w="-1139" w:type="dxa"/>
        <w:tblLook w:val="04A0" w:firstRow="1" w:lastRow="0" w:firstColumn="1" w:lastColumn="0" w:noHBand="0" w:noVBand="1"/>
      </w:tblPr>
      <w:tblGrid>
        <w:gridCol w:w="1935"/>
        <w:gridCol w:w="1084"/>
        <w:gridCol w:w="1084"/>
        <w:gridCol w:w="1084"/>
        <w:gridCol w:w="1084"/>
        <w:gridCol w:w="1084"/>
        <w:gridCol w:w="1084"/>
        <w:gridCol w:w="951"/>
        <w:gridCol w:w="951"/>
        <w:gridCol w:w="1256"/>
      </w:tblGrid>
      <w:tr w:rsidR="00DD74A5" w14:paraId="45317860" w14:textId="77777777" w:rsidTr="00DD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C70D158" w14:textId="77777777" w:rsidR="00DD74A5" w:rsidRDefault="00DD74A5">
            <w:pPr>
              <w:rPr>
                <w:rFonts w:ascii="Arial" w:hAnsi="Arial" w:cs="Arial"/>
                <w:b w:val="0"/>
                <w:bCs w:val="0"/>
                <w:lang w:val="en-AU"/>
              </w:rPr>
            </w:pPr>
          </w:p>
        </w:tc>
        <w:tc>
          <w:tcPr>
            <w:tcW w:w="1034" w:type="dxa"/>
          </w:tcPr>
          <w:p w14:paraId="0F1C1F92"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2025A</w:t>
            </w:r>
          </w:p>
        </w:tc>
        <w:tc>
          <w:tcPr>
            <w:tcW w:w="1084" w:type="dxa"/>
          </w:tcPr>
          <w:p w14:paraId="44F3EE98"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2026E</w:t>
            </w:r>
          </w:p>
        </w:tc>
        <w:tc>
          <w:tcPr>
            <w:tcW w:w="1084" w:type="dxa"/>
          </w:tcPr>
          <w:p w14:paraId="5D150CCB"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2027E</w:t>
            </w:r>
          </w:p>
        </w:tc>
        <w:tc>
          <w:tcPr>
            <w:tcW w:w="1084" w:type="dxa"/>
          </w:tcPr>
          <w:p w14:paraId="0B989DD8"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2028E</w:t>
            </w:r>
          </w:p>
        </w:tc>
        <w:tc>
          <w:tcPr>
            <w:tcW w:w="1084" w:type="dxa"/>
          </w:tcPr>
          <w:p w14:paraId="78EC0FA1"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2029E</w:t>
            </w:r>
          </w:p>
        </w:tc>
        <w:tc>
          <w:tcPr>
            <w:tcW w:w="1084" w:type="dxa"/>
          </w:tcPr>
          <w:p w14:paraId="13207B1E"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2030E</w:t>
            </w:r>
          </w:p>
        </w:tc>
        <w:tc>
          <w:tcPr>
            <w:tcW w:w="951" w:type="dxa"/>
          </w:tcPr>
          <w:p w14:paraId="601FE977"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2031E</w:t>
            </w:r>
          </w:p>
        </w:tc>
        <w:tc>
          <w:tcPr>
            <w:tcW w:w="951" w:type="dxa"/>
          </w:tcPr>
          <w:p w14:paraId="434C6394"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2032E</w:t>
            </w:r>
          </w:p>
        </w:tc>
        <w:tc>
          <w:tcPr>
            <w:tcW w:w="1256" w:type="dxa"/>
          </w:tcPr>
          <w:p w14:paraId="64950D70"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Continue value</w:t>
            </w:r>
          </w:p>
        </w:tc>
      </w:tr>
      <w:tr w:rsidR="00DD74A5" w14:paraId="2AC52E03"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15E3C9ED" w14:textId="77777777" w:rsidR="00DD74A5" w:rsidRDefault="00000000">
            <w:pPr>
              <w:jc w:val="center"/>
              <w:rPr>
                <w:rFonts w:ascii="Arial" w:hAnsi="Arial" w:cs="Arial"/>
                <w:b w:val="0"/>
                <w:bCs w:val="0"/>
                <w:lang w:val="en-AU"/>
              </w:rPr>
            </w:pPr>
            <w:r>
              <w:rPr>
                <w:rFonts w:ascii="Arial" w:hAnsi="Arial" w:cs="Arial"/>
                <w:lang w:val="en-AU"/>
              </w:rPr>
              <w:t>Revenue</w:t>
            </w:r>
          </w:p>
        </w:tc>
        <w:tc>
          <w:tcPr>
            <w:tcW w:w="1034" w:type="dxa"/>
          </w:tcPr>
          <w:p w14:paraId="5EC654C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112,625</w:t>
            </w:r>
          </w:p>
        </w:tc>
        <w:tc>
          <w:tcPr>
            <w:tcW w:w="1084" w:type="dxa"/>
          </w:tcPr>
          <w:p w14:paraId="79AF1B4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126,530</w:t>
            </w:r>
          </w:p>
        </w:tc>
        <w:tc>
          <w:tcPr>
            <w:tcW w:w="1084" w:type="dxa"/>
          </w:tcPr>
          <w:p w14:paraId="4DB73DF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135,387</w:t>
            </w:r>
          </w:p>
        </w:tc>
        <w:tc>
          <w:tcPr>
            <w:tcW w:w="1084" w:type="dxa"/>
          </w:tcPr>
          <w:p w14:paraId="09D173F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144,864</w:t>
            </w:r>
          </w:p>
        </w:tc>
        <w:tc>
          <w:tcPr>
            <w:tcW w:w="1084" w:type="dxa"/>
          </w:tcPr>
          <w:p w14:paraId="435AA3E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155,004</w:t>
            </w:r>
          </w:p>
        </w:tc>
        <w:tc>
          <w:tcPr>
            <w:tcW w:w="1084" w:type="dxa"/>
          </w:tcPr>
          <w:p w14:paraId="074E67E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165,854</w:t>
            </w:r>
          </w:p>
        </w:tc>
        <w:tc>
          <w:tcPr>
            <w:tcW w:w="951" w:type="dxa"/>
            <w:shd w:val="clear" w:color="auto" w:fill="0070C0"/>
          </w:tcPr>
          <w:p w14:paraId="65F3D47D"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951" w:type="dxa"/>
            <w:shd w:val="clear" w:color="auto" w:fill="0070C0"/>
          </w:tcPr>
          <w:p w14:paraId="562BB0A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56" w:type="dxa"/>
            <w:shd w:val="clear" w:color="auto" w:fill="0070C0"/>
          </w:tcPr>
          <w:p w14:paraId="6523D59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D74A5" w14:paraId="4F30DCA6"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6982F91C" w14:textId="77777777" w:rsidR="00DD74A5" w:rsidRDefault="00000000">
            <w:pPr>
              <w:jc w:val="center"/>
              <w:rPr>
                <w:rFonts w:ascii="Arial" w:hAnsi="Arial" w:cs="Arial"/>
                <w:b w:val="0"/>
                <w:bCs w:val="0"/>
                <w:lang w:val="en-AU"/>
              </w:rPr>
            </w:pPr>
            <w:r>
              <w:rPr>
                <w:rFonts w:ascii="Arial" w:hAnsi="Arial" w:cs="Arial"/>
                <w:lang w:val="en-AU"/>
              </w:rPr>
              <w:t>- Cost Of Goods Sold</w:t>
            </w:r>
          </w:p>
        </w:tc>
        <w:tc>
          <w:tcPr>
            <w:tcW w:w="1034" w:type="dxa"/>
          </w:tcPr>
          <w:p w14:paraId="609BA71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40,224</w:t>
            </w:r>
          </w:p>
        </w:tc>
        <w:tc>
          <w:tcPr>
            <w:tcW w:w="1084" w:type="dxa"/>
          </w:tcPr>
          <w:p w14:paraId="4E65601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45,445</w:t>
            </w:r>
          </w:p>
        </w:tc>
        <w:tc>
          <w:tcPr>
            <w:tcW w:w="1084" w:type="dxa"/>
          </w:tcPr>
          <w:p w14:paraId="22232FB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48,165</w:t>
            </w:r>
          </w:p>
        </w:tc>
        <w:tc>
          <w:tcPr>
            <w:tcW w:w="1084" w:type="dxa"/>
          </w:tcPr>
          <w:p w14:paraId="3AE93FA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51,064</w:t>
            </w:r>
          </w:p>
        </w:tc>
        <w:tc>
          <w:tcPr>
            <w:tcW w:w="1084" w:type="dxa"/>
          </w:tcPr>
          <w:p w14:paraId="213C369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54,127</w:t>
            </w:r>
          </w:p>
        </w:tc>
        <w:tc>
          <w:tcPr>
            <w:tcW w:w="1084" w:type="dxa"/>
          </w:tcPr>
          <w:p w14:paraId="1E075D4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57,374</w:t>
            </w:r>
          </w:p>
        </w:tc>
        <w:tc>
          <w:tcPr>
            <w:tcW w:w="951" w:type="dxa"/>
            <w:shd w:val="clear" w:color="auto" w:fill="0070C0"/>
          </w:tcPr>
          <w:p w14:paraId="1B91600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331CD497"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7414709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7AF4C1E1"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208DAD30" w14:textId="77777777" w:rsidR="00DD74A5" w:rsidRDefault="00000000">
            <w:pPr>
              <w:jc w:val="center"/>
              <w:rPr>
                <w:rFonts w:ascii="Arial" w:hAnsi="Arial" w:cs="Arial"/>
                <w:b w:val="0"/>
                <w:bCs w:val="0"/>
                <w:lang w:val="en-AU"/>
              </w:rPr>
            </w:pPr>
            <w:r>
              <w:rPr>
                <w:rFonts w:ascii="Arial" w:hAnsi="Arial" w:cs="Arial"/>
                <w:lang w:val="en-AU"/>
              </w:rPr>
              <w:t>- Depreciation</w:t>
            </w:r>
          </w:p>
        </w:tc>
        <w:tc>
          <w:tcPr>
            <w:tcW w:w="1034" w:type="dxa"/>
          </w:tcPr>
          <w:p w14:paraId="7639DEF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2,247</w:t>
            </w:r>
          </w:p>
        </w:tc>
        <w:tc>
          <w:tcPr>
            <w:tcW w:w="1084" w:type="dxa"/>
          </w:tcPr>
          <w:p w14:paraId="252B32A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2,524</w:t>
            </w:r>
          </w:p>
        </w:tc>
        <w:tc>
          <w:tcPr>
            <w:tcW w:w="1084" w:type="dxa"/>
          </w:tcPr>
          <w:p w14:paraId="0542D57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2,701</w:t>
            </w:r>
          </w:p>
        </w:tc>
        <w:tc>
          <w:tcPr>
            <w:tcW w:w="1084" w:type="dxa"/>
          </w:tcPr>
          <w:p w14:paraId="7003CA7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2,890</w:t>
            </w:r>
          </w:p>
        </w:tc>
        <w:tc>
          <w:tcPr>
            <w:tcW w:w="1084" w:type="dxa"/>
          </w:tcPr>
          <w:p w14:paraId="5C7AEC5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3,093</w:t>
            </w:r>
          </w:p>
        </w:tc>
        <w:tc>
          <w:tcPr>
            <w:tcW w:w="1084" w:type="dxa"/>
          </w:tcPr>
          <w:p w14:paraId="72CA30A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3,309</w:t>
            </w:r>
          </w:p>
        </w:tc>
        <w:tc>
          <w:tcPr>
            <w:tcW w:w="951" w:type="dxa"/>
            <w:shd w:val="clear" w:color="auto" w:fill="0070C0"/>
          </w:tcPr>
          <w:p w14:paraId="51B96F7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1F5877C"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535B91C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4972ACCE"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1ABECA3A" w14:textId="77777777" w:rsidR="00DD74A5" w:rsidRDefault="00000000">
            <w:pPr>
              <w:jc w:val="center"/>
              <w:rPr>
                <w:rFonts w:ascii="Arial" w:hAnsi="Arial" w:cs="Arial"/>
                <w:b w:val="0"/>
                <w:bCs w:val="0"/>
                <w:lang w:val="en-AU"/>
              </w:rPr>
            </w:pPr>
            <w:r>
              <w:rPr>
                <w:rFonts w:ascii="Arial" w:hAnsi="Arial" w:cs="Arial"/>
                <w:lang w:val="en-AU"/>
              </w:rPr>
              <w:t>- SGA</w:t>
            </w:r>
          </w:p>
        </w:tc>
        <w:tc>
          <w:tcPr>
            <w:tcW w:w="1034" w:type="dxa"/>
          </w:tcPr>
          <w:p w14:paraId="2460E5B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18,848</w:t>
            </w:r>
          </w:p>
        </w:tc>
        <w:tc>
          <w:tcPr>
            <w:tcW w:w="1084" w:type="dxa"/>
          </w:tcPr>
          <w:p w14:paraId="345984B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21,510</w:t>
            </w:r>
          </w:p>
        </w:tc>
        <w:tc>
          <w:tcPr>
            <w:tcW w:w="1084" w:type="dxa"/>
          </w:tcPr>
          <w:p w14:paraId="6945DF4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22,716</w:t>
            </w:r>
          </w:p>
        </w:tc>
        <w:tc>
          <w:tcPr>
            <w:tcW w:w="1084" w:type="dxa"/>
          </w:tcPr>
          <w:p w14:paraId="3894D0B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23,989</w:t>
            </w:r>
          </w:p>
        </w:tc>
        <w:tc>
          <w:tcPr>
            <w:tcW w:w="1084" w:type="dxa"/>
          </w:tcPr>
          <w:p w14:paraId="4016B47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25,324</w:t>
            </w:r>
          </w:p>
        </w:tc>
        <w:tc>
          <w:tcPr>
            <w:tcW w:w="1084" w:type="dxa"/>
          </w:tcPr>
          <w:p w14:paraId="42174DB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26,782</w:t>
            </w:r>
          </w:p>
        </w:tc>
        <w:tc>
          <w:tcPr>
            <w:tcW w:w="951" w:type="dxa"/>
            <w:shd w:val="clear" w:color="auto" w:fill="0070C0"/>
          </w:tcPr>
          <w:p w14:paraId="130C6C2D"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E9EAAE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080F2E5F"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2FAB6FCA"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4F5C40D0" w14:textId="77777777" w:rsidR="00DD74A5" w:rsidRDefault="00000000">
            <w:pPr>
              <w:jc w:val="center"/>
              <w:rPr>
                <w:rFonts w:ascii="Arial" w:hAnsi="Arial" w:cs="Arial"/>
                <w:b w:val="0"/>
                <w:bCs w:val="0"/>
                <w:lang w:val="en-AU"/>
              </w:rPr>
            </w:pPr>
            <w:r>
              <w:rPr>
                <w:rFonts w:ascii="Arial" w:hAnsi="Arial" w:cs="Arial"/>
                <w:lang w:val="en-AU"/>
              </w:rPr>
              <w:t>- R&amp;D</w:t>
            </w:r>
          </w:p>
        </w:tc>
        <w:tc>
          <w:tcPr>
            <w:tcW w:w="1034" w:type="dxa"/>
          </w:tcPr>
          <w:p w14:paraId="212F4D9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17,719</w:t>
            </w:r>
          </w:p>
        </w:tc>
        <w:tc>
          <w:tcPr>
            <w:tcW w:w="1084" w:type="dxa"/>
          </w:tcPr>
          <w:p w14:paraId="2EBFA3F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20,245</w:t>
            </w:r>
          </w:p>
        </w:tc>
        <w:tc>
          <w:tcPr>
            <w:tcW w:w="1084" w:type="dxa"/>
          </w:tcPr>
          <w:p w14:paraId="09032BD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21,431</w:t>
            </w:r>
          </w:p>
        </w:tc>
        <w:tc>
          <w:tcPr>
            <w:tcW w:w="1084" w:type="dxa"/>
          </w:tcPr>
          <w:p w14:paraId="59B534B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22,676</w:t>
            </w:r>
          </w:p>
        </w:tc>
        <w:tc>
          <w:tcPr>
            <w:tcW w:w="1084" w:type="dxa"/>
          </w:tcPr>
          <w:p w14:paraId="17B41C0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24,000</w:t>
            </w:r>
          </w:p>
        </w:tc>
        <w:tc>
          <w:tcPr>
            <w:tcW w:w="1084" w:type="dxa"/>
          </w:tcPr>
          <w:p w14:paraId="73A3562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25,396</w:t>
            </w:r>
          </w:p>
        </w:tc>
        <w:tc>
          <w:tcPr>
            <w:tcW w:w="951" w:type="dxa"/>
            <w:shd w:val="clear" w:color="auto" w:fill="0070C0"/>
          </w:tcPr>
          <w:p w14:paraId="5C2D5023"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1684879"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28B12A2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1F3DDDC5"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EEC6CC0" w14:textId="77777777" w:rsidR="00DD74A5" w:rsidRDefault="00000000">
            <w:pPr>
              <w:jc w:val="center"/>
              <w:rPr>
                <w:rFonts w:ascii="Arial" w:hAnsi="Arial" w:cs="Arial"/>
                <w:b w:val="0"/>
                <w:bCs w:val="0"/>
                <w:lang w:val="en-AU"/>
              </w:rPr>
            </w:pPr>
            <w:r>
              <w:rPr>
                <w:rFonts w:ascii="Arial" w:hAnsi="Arial" w:cs="Arial"/>
                <w:lang w:val="en-AU"/>
              </w:rPr>
              <w:t>EBIT</w:t>
            </w:r>
          </w:p>
        </w:tc>
        <w:tc>
          <w:tcPr>
            <w:tcW w:w="1034" w:type="dxa"/>
          </w:tcPr>
          <w:p w14:paraId="2F14EFD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35,834</w:t>
            </w:r>
          </w:p>
        </w:tc>
        <w:tc>
          <w:tcPr>
            <w:tcW w:w="1084" w:type="dxa"/>
          </w:tcPr>
          <w:p w14:paraId="51411E9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36,530</w:t>
            </w:r>
          </w:p>
        </w:tc>
        <w:tc>
          <w:tcPr>
            <w:tcW w:w="1084" w:type="dxa"/>
          </w:tcPr>
          <w:p w14:paraId="4A401FE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40,125</w:t>
            </w:r>
          </w:p>
        </w:tc>
        <w:tc>
          <w:tcPr>
            <w:tcW w:w="1084" w:type="dxa"/>
          </w:tcPr>
          <w:p w14:paraId="1915144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44,035</w:t>
            </w:r>
          </w:p>
        </w:tc>
        <w:tc>
          <w:tcPr>
            <w:tcW w:w="1084" w:type="dxa"/>
          </w:tcPr>
          <w:p w14:paraId="58B87B9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48,304</w:t>
            </w:r>
          </w:p>
        </w:tc>
        <w:tc>
          <w:tcPr>
            <w:tcW w:w="1084" w:type="dxa"/>
          </w:tcPr>
          <w:p w14:paraId="386AB48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52,956</w:t>
            </w:r>
          </w:p>
        </w:tc>
        <w:tc>
          <w:tcPr>
            <w:tcW w:w="951" w:type="dxa"/>
            <w:shd w:val="clear" w:color="auto" w:fill="0070C0"/>
          </w:tcPr>
          <w:p w14:paraId="709CD3B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4B722B08"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75E9A3CD"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049572CE"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2371906E" w14:textId="77777777" w:rsidR="00DD74A5" w:rsidRDefault="00000000">
            <w:pPr>
              <w:jc w:val="center"/>
              <w:rPr>
                <w:rFonts w:ascii="Arial" w:hAnsi="Arial" w:cs="Arial"/>
                <w:b w:val="0"/>
                <w:bCs w:val="0"/>
                <w:lang w:val="en-AU"/>
              </w:rPr>
            </w:pPr>
            <w:r>
              <w:rPr>
                <w:rFonts w:ascii="Arial" w:hAnsi="Arial" w:cs="Arial"/>
                <w:lang w:val="en-AU"/>
              </w:rPr>
              <w:t>Taxes</w:t>
            </w:r>
          </w:p>
        </w:tc>
        <w:tc>
          <w:tcPr>
            <w:tcW w:w="1034" w:type="dxa"/>
          </w:tcPr>
          <w:p w14:paraId="56BE98D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5,416</w:t>
            </w:r>
          </w:p>
        </w:tc>
        <w:tc>
          <w:tcPr>
            <w:tcW w:w="1084" w:type="dxa"/>
          </w:tcPr>
          <w:p w14:paraId="68FA318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7,306</w:t>
            </w:r>
          </w:p>
        </w:tc>
        <w:tc>
          <w:tcPr>
            <w:tcW w:w="1084" w:type="dxa"/>
          </w:tcPr>
          <w:p w14:paraId="614A84B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8,025</w:t>
            </w:r>
          </w:p>
        </w:tc>
        <w:tc>
          <w:tcPr>
            <w:tcW w:w="1084" w:type="dxa"/>
          </w:tcPr>
          <w:p w14:paraId="02D36D8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8,807</w:t>
            </w:r>
          </w:p>
        </w:tc>
        <w:tc>
          <w:tcPr>
            <w:tcW w:w="1084" w:type="dxa"/>
          </w:tcPr>
          <w:p w14:paraId="041D9B3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9,661</w:t>
            </w:r>
          </w:p>
        </w:tc>
        <w:tc>
          <w:tcPr>
            <w:tcW w:w="1084" w:type="dxa"/>
          </w:tcPr>
          <w:p w14:paraId="7ED8C8F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10,591</w:t>
            </w:r>
          </w:p>
        </w:tc>
        <w:tc>
          <w:tcPr>
            <w:tcW w:w="951" w:type="dxa"/>
            <w:shd w:val="clear" w:color="auto" w:fill="0070C0"/>
          </w:tcPr>
          <w:p w14:paraId="5DA3058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21878E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0FE2A30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1416EBFC"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7461F6D7" w14:textId="77777777" w:rsidR="00DD74A5" w:rsidRDefault="00000000">
            <w:pPr>
              <w:jc w:val="center"/>
              <w:rPr>
                <w:rFonts w:ascii="Arial" w:hAnsi="Arial" w:cs="Arial"/>
                <w:b w:val="0"/>
                <w:bCs w:val="0"/>
                <w:lang w:val="en-AU"/>
              </w:rPr>
            </w:pPr>
            <w:r>
              <w:rPr>
                <w:rFonts w:ascii="Arial" w:hAnsi="Arial" w:cs="Arial"/>
                <w:lang w:val="en-AU"/>
              </w:rPr>
              <w:t>Unlevered Net Income</w:t>
            </w:r>
          </w:p>
        </w:tc>
        <w:tc>
          <w:tcPr>
            <w:tcW w:w="1034" w:type="dxa"/>
          </w:tcPr>
          <w:p w14:paraId="6D47842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30,418</w:t>
            </w:r>
          </w:p>
        </w:tc>
        <w:tc>
          <w:tcPr>
            <w:tcW w:w="1084" w:type="dxa"/>
          </w:tcPr>
          <w:p w14:paraId="6BA685B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29,445</w:t>
            </w:r>
          </w:p>
        </w:tc>
        <w:tc>
          <w:tcPr>
            <w:tcW w:w="1084" w:type="dxa"/>
          </w:tcPr>
          <w:p w14:paraId="6E65AA4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32,299</w:t>
            </w:r>
          </w:p>
        </w:tc>
        <w:tc>
          <w:tcPr>
            <w:tcW w:w="1084" w:type="dxa"/>
          </w:tcPr>
          <w:p w14:paraId="4D435BE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35,396</w:t>
            </w:r>
          </w:p>
        </w:tc>
        <w:tc>
          <w:tcPr>
            <w:tcW w:w="1084" w:type="dxa"/>
          </w:tcPr>
          <w:p w14:paraId="2C29D0F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38,768</w:t>
            </w:r>
          </w:p>
        </w:tc>
        <w:tc>
          <w:tcPr>
            <w:tcW w:w="1084" w:type="dxa"/>
          </w:tcPr>
          <w:p w14:paraId="5B41521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42,394</w:t>
            </w:r>
          </w:p>
        </w:tc>
        <w:tc>
          <w:tcPr>
            <w:tcW w:w="951" w:type="dxa"/>
            <w:shd w:val="clear" w:color="auto" w:fill="0070C0"/>
          </w:tcPr>
          <w:p w14:paraId="73F814F3"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0F48962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6EB4406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7FFF4338"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4E67EA1A" w14:textId="77777777" w:rsidR="00DD74A5" w:rsidRDefault="00000000">
            <w:pPr>
              <w:rPr>
                <w:rFonts w:ascii="Arial" w:hAnsi="Arial" w:cs="Arial"/>
                <w:b w:val="0"/>
                <w:bCs w:val="0"/>
                <w:lang w:val="en-AU"/>
              </w:rPr>
            </w:pPr>
            <w:r>
              <w:rPr>
                <w:rFonts w:ascii="Arial" w:hAnsi="Arial" w:cs="Arial"/>
                <w:lang w:val="en-AU"/>
              </w:rPr>
              <w:t>+ Depreciation</w:t>
            </w:r>
          </w:p>
        </w:tc>
        <w:tc>
          <w:tcPr>
            <w:tcW w:w="1034" w:type="dxa"/>
          </w:tcPr>
          <w:p w14:paraId="038CD33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2,247</w:t>
            </w:r>
          </w:p>
        </w:tc>
        <w:tc>
          <w:tcPr>
            <w:tcW w:w="1084" w:type="dxa"/>
          </w:tcPr>
          <w:p w14:paraId="4C8EE04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2,800</w:t>
            </w:r>
          </w:p>
        </w:tc>
        <w:tc>
          <w:tcPr>
            <w:tcW w:w="1084" w:type="dxa"/>
          </w:tcPr>
          <w:p w14:paraId="203F101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2,950</w:t>
            </w:r>
          </w:p>
        </w:tc>
        <w:tc>
          <w:tcPr>
            <w:tcW w:w="1084" w:type="dxa"/>
          </w:tcPr>
          <w:p w14:paraId="2E57EA7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3,100</w:t>
            </w:r>
          </w:p>
        </w:tc>
        <w:tc>
          <w:tcPr>
            <w:tcW w:w="1084" w:type="dxa"/>
          </w:tcPr>
          <w:p w14:paraId="7DCB8B7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3,250</w:t>
            </w:r>
          </w:p>
        </w:tc>
        <w:tc>
          <w:tcPr>
            <w:tcW w:w="1084" w:type="dxa"/>
          </w:tcPr>
          <w:p w14:paraId="04B2F83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3,400</w:t>
            </w:r>
          </w:p>
        </w:tc>
        <w:tc>
          <w:tcPr>
            <w:tcW w:w="951" w:type="dxa"/>
            <w:shd w:val="clear" w:color="auto" w:fill="0070C0"/>
          </w:tcPr>
          <w:p w14:paraId="60E99D5D"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7D46DFE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2307DEE9"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7E26E650"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7EC2AC7B" w14:textId="77777777" w:rsidR="00DD74A5" w:rsidRDefault="00000000">
            <w:pPr>
              <w:jc w:val="center"/>
              <w:rPr>
                <w:rFonts w:ascii="Arial" w:hAnsi="Arial" w:cs="Arial"/>
                <w:b w:val="0"/>
                <w:bCs w:val="0"/>
                <w:lang w:val="en-AU"/>
              </w:rPr>
            </w:pPr>
            <w:r>
              <w:rPr>
                <w:rFonts w:ascii="Arial" w:hAnsi="Arial" w:cs="Arial"/>
                <w:lang w:val="en-AU"/>
              </w:rPr>
              <w:t xml:space="preserve">- </w:t>
            </w:r>
            <w:r>
              <w:rPr>
                <w:rFonts w:ascii="Arial" w:hAnsi="Arial" w:cs="Arial"/>
              </w:rPr>
              <w:t>Δ</w:t>
            </w:r>
            <w:r>
              <w:rPr>
                <w:rFonts w:ascii="Arial" w:hAnsi="Arial" w:cs="Arial"/>
                <w:lang w:val="en-AU"/>
              </w:rPr>
              <w:t>NWC</w:t>
            </w:r>
          </w:p>
        </w:tc>
        <w:tc>
          <w:tcPr>
            <w:tcW w:w="1034" w:type="dxa"/>
          </w:tcPr>
          <w:p w14:paraId="0D5FF58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1,048</w:t>
            </w:r>
          </w:p>
        </w:tc>
        <w:tc>
          <w:tcPr>
            <w:tcW w:w="1084" w:type="dxa"/>
          </w:tcPr>
          <w:p w14:paraId="355B05D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254</w:t>
            </w:r>
          </w:p>
        </w:tc>
        <w:tc>
          <w:tcPr>
            <w:tcW w:w="1084" w:type="dxa"/>
          </w:tcPr>
          <w:p w14:paraId="7FFC2C7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162</w:t>
            </w:r>
          </w:p>
        </w:tc>
        <w:tc>
          <w:tcPr>
            <w:tcW w:w="1084" w:type="dxa"/>
          </w:tcPr>
          <w:p w14:paraId="084210B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173</w:t>
            </w:r>
          </w:p>
        </w:tc>
        <w:tc>
          <w:tcPr>
            <w:tcW w:w="1084" w:type="dxa"/>
          </w:tcPr>
          <w:p w14:paraId="69882DB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185</w:t>
            </w:r>
          </w:p>
        </w:tc>
        <w:tc>
          <w:tcPr>
            <w:tcW w:w="1084" w:type="dxa"/>
          </w:tcPr>
          <w:p w14:paraId="284DF11D" w14:textId="77777777" w:rsidR="00DD74A5"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kern w:val="0"/>
                <w:szCs w:val="24"/>
                <w:lang w:bidi="ar-SA"/>
                <w14:ligatures w14:val="none"/>
              </w:rPr>
            </w:pPr>
            <w:r>
              <w:rPr>
                <w:rStyle w:val="Strong"/>
                <w:rFonts w:ascii="Arial" w:hAnsi="Arial" w:cs="Arial"/>
                <w:b w:val="0"/>
                <w:bCs w:val="0"/>
              </w:rPr>
              <w:t>198</w:t>
            </w:r>
          </w:p>
          <w:p w14:paraId="5127AB25"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79DD7A7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40B000C5"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3B1A61CE"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24FF148E"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355E7A08" w14:textId="77777777" w:rsidR="00DD74A5" w:rsidRDefault="00000000">
            <w:pPr>
              <w:jc w:val="center"/>
              <w:rPr>
                <w:rFonts w:ascii="Arial" w:hAnsi="Arial" w:cs="Arial"/>
                <w:b w:val="0"/>
                <w:bCs w:val="0"/>
                <w:lang w:val="en-AU"/>
              </w:rPr>
            </w:pPr>
            <w:r>
              <w:rPr>
                <w:rFonts w:ascii="Arial" w:hAnsi="Arial" w:cs="Arial"/>
                <w:lang w:val="en-AU"/>
              </w:rPr>
              <w:t xml:space="preserve">- </w:t>
            </w:r>
            <w:proofErr w:type="spellStart"/>
            <w:r>
              <w:rPr>
                <w:rFonts w:ascii="Arial" w:hAnsi="Arial" w:cs="Arial"/>
                <w:lang w:val="en-AU"/>
              </w:rPr>
              <w:t>CapEx</w:t>
            </w:r>
            <w:proofErr w:type="spellEnd"/>
          </w:p>
        </w:tc>
        <w:tc>
          <w:tcPr>
            <w:tcW w:w="1034" w:type="dxa"/>
          </w:tcPr>
          <w:p w14:paraId="047C5F3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2,052</w:t>
            </w:r>
          </w:p>
        </w:tc>
        <w:tc>
          <w:tcPr>
            <w:tcW w:w="1084" w:type="dxa"/>
          </w:tcPr>
          <w:p w14:paraId="325CD64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2,650</w:t>
            </w:r>
          </w:p>
        </w:tc>
        <w:tc>
          <w:tcPr>
            <w:tcW w:w="1084" w:type="dxa"/>
          </w:tcPr>
          <w:p w14:paraId="2E956F2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2,836</w:t>
            </w:r>
          </w:p>
        </w:tc>
        <w:tc>
          <w:tcPr>
            <w:tcW w:w="1084" w:type="dxa"/>
          </w:tcPr>
          <w:p w14:paraId="35D72E8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3,034</w:t>
            </w:r>
          </w:p>
        </w:tc>
        <w:tc>
          <w:tcPr>
            <w:tcW w:w="1084" w:type="dxa"/>
          </w:tcPr>
          <w:p w14:paraId="1B218DD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3,298</w:t>
            </w:r>
          </w:p>
        </w:tc>
        <w:tc>
          <w:tcPr>
            <w:tcW w:w="1084" w:type="dxa"/>
          </w:tcPr>
          <w:p w14:paraId="714B814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3,474</w:t>
            </w:r>
          </w:p>
        </w:tc>
        <w:tc>
          <w:tcPr>
            <w:tcW w:w="951" w:type="dxa"/>
            <w:shd w:val="clear" w:color="auto" w:fill="0070C0"/>
          </w:tcPr>
          <w:p w14:paraId="78AAF9D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23EF1B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53CAC547"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3687AED4"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68C4444E" w14:textId="77777777" w:rsidR="00DD74A5" w:rsidRDefault="00000000">
            <w:pPr>
              <w:jc w:val="center"/>
              <w:rPr>
                <w:rFonts w:ascii="Arial" w:hAnsi="Arial" w:cs="Arial"/>
                <w:b w:val="0"/>
                <w:bCs w:val="0"/>
                <w:lang w:val="en-AU"/>
              </w:rPr>
            </w:pPr>
            <w:r>
              <w:rPr>
                <w:rFonts w:ascii="Arial" w:hAnsi="Arial" w:cs="Arial"/>
                <w:lang w:val="en-AU"/>
              </w:rPr>
              <w:t>Free Cash Flow</w:t>
            </w:r>
          </w:p>
        </w:tc>
        <w:tc>
          <w:tcPr>
            <w:tcW w:w="1034" w:type="dxa"/>
          </w:tcPr>
          <w:p w14:paraId="4C7D516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29,565</w:t>
            </w:r>
          </w:p>
        </w:tc>
        <w:tc>
          <w:tcPr>
            <w:tcW w:w="1084" w:type="dxa"/>
          </w:tcPr>
          <w:p w14:paraId="7EA9D4C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w:t>
            </w:r>
            <w:r>
              <w:rPr>
                <w:rFonts w:ascii="Arial" w:hAnsi="Arial" w:cs="Arial"/>
              </w:rPr>
              <w:t>9,065</w:t>
            </w:r>
          </w:p>
        </w:tc>
        <w:tc>
          <w:tcPr>
            <w:tcW w:w="1084" w:type="dxa"/>
          </w:tcPr>
          <w:p w14:paraId="5454E51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32,002</w:t>
            </w:r>
          </w:p>
        </w:tc>
        <w:tc>
          <w:tcPr>
            <w:tcW w:w="1084" w:type="dxa"/>
          </w:tcPr>
          <w:p w14:paraId="57E61E9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35,079</w:t>
            </w:r>
          </w:p>
        </w:tc>
        <w:tc>
          <w:tcPr>
            <w:tcW w:w="1084" w:type="dxa"/>
          </w:tcPr>
          <w:p w14:paraId="3230624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38,428</w:t>
            </w:r>
          </w:p>
        </w:tc>
        <w:tc>
          <w:tcPr>
            <w:tcW w:w="1084" w:type="dxa"/>
          </w:tcPr>
          <w:p w14:paraId="0536BBA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42,030</w:t>
            </w:r>
          </w:p>
        </w:tc>
        <w:tc>
          <w:tcPr>
            <w:tcW w:w="951" w:type="dxa"/>
          </w:tcPr>
          <w:p w14:paraId="1FC8925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42,660</w:t>
            </w:r>
          </w:p>
        </w:tc>
        <w:tc>
          <w:tcPr>
            <w:tcW w:w="951" w:type="dxa"/>
          </w:tcPr>
          <w:p w14:paraId="6CA2C35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43,087</w:t>
            </w:r>
          </w:p>
        </w:tc>
        <w:tc>
          <w:tcPr>
            <w:tcW w:w="1256" w:type="dxa"/>
          </w:tcPr>
          <w:p w14:paraId="3B2C88C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673,651</w:t>
            </w:r>
          </w:p>
        </w:tc>
      </w:tr>
      <w:tr w:rsidR="00DD74A5" w14:paraId="0DF378F1"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0E4ADCE0" w14:textId="77777777" w:rsidR="00DD74A5" w:rsidRDefault="00000000">
            <w:pPr>
              <w:jc w:val="center"/>
              <w:rPr>
                <w:rFonts w:ascii="Arial" w:hAnsi="Arial" w:cs="Arial"/>
                <w:b w:val="0"/>
                <w:bCs w:val="0"/>
                <w:lang w:val="en-AU"/>
              </w:rPr>
            </w:pPr>
            <w:r>
              <w:rPr>
                <w:rFonts w:ascii="Arial" w:hAnsi="Arial" w:cs="Arial"/>
                <w:lang w:val="en-AU"/>
              </w:rPr>
              <w:t>WACC (r)</w:t>
            </w:r>
          </w:p>
        </w:tc>
        <w:tc>
          <w:tcPr>
            <w:tcW w:w="1034" w:type="dxa"/>
          </w:tcPr>
          <w:p w14:paraId="6908396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c>
          <w:tcPr>
            <w:tcW w:w="1084" w:type="dxa"/>
          </w:tcPr>
          <w:p w14:paraId="7B8E9E1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c>
          <w:tcPr>
            <w:tcW w:w="1084" w:type="dxa"/>
          </w:tcPr>
          <w:p w14:paraId="2955019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c>
          <w:tcPr>
            <w:tcW w:w="1084" w:type="dxa"/>
          </w:tcPr>
          <w:p w14:paraId="3D2A370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c>
          <w:tcPr>
            <w:tcW w:w="1084" w:type="dxa"/>
          </w:tcPr>
          <w:p w14:paraId="178EAE9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c>
          <w:tcPr>
            <w:tcW w:w="1084" w:type="dxa"/>
          </w:tcPr>
          <w:p w14:paraId="57CD7C0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c>
          <w:tcPr>
            <w:tcW w:w="951" w:type="dxa"/>
          </w:tcPr>
          <w:p w14:paraId="011CCF5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c>
          <w:tcPr>
            <w:tcW w:w="951" w:type="dxa"/>
          </w:tcPr>
          <w:p w14:paraId="494B4DE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c>
          <w:tcPr>
            <w:tcW w:w="1256" w:type="dxa"/>
          </w:tcPr>
          <w:p w14:paraId="68F8056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7.46%</w:t>
            </w:r>
          </w:p>
        </w:tc>
      </w:tr>
      <w:tr w:rsidR="00DD74A5" w14:paraId="3547DCCB"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0735E16" w14:textId="77777777" w:rsidR="00DD74A5" w:rsidRDefault="00000000">
            <w:pPr>
              <w:jc w:val="center"/>
              <w:rPr>
                <w:rFonts w:ascii="Arial" w:hAnsi="Arial" w:cs="Arial"/>
                <w:b w:val="0"/>
                <w:bCs w:val="0"/>
                <w:lang w:val="en-AU"/>
              </w:rPr>
            </w:pPr>
            <w:r>
              <w:rPr>
                <w:rFonts w:ascii="Arial" w:hAnsi="Arial" w:cs="Arial"/>
                <w:lang w:val="en-AU"/>
              </w:rPr>
              <w:t>PV of FCF</w:t>
            </w:r>
          </w:p>
        </w:tc>
        <w:tc>
          <w:tcPr>
            <w:tcW w:w="1034" w:type="dxa"/>
          </w:tcPr>
          <w:p w14:paraId="74ED561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29,565</w:t>
            </w:r>
          </w:p>
        </w:tc>
        <w:tc>
          <w:tcPr>
            <w:tcW w:w="1084" w:type="dxa"/>
          </w:tcPr>
          <w:p w14:paraId="500CCA5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r>
              <w:rPr>
                <w:rFonts w:ascii="Arial" w:hAnsi="Arial" w:cs="Arial"/>
              </w:rPr>
              <w:t>27,047</w:t>
            </w:r>
          </w:p>
          <w:p w14:paraId="15BB033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4A5" w14:paraId="670B9609" w14:textId="77777777">
              <w:trPr>
                <w:tblCellSpacing w:w="15" w:type="dxa"/>
              </w:trPr>
              <w:tc>
                <w:tcPr>
                  <w:tcW w:w="0" w:type="auto"/>
                  <w:vAlign w:val="center"/>
                </w:tcPr>
                <w:p w14:paraId="4276EA69" w14:textId="77777777" w:rsidR="00DD74A5" w:rsidRDefault="00DD74A5">
                  <w:pPr>
                    <w:jc w:val="center"/>
                    <w:rPr>
                      <w:rFonts w:ascii="Arial" w:hAnsi="Arial" w:cs="Arial"/>
                    </w:rPr>
                  </w:pPr>
                </w:p>
              </w:tc>
            </w:tr>
          </w:tbl>
          <w:p w14:paraId="4287B395"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DD74A5" w14:paraId="2717EE40" w14:textId="77777777">
              <w:trPr>
                <w:tblCellSpacing w:w="15" w:type="dxa"/>
              </w:trPr>
              <w:tc>
                <w:tcPr>
                  <w:tcW w:w="0" w:type="auto"/>
                  <w:vAlign w:val="center"/>
                </w:tcPr>
                <w:p w14:paraId="6B012C93" w14:textId="77777777" w:rsidR="00DD74A5" w:rsidRDefault="00000000">
                  <w:pPr>
                    <w:jc w:val="both"/>
                    <w:rPr>
                      <w:rFonts w:ascii="Arial" w:hAnsi="Arial" w:cs="Arial"/>
                    </w:rPr>
                  </w:pPr>
                  <w:r>
                    <w:rPr>
                      <w:rFonts w:ascii="Arial" w:hAnsi="Arial" w:cs="Arial"/>
                    </w:rPr>
                    <w:t>27,713</w:t>
                  </w:r>
                </w:p>
              </w:tc>
            </w:tr>
          </w:tbl>
          <w:p w14:paraId="5C1BE7D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p w14:paraId="3599EDB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28,269</w:t>
            </w:r>
          </w:p>
        </w:tc>
        <w:tc>
          <w:tcPr>
            <w:tcW w:w="1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DD74A5" w14:paraId="1C32D914" w14:textId="77777777">
              <w:trPr>
                <w:tblCellSpacing w:w="15" w:type="dxa"/>
              </w:trPr>
              <w:tc>
                <w:tcPr>
                  <w:tcW w:w="0" w:type="auto"/>
                  <w:vAlign w:val="center"/>
                </w:tcPr>
                <w:p w14:paraId="6D421BD6" w14:textId="77777777" w:rsidR="00DD74A5" w:rsidRDefault="00000000">
                  <w:pPr>
                    <w:jc w:val="center"/>
                    <w:rPr>
                      <w:rFonts w:ascii="Arial" w:hAnsi="Arial" w:cs="Arial"/>
                    </w:rPr>
                  </w:pPr>
                  <w:r>
                    <w:rPr>
                      <w:rFonts w:ascii="Arial" w:hAnsi="Arial" w:cs="Arial"/>
                    </w:rPr>
                    <w:t>28,818</w:t>
                  </w:r>
                </w:p>
              </w:tc>
            </w:tr>
          </w:tbl>
          <w:p w14:paraId="65BEA32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4A5" w14:paraId="0811CB0A" w14:textId="77777777">
              <w:trPr>
                <w:tblCellSpacing w:w="15" w:type="dxa"/>
              </w:trPr>
              <w:tc>
                <w:tcPr>
                  <w:tcW w:w="0" w:type="auto"/>
                  <w:vAlign w:val="center"/>
                </w:tcPr>
                <w:p w14:paraId="5D86665C" w14:textId="77777777" w:rsidR="00DD74A5" w:rsidRDefault="00DD74A5">
                  <w:pPr>
                    <w:jc w:val="center"/>
                    <w:rPr>
                      <w:rFonts w:ascii="Arial" w:hAnsi="Arial" w:cs="Arial"/>
                    </w:rPr>
                  </w:pPr>
                </w:p>
              </w:tc>
            </w:tr>
          </w:tbl>
          <w:p w14:paraId="2DA6FC8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p w14:paraId="7A327BD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29,331</w:t>
            </w:r>
          </w:p>
        </w:tc>
        <w:tc>
          <w:tcPr>
            <w:tcW w:w="951" w:type="dxa"/>
          </w:tcPr>
          <w:p w14:paraId="7DC6CFA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27,704</w:t>
            </w:r>
          </w:p>
        </w:tc>
        <w:tc>
          <w:tcPr>
            <w:tcW w:w="951" w:type="dxa"/>
          </w:tcPr>
          <w:p w14:paraId="4F19625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w:t>
            </w:r>
            <w:r>
              <w:rPr>
                <w:rFonts w:ascii="Arial" w:hAnsi="Arial" w:cs="Arial"/>
                <w:lang w:val="en-AU"/>
              </w:rPr>
              <w:t>6,039</w:t>
            </w:r>
          </w:p>
        </w:tc>
        <w:tc>
          <w:tcPr>
            <w:tcW w:w="1256" w:type="dxa"/>
          </w:tcPr>
          <w:p w14:paraId="1BDE2BE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407,106</w:t>
            </w:r>
          </w:p>
        </w:tc>
      </w:tr>
      <w:tr w:rsidR="00DD74A5" w14:paraId="357C59DB"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20EE2C58" w14:textId="77777777" w:rsidR="00DD74A5" w:rsidRDefault="00000000">
            <w:pPr>
              <w:jc w:val="center"/>
              <w:rPr>
                <w:rFonts w:ascii="Arial" w:hAnsi="Arial" w:cs="Arial"/>
                <w:b w:val="0"/>
                <w:bCs w:val="0"/>
                <w:lang w:val="en-AU"/>
              </w:rPr>
            </w:pPr>
            <w:r>
              <w:rPr>
                <w:rFonts w:ascii="Arial" w:hAnsi="Arial" w:cs="Arial"/>
                <w:lang w:val="en-AU"/>
              </w:rPr>
              <w:t>Total NPV</w:t>
            </w:r>
          </w:p>
        </w:tc>
        <w:tc>
          <w:tcPr>
            <w:tcW w:w="1034" w:type="dxa"/>
          </w:tcPr>
          <w:p w14:paraId="6C27E23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631,592</w:t>
            </w:r>
          </w:p>
        </w:tc>
        <w:tc>
          <w:tcPr>
            <w:tcW w:w="1084" w:type="dxa"/>
            <w:shd w:val="clear" w:color="auto" w:fill="45B0E1" w:themeFill="accent1" w:themeFillTint="99"/>
          </w:tcPr>
          <w:p w14:paraId="511E454D"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1155756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1686203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328E235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11ED854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45B0E1" w:themeFill="accent1" w:themeFillTint="99"/>
          </w:tcPr>
          <w:p w14:paraId="601F177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45B0E1" w:themeFill="accent1" w:themeFillTint="99"/>
          </w:tcPr>
          <w:p w14:paraId="23D3F0D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45B0E1" w:themeFill="accent1" w:themeFillTint="99"/>
          </w:tcPr>
          <w:p w14:paraId="14CA71CC"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bl>
    <w:p w14:paraId="7E8FE99E" w14:textId="77777777" w:rsidR="00DD74A5" w:rsidRDefault="00DD74A5">
      <w:pPr>
        <w:rPr>
          <w:rFonts w:ascii="Arial" w:hAnsi="Arial" w:cs="Arial"/>
          <w:lang w:val="en-AU"/>
        </w:rPr>
      </w:pPr>
    </w:p>
    <w:p w14:paraId="7202420A" w14:textId="77777777" w:rsidR="00DD74A5" w:rsidRDefault="00DD74A5">
      <w:pPr>
        <w:rPr>
          <w:rFonts w:ascii="Arial" w:hAnsi="Arial" w:cs="Arial"/>
          <w:b/>
          <w:bCs/>
          <w:lang w:val="en-AU"/>
        </w:rPr>
      </w:pPr>
    </w:p>
    <w:p w14:paraId="5BAC6C32" w14:textId="77777777" w:rsidR="00DD74A5" w:rsidRDefault="00DD74A5">
      <w:pPr>
        <w:rPr>
          <w:rFonts w:ascii="Arial" w:hAnsi="Arial" w:cs="Arial"/>
          <w:b/>
          <w:bCs/>
          <w:lang w:val="en-AU"/>
        </w:rPr>
      </w:pPr>
    </w:p>
    <w:p w14:paraId="00BFB008" w14:textId="77777777" w:rsidR="00DD74A5" w:rsidRDefault="00DD74A5">
      <w:pPr>
        <w:rPr>
          <w:rFonts w:ascii="Arial" w:hAnsi="Arial" w:cs="Arial"/>
          <w:b/>
          <w:bCs/>
          <w:lang w:val="en-AU"/>
        </w:rPr>
      </w:pPr>
    </w:p>
    <w:p w14:paraId="54D0CBAB" w14:textId="77777777" w:rsidR="00DD74A5" w:rsidRDefault="00DD74A5">
      <w:pPr>
        <w:rPr>
          <w:rFonts w:ascii="Arial" w:hAnsi="Arial" w:cs="Arial"/>
          <w:b/>
          <w:bCs/>
          <w:sz w:val="28"/>
          <w:szCs w:val="28"/>
          <w:lang w:val="en-AU"/>
        </w:rPr>
      </w:pPr>
    </w:p>
    <w:p w14:paraId="692231C4" w14:textId="77777777" w:rsidR="00DD74A5" w:rsidRDefault="00DD74A5">
      <w:pPr>
        <w:rPr>
          <w:rFonts w:ascii="Arial" w:hAnsi="Arial" w:cs="Arial"/>
          <w:b/>
          <w:bCs/>
          <w:sz w:val="28"/>
          <w:szCs w:val="28"/>
          <w:lang w:val="en-AU"/>
        </w:rPr>
      </w:pPr>
    </w:p>
    <w:p w14:paraId="5FDC1EEB" w14:textId="77777777" w:rsidR="00DD74A5" w:rsidRDefault="00000000">
      <w:pPr>
        <w:rPr>
          <w:rFonts w:ascii="Arial" w:hAnsi="Arial" w:cs="Arial"/>
          <w:b/>
          <w:bCs/>
          <w:sz w:val="28"/>
          <w:szCs w:val="28"/>
          <w:lang w:val="en-AU"/>
        </w:rPr>
      </w:pPr>
      <w:r>
        <w:rPr>
          <w:rFonts w:ascii="Arial" w:hAnsi="Arial" w:cs="Arial"/>
          <w:b/>
          <w:bCs/>
          <w:sz w:val="28"/>
          <w:szCs w:val="28"/>
          <w:lang w:val="en-AU"/>
        </w:rPr>
        <w:t xml:space="preserve">Appendix A-6: Sensitivity Analysis Worst Case (WACC +0.5%) </w:t>
      </w:r>
    </w:p>
    <w:p w14:paraId="1A9AFABC" w14:textId="77777777" w:rsidR="00DD74A5" w:rsidRDefault="00000000">
      <w:pPr>
        <w:rPr>
          <w:rFonts w:ascii="Arial" w:hAnsi="Arial" w:cs="Arial"/>
          <w:b/>
          <w:bCs/>
          <w:lang w:val="en-AU"/>
        </w:rPr>
      </w:pPr>
      <w:r>
        <w:rPr>
          <w:rFonts w:ascii="Arial" w:hAnsi="Arial" w:cs="Arial"/>
          <w:b/>
          <w:bCs/>
          <w:lang w:val="en-AU"/>
        </w:rPr>
        <w:t>[in RMB millions]</w:t>
      </w:r>
    </w:p>
    <w:tbl>
      <w:tblPr>
        <w:tblStyle w:val="GridTable4-Accent11"/>
        <w:tblW w:w="11597" w:type="dxa"/>
        <w:tblInd w:w="-1139" w:type="dxa"/>
        <w:tblLook w:val="04A0" w:firstRow="1" w:lastRow="0" w:firstColumn="1" w:lastColumn="0" w:noHBand="0" w:noVBand="1"/>
      </w:tblPr>
      <w:tblGrid>
        <w:gridCol w:w="1935"/>
        <w:gridCol w:w="1084"/>
        <w:gridCol w:w="1084"/>
        <w:gridCol w:w="1084"/>
        <w:gridCol w:w="1084"/>
        <w:gridCol w:w="1084"/>
        <w:gridCol w:w="1084"/>
        <w:gridCol w:w="951"/>
        <w:gridCol w:w="951"/>
        <w:gridCol w:w="1256"/>
      </w:tblGrid>
      <w:tr w:rsidR="00DD74A5" w14:paraId="656620F9" w14:textId="77777777" w:rsidTr="00DD7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4691BE36" w14:textId="77777777" w:rsidR="00DD74A5" w:rsidRDefault="00DD74A5">
            <w:pPr>
              <w:rPr>
                <w:rFonts w:ascii="Arial" w:hAnsi="Arial" w:cs="Arial"/>
                <w:b w:val="0"/>
                <w:bCs w:val="0"/>
                <w:lang w:val="en-AU"/>
              </w:rPr>
            </w:pPr>
          </w:p>
        </w:tc>
        <w:tc>
          <w:tcPr>
            <w:tcW w:w="1034" w:type="dxa"/>
          </w:tcPr>
          <w:p w14:paraId="603AF522"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2025A</w:t>
            </w:r>
          </w:p>
        </w:tc>
        <w:tc>
          <w:tcPr>
            <w:tcW w:w="1084" w:type="dxa"/>
          </w:tcPr>
          <w:p w14:paraId="50DAF92F"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2026E</w:t>
            </w:r>
          </w:p>
        </w:tc>
        <w:tc>
          <w:tcPr>
            <w:tcW w:w="1084" w:type="dxa"/>
          </w:tcPr>
          <w:p w14:paraId="7B966620"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2027E</w:t>
            </w:r>
          </w:p>
        </w:tc>
        <w:tc>
          <w:tcPr>
            <w:tcW w:w="1084" w:type="dxa"/>
          </w:tcPr>
          <w:p w14:paraId="53D8C299"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2028E</w:t>
            </w:r>
          </w:p>
        </w:tc>
        <w:tc>
          <w:tcPr>
            <w:tcW w:w="1084" w:type="dxa"/>
          </w:tcPr>
          <w:p w14:paraId="3DAE53DB"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2029E</w:t>
            </w:r>
          </w:p>
        </w:tc>
        <w:tc>
          <w:tcPr>
            <w:tcW w:w="1084" w:type="dxa"/>
          </w:tcPr>
          <w:p w14:paraId="63D3BE17"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2030E</w:t>
            </w:r>
          </w:p>
        </w:tc>
        <w:tc>
          <w:tcPr>
            <w:tcW w:w="951" w:type="dxa"/>
          </w:tcPr>
          <w:p w14:paraId="4D3067C6"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2031E</w:t>
            </w:r>
          </w:p>
        </w:tc>
        <w:tc>
          <w:tcPr>
            <w:tcW w:w="951" w:type="dxa"/>
          </w:tcPr>
          <w:p w14:paraId="5509F497"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AU"/>
              </w:rPr>
            </w:pPr>
            <w:r>
              <w:rPr>
                <w:rFonts w:ascii="Arial" w:hAnsi="Arial" w:cs="Arial"/>
                <w:lang w:val="en-AU"/>
              </w:rPr>
              <w:t>2032E</w:t>
            </w:r>
          </w:p>
        </w:tc>
        <w:tc>
          <w:tcPr>
            <w:tcW w:w="1256" w:type="dxa"/>
          </w:tcPr>
          <w:p w14:paraId="79F920A4" w14:textId="77777777" w:rsidR="00DD74A5"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Continue value</w:t>
            </w:r>
          </w:p>
        </w:tc>
      </w:tr>
      <w:tr w:rsidR="00DD74A5" w14:paraId="7DAE2C9E"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1A0BD1CB" w14:textId="77777777" w:rsidR="00DD74A5" w:rsidRDefault="00000000">
            <w:pPr>
              <w:jc w:val="center"/>
              <w:rPr>
                <w:rFonts w:ascii="Arial" w:hAnsi="Arial" w:cs="Arial"/>
                <w:b w:val="0"/>
                <w:bCs w:val="0"/>
                <w:lang w:val="en-AU"/>
              </w:rPr>
            </w:pPr>
            <w:r>
              <w:rPr>
                <w:rFonts w:ascii="Arial" w:hAnsi="Arial" w:cs="Arial"/>
                <w:lang w:val="en-AU"/>
              </w:rPr>
              <w:t>Revenue</w:t>
            </w:r>
          </w:p>
        </w:tc>
        <w:tc>
          <w:tcPr>
            <w:tcW w:w="1034" w:type="dxa"/>
          </w:tcPr>
          <w:p w14:paraId="527C0A5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112,625</w:t>
            </w:r>
          </w:p>
        </w:tc>
        <w:tc>
          <w:tcPr>
            <w:tcW w:w="1084" w:type="dxa"/>
          </w:tcPr>
          <w:p w14:paraId="7BA5DB9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126,530</w:t>
            </w:r>
          </w:p>
        </w:tc>
        <w:tc>
          <w:tcPr>
            <w:tcW w:w="1084" w:type="dxa"/>
          </w:tcPr>
          <w:p w14:paraId="24E6E35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135,387</w:t>
            </w:r>
          </w:p>
        </w:tc>
        <w:tc>
          <w:tcPr>
            <w:tcW w:w="1084" w:type="dxa"/>
          </w:tcPr>
          <w:p w14:paraId="48AD2BA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144,864</w:t>
            </w:r>
          </w:p>
        </w:tc>
        <w:tc>
          <w:tcPr>
            <w:tcW w:w="1084" w:type="dxa"/>
          </w:tcPr>
          <w:p w14:paraId="3670300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155,004</w:t>
            </w:r>
          </w:p>
        </w:tc>
        <w:tc>
          <w:tcPr>
            <w:tcW w:w="1084" w:type="dxa"/>
          </w:tcPr>
          <w:p w14:paraId="08EE991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165,854</w:t>
            </w:r>
          </w:p>
        </w:tc>
        <w:tc>
          <w:tcPr>
            <w:tcW w:w="951" w:type="dxa"/>
            <w:shd w:val="clear" w:color="auto" w:fill="0070C0"/>
          </w:tcPr>
          <w:p w14:paraId="4474C5F3"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951" w:type="dxa"/>
            <w:shd w:val="clear" w:color="auto" w:fill="0070C0"/>
          </w:tcPr>
          <w:p w14:paraId="4EDAE20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256" w:type="dxa"/>
            <w:shd w:val="clear" w:color="auto" w:fill="0070C0"/>
          </w:tcPr>
          <w:p w14:paraId="3E1D1B5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D74A5" w14:paraId="534E2343"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1DF2B810" w14:textId="77777777" w:rsidR="00DD74A5" w:rsidRDefault="00000000">
            <w:pPr>
              <w:jc w:val="center"/>
              <w:rPr>
                <w:rFonts w:ascii="Arial" w:hAnsi="Arial" w:cs="Arial"/>
                <w:b w:val="0"/>
                <w:bCs w:val="0"/>
                <w:lang w:val="en-AU"/>
              </w:rPr>
            </w:pPr>
            <w:r>
              <w:rPr>
                <w:rFonts w:ascii="Arial" w:hAnsi="Arial" w:cs="Arial"/>
                <w:lang w:val="en-AU"/>
              </w:rPr>
              <w:t>- Cost Of Goods Sold</w:t>
            </w:r>
          </w:p>
        </w:tc>
        <w:tc>
          <w:tcPr>
            <w:tcW w:w="1034" w:type="dxa"/>
          </w:tcPr>
          <w:p w14:paraId="038C11A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40,224</w:t>
            </w:r>
          </w:p>
        </w:tc>
        <w:tc>
          <w:tcPr>
            <w:tcW w:w="1084" w:type="dxa"/>
          </w:tcPr>
          <w:p w14:paraId="2F8E3DB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45,445</w:t>
            </w:r>
          </w:p>
        </w:tc>
        <w:tc>
          <w:tcPr>
            <w:tcW w:w="1084" w:type="dxa"/>
          </w:tcPr>
          <w:p w14:paraId="7EE152B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48,165</w:t>
            </w:r>
          </w:p>
        </w:tc>
        <w:tc>
          <w:tcPr>
            <w:tcW w:w="1084" w:type="dxa"/>
          </w:tcPr>
          <w:p w14:paraId="253019A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51,064</w:t>
            </w:r>
          </w:p>
        </w:tc>
        <w:tc>
          <w:tcPr>
            <w:tcW w:w="1084" w:type="dxa"/>
          </w:tcPr>
          <w:p w14:paraId="4154818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54,127</w:t>
            </w:r>
          </w:p>
        </w:tc>
        <w:tc>
          <w:tcPr>
            <w:tcW w:w="1084" w:type="dxa"/>
          </w:tcPr>
          <w:p w14:paraId="61F9961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57,374</w:t>
            </w:r>
          </w:p>
        </w:tc>
        <w:tc>
          <w:tcPr>
            <w:tcW w:w="951" w:type="dxa"/>
            <w:shd w:val="clear" w:color="auto" w:fill="0070C0"/>
          </w:tcPr>
          <w:p w14:paraId="3EFFFB33"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7D549D4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3221BCA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265536CF"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77AB92B5" w14:textId="77777777" w:rsidR="00DD74A5" w:rsidRDefault="00000000">
            <w:pPr>
              <w:jc w:val="center"/>
              <w:rPr>
                <w:rFonts w:ascii="Arial" w:hAnsi="Arial" w:cs="Arial"/>
                <w:b w:val="0"/>
                <w:bCs w:val="0"/>
                <w:lang w:val="en-AU"/>
              </w:rPr>
            </w:pPr>
            <w:r>
              <w:rPr>
                <w:rFonts w:ascii="Arial" w:hAnsi="Arial" w:cs="Arial"/>
                <w:lang w:val="en-AU"/>
              </w:rPr>
              <w:t>- Depreciation</w:t>
            </w:r>
          </w:p>
        </w:tc>
        <w:tc>
          <w:tcPr>
            <w:tcW w:w="1034" w:type="dxa"/>
          </w:tcPr>
          <w:p w14:paraId="0C28340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2,247</w:t>
            </w:r>
          </w:p>
        </w:tc>
        <w:tc>
          <w:tcPr>
            <w:tcW w:w="1084" w:type="dxa"/>
          </w:tcPr>
          <w:p w14:paraId="7D5F9C6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2,524</w:t>
            </w:r>
          </w:p>
        </w:tc>
        <w:tc>
          <w:tcPr>
            <w:tcW w:w="1084" w:type="dxa"/>
          </w:tcPr>
          <w:p w14:paraId="5800AC7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2,701</w:t>
            </w:r>
          </w:p>
        </w:tc>
        <w:tc>
          <w:tcPr>
            <w:tcW w:w="1084" w:type="dxa"/>
          </w:tcPr>
          <w:p w14:paraId="2CE4DA7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2,890</w:t>
            </w:r>
          </w:p>
        </w:tc>
        <w:tc>
          <w:tcPr>
            <w:tcW w:w="1084" w:type="dxa"/>
          </w:tcPr>
          <w:p w14:paraId="629D2E5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3,093</w:t>
            </w:r>
          </w:p>
        </w:tc>
        <w:tc>
          <w:tcPr>
            <w:tcW w:w="1084" w:type="dxa"/>
          </w:tcPr>
          <w:p w14:paraId="430895A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3,309</w:t>
            </w:r>
          </w:p>
        </w:tc>
        <w:tc>
          <w:tcPr>
            <w:tcW w:w="951" w:type="dxa"/>
            <w:shd w:val="clear" w:color="auto" w:fill="0070C0"/>
          </w:tcPr>
          <w:p w14:paraId="3B6208C7"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3AF77D5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4390D557"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0DFA9575"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2E2472A0" w14:textId="77777777" w:rsidR="00DD74A5" w:rsidRDefault="00000000">
            <w:pPr>
              <w:jc w:val="center"/>
              <w:rPr>
                <w:rFonts w:ascii="Arial" w:hAnsi="Arial" w:cs="Arial"/>
                <w:b w:val="0"/>
                <w:bCs w:val="0"/>
                <w:lang w:val="en-AU"/>
              </w:rPr>
            </w:pPr>
            <w:r>
              <w:rPr>
                <w:rFonts w:ascii="Arial" w:hAnsi="Arial" w:cs="Arial"/>
                <w:lang w:val="en-AU"/>
              </w:rPr>
              <w:t>- SGA</w:t>
            </w:r>
          </w:p>
        </w:tc>
        <w:tc>
          <w:tcPr>
            <w:tcW w:w="1034" w:type="dxa"/>
          </w:tcPr>
          <w:p w14:paraId="474E2C4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18,848</w:t>
            </w:r>
          </w:p>
        </w:tc>
        <w:tc>
          <w:tcPr>
            <w:tcW w:w="1084" w:type="dxa"/>
          </w:tcPr>
          <w:p w14:paraId="1D059CE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21,510</w:t>
            </w:r>
          </w:p>
        </w:tc>
        <w:tc>
          <w:tcPr>
            <w:tcW w:w="1084" w:type="dxa"/>
          </w:tcPr>
          <w:p w14:paraId="7B61F09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22,716</w:t>
            </w:r>
          </w:p>
        </w:tc>
        <w:tc>
          <w:tcPr>
            <w:tcW w:w="1084" w:type="dxa"/>
          </w:tcPr>
          <w:p w14:paraId="7758799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23,989</w:t>
            </w:r>
          </w:p>
        </w:tc>
        <w:tc>
          <w:tcPr>
            <w:tcW w:w="1084" w:type="dxa"/>
          </w:tcPr>
          <w:p w14:paraId="183CBB4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25,324</w:t>
            </w:r>
          </w:p>
        </w:tc>
        <w:tc>
          <w:tcPr>
            <w:tcW w:w="1084" w:type="dxa"/>
          </w:tcPr>
          <w:p w14:paraId="6CE908D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26,782</w:t>
            </w:r>
          </w:p>
        </w:tc>
        <w:tc>
          <w:tcPr>
            <w:tcW w:w="951" w:type="dxa"/>
            <w:shd w:val="clear" w:color="auto" w:fill="0070C0"/>
          </w:tcPr>
          <w:p w14:paraId="430480C9"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1ECD7BB5"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4C0F9CAE"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23FCDA01"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61445F9A" w14:textId="77777777" w:rsidR="00DD74A5" w:rsidRDefault="00000000">
            <w:pPr>
              <w:jc w:val="center"/>
              <w:rPr>
                <w:rFonts w:ascii="Arial" w:hAnsi="Arial" w:cs="Arial"/>
                <w:b w:val="0"/>
                <w:bCs w:val="0"/>
                <w:lang w:val="en-AU"/>
              </w:rPr>
            </w:pPr>
            <w:r>
              <w:rPr>
                <w:rFonts w:ascii="Arial" w:hAnsi="Arial" w:cs="Arial"/>
                <w:lang w:val="en-AU"/>
              </w:rPr>
              <w:t>- R&amp;D</w:t>
            </w:r>
          </w:p>
        </w:tc>
        <w:tc>
          <w:tcPr>
            <w:tcW w:w="1034" w:type="dxa"/>
          </w:tcPr>
          <w:p w14:paraId="1714765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17,719</w:t>
            </w:r>
          </w:p>
        </w:tc>
        <w:tc>
          <w:tcPr>
            <w:tcW w:w="1084" w:type="dxa"/>
          </w:tcPr>
          <w:p w14:paraId="070C572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20,245</w:t>
            </w:r>
          </w:p>
        </w:tc>
        <w:tc>
          <w:tcPr>
            <w:tcW w:w="1084" w:type="dxa"/>
          </w:tcPr>
          <w:p w14:paraId="7F771B9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21,431</w:t>
            </w:r>
          </w:p>
        </w:tc>
        <w:tc>
          <w:tcPr>
            <w:tcW w:w="1084" w:type="dxa"/>
          </w:tcPr>
          <w:p w14:paraId="176AA68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22,676</w:t>
            </w:r>
          </w:p>
        </w:tc>
        <w:tc>
          <w:tcPr>
            <w:tcW w:w="1084" w:type="dxa"/>
          </w:tcPr>
          <w:p w14:paraId="7183831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24,000</w:t>
            </w:r>
          </w:p>
        </w:tc>
        <w:tc>
          <w:tcPr>
            <w:tcW w:w="1084" w:type="dxa"/>
          </w:tcPr>
          <w:p w14:paraId="5D49522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25,396</w:t>
            </w:r>
          </w:p>
        </w:tc>
        <w:tc>
          <w:tcPr>
            <w:tcW w:w="951" w:type="dxa"/>
            <w:shd w:val="clear" w:color="auto" w:fill="0070C0"/>
          </w:tcPr>
          <w:p w14:paraId="60E1E74D"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5573713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48CAB7E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3E3B4E66"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364412BC" w14:textId="77777777" w:rsidR="00DD74A5" w:rsidRDefault="00000000">
            <w:pPr>
              <w:jc w:val="center"/>
              <w:rPr>
                <w:rFonts w:ascii="Arial" w:hAnsi="Arial" w:cs="Arial"/>
                <w:b w:val="0"/>
                <w:bCs w:val="0"/>
                <w:lang w:val="en-AU"/>
              </w:rPr>
            </w:pPr>
            <w:r>
              <w:rPr>
                <w:rFonts w:ascii="Arial" w:hAnsi="Arial" w:cs="Arial"/>
                <w:lang w:val="en-AU"/>
              </w:rPr>
              <w:t>EBIT</w:t>
            </w:r>
          </w:p>
        </w:tc>
        <w:tc>
          <w:tcPr>
            <w:tcW w:w="1034" w:type="dxa"/>
          </w:tcPr>
          <w:p w14:paraId="6C8F7CE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35,834</w:t>
            </w:r>
          </w:p>
        </w:tc>
        <w:tc>
          <w:tcPr>
            <w:tcW w:w="1084" w:type="dxa"/>
          </w:tcPr>
          <w:p w14:paraId="57B6A19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36,530</w:t>
            </w:r>
          </w:p>
        </w:tc>
        <w:tc>
          <w:tcPr>
            <w:tcW w:w="1084" w:type="dxa"/>
          </w:tcPr>
          <w:p w14:paraId="1463418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40,125</w:t>
            </w:r>
          </w:p>
        </w:tc>
        <w:tc>
          <w:tcPr>
            <w:tcW w:w="1084" w:type="dxa"/>
          </w:tcPr>
          <w:p w14:paraId="3ED5C00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44,035</w:t>
            </w:r>
          </w:p>
        </w:tc>
        <w:tc>
          <w:tcPr>
            <w:tcW w:w="1084" w:type="dxa"/>
          </w:tcPr>
          <w:p w14:paraId="2935445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48,304</w:t>
            </w:r>
          </w:p>
        </w:tc>
        <w:tc>
          <w:tcPr>
            <w:tcW w:w="1084" w:type="dxa"/>
          </w:tcPr>
          <w:p w14:paraId="7B8B3EA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52,956</w:t>
            </w:r>
          </w:p>
        </w:tc>
        <w:tc>
          <w:tcPr>
            <w:tcW w:w="951" w:type="dxa"/>
            <w:shd w:val="clear" w:color="auto" w:fill="0070C0"/>
          </w:tcPr>
          <w:p w14:paraId="27EF7B57"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295B7706"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34F1E06C"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1BAA910B"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043B7D9E" w14:textId="77777777" w:rsidR="00DD74A5" w:rsidRDefault="00000000">
            <w:pPr>
              <w:jc w:val="center"/>
              <w:rPr>
                <w:rFonts w:ascii="Arial" w:hAnsi="Arial" w:cs="Arial"/>
                <w:b w:val="0"/>
                <w:bCs w:val="0"/>
                <w:lang w:val="en-AU"/>
              </w:rPr>
            </w:pPr>
            <w:r>
              <w:rPr>
                <w:rFonts w:ascii="Arial" w:hAnsi="Arial" w:cs="Arial"/>
                <w:lang w:val="en-AU"/>
              </w:rPr>
              <w:t xml:space="preserve">Taxes </w:t>
            </w:r>
          </w:p>
        </w:tc>
        <w:tc>
          <w:tcPr>
            <w:tcW w:w="1034" w:type="dxa"/>
          </w:tcPr>
          <w:p w14:paraId="794ED2B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5,416</w:t>
            </w:r>
          </w:p>
        </w:tc>
        <w:tc>
          <w:tcPr>
            <w:tcW w:w="1084" w:type="dxa"/>
          </w:tcPr>
          <w:p w14:paraId="5FF698C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7,306</w:t>
            </w:r>
          </w:p>
        </w:tc>
        <w:tc>
          <w:tcPr>
            <w:tcW w:w="1084" w:type="dxa"/>
          </w:tcPr>
          <w:p w14:paraId="12503CD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8,025</w:t>
            </w:r>
          </w:p>
        </w:tc>
        <w:tc>
          <w:tcPr>
            <w:tcW w:w="1084" w:type="dxa"/>
          </w:tcPr>
          <w:p w14:paraId="2B3B24E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8,807</w:t>
            </w:r>
          </w:p>
        </w:tc>
        <w:tc>
          <w:tcPr>
            <w:tcW w:w="1084" w:type="dxa"/>
          </w:tcPr>
          <w:p w14:paraId="1703841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9,661</w:t>
            </w:r>
          </w:p>
        </w:tc>
        <w:tc>
          <w:tcPr>
            <w:tcW w:w="1084" w:type="dxa"/>
          </w:tcPr>
          <w:p w14:paraId="7CF0305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10,591</w:t>
            </w:r>
          </w:p>
        </w:tc>
        <w:tc>
          <w:tcPr>
            <w:tcW w:w="951" w:type="dxa"/>
            <w:shd w:val="clear" w:color="auto" w:fill="0070C0"/>
          </w:tcPr>
          <w:p w14:paraId="257B5159"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06EC91C9"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3CA1865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512BE936"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798B0EA3" w14:textId="77777777" w:rsidR="00DD74A5" w:rsidRDefault="00000000">
            <w:pPr>
              <w:jc w:val="center"/>
              <w:rPr>
                <w:rFonts w:ascii="Arial" w:hAnsi="Arial" w:cs="Arial"/>
                <w:b w:val="0"/>
                <w:bCs w:val="0"/>
                <w:lang w:val="en-AU"/>
              </w:rPr>
            </w:pPr>
            <w:r>
              <w:rPr>
                <w:rFonts w:ascii="Arial" w:hAnsi="Arial" w:cs="Arial"/>
                <w:lang w:val="en-AU"/>
              </w:rPr>
              <w:t>Unlevered Net Income</w:t>
            </w:r>
          </w:p>
        </w:tc>
        <w:tc>
          <w:tcPr>
            <w:tcW w:w="1034" w:type="dxa"/>
          </w:tcPr>
          <w:p w14:paraId="66BD738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30,418</w:t>
            </w:r>
          </w:p>
        </w:tc>
        <w:tc>
          <w:tcPr>
            <w:tcW w:w="1084" w:type="dxa"/>
          </w:tcPr>
          <w:p w14:paraId="0D060D0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29,445</w:t>
            </w:r>
          </w:p>
        </w:tc>
        <w:tc>
          <w:tcPr>
            <w:tcW w:w="1084" w:type="dxa"/>
          </w:tcPr>
          <w:p w14:paraId="3C2EE9F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32,299</w:t>
            </w:r>
          </w:p>
        </w:tc>
        <w:tc>
          <w:tcPr>
            <w:tcW w:w="1084" w:type="dxa"/>
          </w:tcPr>
          <w:p w14:paraId="6ED1639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35,396</w:t>
            </w:r>
          </w:p>
        </w:tc>
        <w:tc>
          <w:tcPr>
            <w:tcW w:w="1084" w:type="dxa"/>
          </w:tcPr>
          <w:p w14:paraId="71E69C0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38,768</w:t>
            </w:r>
          </w:p>
        </w:tc>
        <w:tc>
          <w:tcPr>
            <w:tcW w:w="1084" w:type="dxa"/>
          </w:tcPr>
          <w:p w14:paraId="36FCA24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42,394</w:t>
            </w:r>
          </w:p>
        </w:tc>
        <w:tc>
          <w:tcPr>
            <w:tcW w:w="951" w:type="dxa"/>
            <w:shd w:val="clear" w:color="auto" w:fill="0070C0"/>
          </w:tcPr>
          <w:p w14:paraId="14E9EFEF"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6DA6668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23B77C65"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425B37C2"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1C9E9124" w14:textId="77777777" w:rsidR="00DD74A5" w:rsidRDefault="00000000">
            <w:pPr>
              <w:jc w:val="center"/>
              <w:rPr>
                <w:rFonts w:ascii="Arial" w:hAnsi="Arial" w:cs="Arial"/>
                <w:b w:val="0"/>
                <w:bCs w:val="0"/>
                <w:lang w:val="en-AU"/>
              </w:rPr>
            </w:pPr>
            <w:r>
              <w:rPr>
                <w:rFonts w:ascii="Arial" w:hAnsi="Arial" w:cs="Arial"/>
                <w:lang w:val="en-AU"/>
              </w:rPr>
              <w:t>+ Depreciation</w:t>
            </w:r>
          </w:p>
        </w:tc>
        <w:tc>
          <w:tcPr>
            <w:tcW w:w="1034" w:type="dxa"/>
          </w:tcPr>
          <w:p w14:paraId="0A32C15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2,247</w:t>
            </w:r>
          </w:p>
        </w:tc>
        <w:tc>
          <w:tcPr>
            <w:tcW w:w="1084" w:type="dxa"/>
          </w:tcPr>
          <w:p w14:paraId="5830B18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2,800</w:t>
            </w:r>
          </w:p>
        </w:tc>
        <w:tc>
          <w:tcPr>
            <w:tcW w:w="1084" w:type="dxa"/>
          </w:tcPr>
          <w:p w14:paraId="5F16557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2,950</w:t>
            </w:r>
          </w:p>
        </w:tc>
        <w:tc>
          <w:tcPr>
            <w:tcW w:w="1084" w:type="dxa"/>
          </w:tcPr>
          <w:p w14:paraId="76DA7C0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3,100</w:t>
            </w:r>
          </w:p>
        </w:tc>
        <w:tc>
          <w:tcPr>
            <w:tcW w:w="1084" w:type="dxa"/>
          </w:tcPr>
          <w:p w14:paraId="36D49CF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3,250</w:t>
            </w:r>
          </w:p>
        </w:tc>
        <w:tc>
          <w:tcPr>
            <w:tcW w:w="1084" w:type="dxa"/>
          </w:tcPr>
          <w:p w14:paraId="15967EC8"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3,400</w:t>
            </w:r>
          </w:p>
        </w:tc>
        <w:tc>
          <w:tcPr>
            <w:tcW w:w="951" w:type="dxa"/>
            <w:shd w:val="clear" w:color="auto" w:fill="0070C0"/>
          </w:tcPr>
          <w:p w14:paraId="498A8A55"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62E9CA4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3E00DE4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1134697C"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4076E6A4" w14:textId="77777777" w:rsidR="00DD74A5" w:rsidRDefault="00000000">
            <w:pPr>
              <w:jc w:val="center"/>
              <w:rPr>
                <w:rFonts w:ascii="Arial" w:hAnsi="Arial" w:cs="Arial"/>
                <w:b w:val="0"/>
                <w:bCs w:val="0"/>
                <w:lang w:val="en-AU"/>
              </w:rPr>
            </w:pPr>
            <w:r>
              <w:rPr>
                <w:rFonts w:ascii="Arial" w:hAnsi="Arial" w:cs="Arial"/>
                <w:lang w:val="en-AU"/>
              </w:rPr>
              <w:t xml:space="preserve">- </w:t>
            </w:r>
            <w:r>
              <w:rPr>
                <w:rFonts w:ascii="Arial" w:hAnsi="Arial" w:cs="Arial"/>
              </w:rPr>
              <w:t>Δ</w:t>
            </w:r>
            <w:r>
              <w:rPr>
                <w:rFonts w:ascii="Arial" w:hAnsi="Arial" w:cs="Arial"/>
                <w:lang w:val="en-AU"/>
              </w:rPr>
              <w:t>NWC</w:t>
            </w:r>
          </w:p>
        </w:tc>
        <w:tc>
          <w:tcPr>
            <w:tcW w:w="1034" w:type="dxa"/>
          </w:tcPr>
          <w:p w14:paraId="2C7B014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1,048</w:t>
            </w:r>
          </w:p>
        </w:tc>
        <w:tc>
          <w:tcPr>
            <w:tcW w:w="1084" w:type="dxa"/>
          </w:tcPr>
          <w:p w14:paraId="05EC3F7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254</w:t>
            </w:r>
          </w:p>
        </w:tc>
        <w:tc>
          <w:tcPr>
            <w:tcW w:w="1084" w:type="dxa"/>
          </w:tcPr>
          <w:p w14:paraId="534B365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162</w:t>
            </w:r>
          </w:p>
        </w:tc>
        <w:tc>
          <w:tcPr>
            <w:tcW w:w="1084" w:type="dxa"/>
          </w:tcPr>
          <w:p w14:paraId="07712C8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173</w:t>
            </w:r>
          </w:p>
        </w:tc>
        <w:tc>
          <w:tcPr>
            <w:tcW w:w="1084" w:type="dxa"/>
          </w:tcPr>
          <w:p w14:paraId="1BC53CD6"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185</w:t>
            </w:r>
          </w:p>
        </w:tc>
        <w:tc>
          <w:tcPr>
            <w:tcW w:w="1084" w:type="dxa"/>
          </w:tcPr>
          <w:p w14:paraId="78BBADC3" w14:textId="77777777" w:rsidR="00DD74A5"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kern w:val="0"/>
                <w:szCs w:val="24"/>
                <w:lang w:bidi="ar-SA"/>
                <w14:ligatures w14:val="none"/>
              </w:rPr>
            </w:pPr>
            <w:r>
              <w:rPr>
                <w:rStyle w:val="Strong"/>
                <w:rFonts w:ascii="Arial" w:hAnsi="Arial" w:cs="Arial"/>
                <w:b w:val="0"/>
                <w:bCs w:val="0"/>
              </w:rPr>
              <w:t>198</w:t>
            </w:r>
          </w:p>
          <w:p w14:paraId="530611BE"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2AE38243"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75090ED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778A56E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253DDA6B"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22BF68E1" w14:textId="77777777" w:rsidR="00DD74A5" w:rsidRDefault="00000000">
            <w:pPr>
              <w:jc w:val="center"/>
              <w:rPr>
                <w:rFonts w:ascii="Arial" w:hAnsi="Arial" w:cs="Arial"/>
                <w:b w:val="0"/>
                <w:bCs w:val="0"/>
                <w:lang w:val="en-AU"/>
              </w:rPr>
            </w:pPr>
            <w:r>
              <w:rPr>
                <w:rFonts w:ascii="Arial" w:hAnsi="Arial" w:cs="Arial"/>
                <w:lang w:val="en-AU"/>
              </w:rPr>
              <w:t xml:space="preserve">- </w:t>
            </w:r>
            <w:proofErr w:type="spellStart"/>
            <w:r>
              <w:rPr>
                <w:rFonts w:ascii="Arial" w:hAnsi="Arial" w:cs="Arial"/>
                <w:lang w:val="en-AU"/>
              </w:rPr>
              <w:t>CapEx</w:t>
            </w:r>
            <w:proofErr w:type="spellEnd"/>
          </w:p>
        </w:tc>
        <w:tc>
          <w:tcPr>
            <w:tcW w:w="1034" w:type="dxa"/>
          </w:tcPr>
          <w:p w14:paraId="2427475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2,052</w:t>
            </w:r>
          </w:p>
        </w:tc>
        <w:tc>
          <w:tcPr>
            <w:tcW w:w="1084" w:type="dxa"/>
          </w:tcPr>
          <w:p w14:paraId="11E9D3D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2,650</w:t>
            </w:r>
          </w:p>
        </w:tc>
        <w:tc>
          <w:tcPr>
            <w:tcW w:w="1084" w:type="dxa"/>
          </w:tcPr>
          <w:p w14:paraId="5271A2A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2,836</w:t>
            </w:r>
          </w:p>
        </w:tc>
        <w:tc>
          <w:tcPr>
            <w:tcW w:w="1084" w:type="dxa"/>
          </w:tcPr>
          <w:p w14:paraId="6C797A3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3,034</w:t>
            </w:r>
          </w:p>
        </w:tc>
        <w:tc>
          <w:tcPr>
            <w:tcW w:w="1084" w:type="dxa"/>
          </w:tcPr>
          <w:p w14:paraId="0B528DD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3,298</w:t>
            </w:r>
          </w:p>
        </w:tc>
        <w:tc>
          <w:tcPr>
            <w:tcW w:w="1084" w:type="dxa"/>
          </w:tcPr>
          <w:p w14:paraId="791910C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3,474</w:t>
            </w:r>
          </w:p>
        </w:tc>
        <w:tc>
          <w:tcPr>
            <w:tcW w:w="951" w:type="dxa"/>
            <w:shd w:val="clear" w:color="auto" w:fill="0070C0"/>
          </w:tcPr>
          <w:p w14:paraId="51A4A22A"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0070C0"/>
          </w:tcPr>
          <w:p w14:paraId="33EE0E3C"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0070C0"/>
          </w:tcPr>
          <w:p w14:paraId="4EA4D9A1"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r w:rsidR="00DD74A5" w14:paraId="599E3356"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0F1080C" w14:textId="77777777" w:rsidR="00DD74A5" w:rsidRDefault="00000000">
            <w:pPr>
              <w:jc w:val="center"/>
              <w:rPr>
                <w:rFonts w:ascii="Arial" w:hAnsi="Arial" w:cs="Arial"/>
                <w:b w:val="0"/>
                <w:bCs w:val="0"/>
                <w:lang w:val="en-AU"/>
              </w:rPr>
            </w:pPr>
            <w:r>
              <w:rPr>
                <w:rFonts w:ascii="Arial" w:hAnsi="Arial" w:cs="Arial"/>
                <w:lang w:val="en-AU"/>
              </w:rPr>
              <w:t>Free Cash Flow</w:t>
            </w:r>
          </w:p>
        </w:tc>
        <w:tc>
          <w:tcPr>
            <w:tcW w:w="1034" w:type="dxa"/>
          </w:tcPr>
          <w:p w14:paraId="49CE91A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29,565</w:t>
            </w:r>
          </w:p>
        </w:tc>
        <w:tc>
          <w:tcPr>
            <w:tcW w:w="1084" w:type="dxa"/>
          </w:tcPr>
          <w:p w14:paraId="14B6464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w:t>
            </w:r>
            <w:r>
              <w:rPr>
                <w:rFonts w:ascii="Arial" w:hAnsi="Arial" w:cs="Arial"/>
              </w:rPr>
              <w:t>9,065</w:t>
            </w:r>
          </w:p>
        </w:tc>
        <w:tc>
          <w:tcPr>
            <w:tcW w:w="1084" w:type="dxa"/>
          </w:tcPr>
          <w:p w14:paraId="2FB1E0E3"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32,002</w:t>
            </w:r>
          </w:p>
        </w:tc>
        <w:tc>
          <w:tcPr>
            <w:tcW w:w="1084" w:type="dxa"/>
          </w:tcPr>
          <w:p w14:paraId="560D43EC"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35,079</w:t>
            </w:r>
          </w:p>
        </w:tc>
        <w:tc>
          <w:tcPr>
            <w:tcW w:w="1084" w:type="dxa"/>
          </w:tcPr>
          <w:p w14:paraId="55F39E4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38,428</w:t>
            </w:r>
          </w:p>
        </w:tc>
        <w:tc>
          <w:tcPr>
            <w:tcW w:w="1084" w:type="dxa"/>
          </w:tcPr>
          <w:p w14:paraId="7E0D13EA"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42,030</w:t>
            </w:r>
          </w:p>
        </w:tc>
        <w:tc>
          <w:tcPr>
            <w:tcW w:w="951" w:type="dxa"/>
          </w:tcPr>
          <w:p w14:paraId="56C1E25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42,660</w:t>
            </w:r>
          </w:p>
        </w:tc>
        <w:tc>
          <w:tcPr>
            <w:tcW w:w="951" w:type="dxa"/>
          </w:tcPr>
          <w:p w14:paraId="6714A720"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43,087</w:t>
            </w:r>
          </w:p>
        </w:tc>
        <w:tc>
          <w:tcPr>
            <w:tcW w:w="1256" w:type="dxa"/>
          </w:tcPr>
          <w:p w14:paraId="1E5C651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583,349</w:t>
            </w:r>
          </w:p>
        </w:tc>
      </w:tr>
      <w:tr w:rsidR="00DD74A5" w14:paraId="0C2A9C3B"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2524553E" w14:textId="77777777" w:rsidR="00DD74A5" w:rsidRDefault="00000000">
            <w:pPr>
              <w:jc w:val="center"/>
              <w:rPr>
                <w:rFonts w:ascii="Arial" w:hAnsi="Arial" w:cs="Arial"/>
                <w:b w:val="0"/>
                <w:bCs w:val="0"/>
                <w:lang w:val="en-AU"/>
              </w:rPr>
            </w:pPr>
            <w:r>
              <w:rPr>
                <w:rFonts w:ascii="Arial" w:hAnsi="Arial" w:cs="Arial"/>
                <w:lang w:val="en-AU"/>
              </w:rPr>
              <w:t>WACC (r)</w:t>
            </w:r>
          </w:p>
        </w:tc>
        <w:tc>
          <w:tcPr>
            <w:tcW w:w="1034" w:type="dxa"/>
          </w:tcPr>
          <w:p w14:paraId="7DE6EDAF"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c>
          <w:tcPr>
            <w:tcW w:w="1084" w:type="dxa"/>
          </w:tcPr>
          <w:p w14:paraId="1F393B5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c>
          <w:tcPr>
            <w:tcW w:w="1084" w:type="dxa"/>
          </w:tcPr>
          <w:p w14:paraId="71A5B67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c>
          <w:tcPr>
            <w:tcW w:w="1084" w:type="dxa"/>
          </w:tcPr>
          <w:p w14:paraId="7D54FE5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c>
          <w:tcPr>
            <w:tcW w:w="1084" w:type="dxa"/>
          </w:tcPr>
          <w:p w14:paraId="40AE4205"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c>
          <w:tcPr>
            <w:tcW w:w="1084" w:type="dxa"/>
          </w:tcPr>
          <w:p w14:paraId="7827A1BD"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c>
          <w:tcPr>
            <w:tcW w:w="951" w:type="dxa"/>
          </w:tcPr>
          <w:p w14:paraId="2374CD64"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c>
          <w:tcPr>
            <w:tcW w:w="951" w:type="dxa"/>
          </w:tcPr>
          <w:p w14:paraId="52F8473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c>
          <w:tcPr>
            <w:tcW w:w="1256" w:type="dxa"/>
          </w:tcPr>
          <w:p w14:paraId="19D1440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8.46%</w:t>
            </w:r>
          </w:p>
        </w:tc>
      </w:tr>
      <w:tr w:rsidR="00DD74A5" w14:paraId="491C0010"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9B829F2" w14:textId="77777777" w:rsidR="00DD74A5" w:rsidRDefault="00000000">
            <w:pPr>
              <w:jc w:val="center"/>
              <w:rPr>
                <w:rFonts w:ascii="Arial" w:hAnsi="Arial" w:cs="Arial"/>
                <w:b w:val="0"/>
                <w:bCs w:val="0"/>
                <w:lang w:val="en-AU"/>
              </w:rPr>
            </w:pPr>
            <w:r>
              <w:rPr>
                <w:rFonts w:ascii="Arial" w:hAnsi="Arial" w:cs="Arial"/>
                <w:lang w:val="en-AU"/>
              </w:rPr>
              <w:t>PV of FCF</w:t>
            </w:r>
          </w:p>
        </w:tc>
        <w:tc>
          <w:tcPr>
            <w:tcW w:w="1034" w:type="dxa"/>
          </w:tcPr>
          <w:p w14:paraId="092E10B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29,565</w:t>
            </w:r>
          </w:p>
        </w:tc>
        <w:tc>
          <w:tcPr>
            <w:tcW w:w="1084" w:type="dxa"/>
          </w:tcPr>
          <w:p w14:paraId="47431FB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r>
              <w:rPr>
                <w:rFonts w:ascii="Arial" w:hAnsi="Arial" w:cs="Arial"/>
              </w:rPr>
              <w:t>26,798</w:t>
            </w:r>
          </w:p>
          <w:p w14:paraId="7525231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4A5" w14:paraId="437CAFE6" w14:textId="77777777">
              <w:trPr>
                <w:tblCellSpacing w:w="15" w:type="dxa"/>
              </w:trPr>
              <w:tc>
                <w:tcPr>
                  <w:tcW w:w="0" w:type="auto"/>
                  <w:vAlign w:val="center"/>
                </w:tcPr>
                <w:p w14:paraId="2CBF5716" w14:textId="77777777" w:rsidR="00DD74A5" w:rsidRDefault="00DD74A5">
                  <w:pPr>
                    <w:jc w:val="center"/>
                    <w:rPr>
                      <w:rFonts w:ascii="Arial" w:hAnsi="Arial" w:cs="Arial"/>
                    </w:rPr>
                  </w:pPr>
                </w:p>
              </w:tc>
            </w:tr>
          </w:tbl>
          <w:p w14:paraId="2174DA48"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DD74A5" w14:paraId="207399F0" w14:textId="77777777">
              <w:trPr>
                <w:tblCellSpacing w:w="15" w:type="dxa"/>
              </w:trPr>
              <w:tc>
                <w:tcPr>
                  <w:tcW w:w="0" w:type="auto"/>
                  <w:vAlign w:val="center"/>
                </w:tcPr>
                <w:p w14:paraId="1AE6B9D3" w14:textId="77777777" w:rsidR="00DD74A5" w:rsidRDefault="00000000">
                  <w:pPr>
                    <w:jc w:val="center"/>
                    <w:rPr>
                      <w:rFonts w:ascii="Arial" w:hAnsi="Arial" w:cs="Arial"/>
                    </w:rPr>
                  </w:pPr>
                  <w:r>
                    <w:rPr>
                      <w:rFonts w:ascii="Arial" w:hAnsi="Arial" w:cs="Arial"/>
                    </w:rPr>
                    <w:t>27,204</w:t>
                  </w:r>
                </w:p>
              </w:tc>
            </w:tr>
          </w:tbl>
          <w:p w14:paraId="0DE54E3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p w14:paraId="30F5D557"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27,494</w:t>
            </w:r>
          </w:p>
        </w:tc>
        <w:tc>
          <w:tcPr>
            <w:tcW w:w="10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DD74A5" w14:paraId="26571142" w14:textId="77777777">
              <w:trPr>
                <w:tblCellSpacing w:w="15" w:type="dxa"/>
              </w:trPr>
              <w:tc>
                <w:tcPr>
                  <w:tcW w:w="0" w:type="auto"/>
                  <w:vAlign w:val="center"/>
                </w:tcPr>
                <w:p w14:paraId="62064A23" w14:textId="77777777" w:rsidR="00DD74A5" w:rsidRDefault="00000000">
                  <w:pPr>
                    <w:jc w:val="center"/>
                    <w:rPr>
                      <w:rFonts w:ascii="Arial" w:hAnsi="Arial" w:cs="Arial"/>
                    </w:rPr>
                  </w:pPr>
                  <w:r>
                    <w:rPr>
                      <w:rFonts w:ascii="Arial" w:hAnsi="Arial" w:cs="Arial"/>
                    </w:rPr>
                    <w:t>27,770</w:t>
                  </w:r>
                </w:p>
              </w:tc>
            </w:tr>
          </w:tbl>
          <w:p w14:paraId="753DE41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4A5" w14:paraId="1BFBFDD0" w14:textId="77777777">
              <w:trPr>
                <w:tblCellSpacing w:w="15" w:type="dxa"/>
              </w:trPr>
              <w:tc>
                <w:tcPr>
                  <w:tcW w:w="0" w:type="auto"/>
                  <w:vAlign w:val="center"/>
                </w:tcPr>
                <w:p w14:paraId="6263713C" w14:textId="77777777" w:rsidR="00DD74A5" w:rsidRDefault="00DD74A5">
                  <w:pPr>
                    <w:jc w:val="center"/>
                    <w:rPr>
                      <w:rFonts w:ascii="Arial" w:hAnsi="Arial" w:cs="Arial"/>
                    </w:rPr>
                  </w:pPr>
                </w:p>
              </w:tc>
            </w:tr>
          </w:tbl>
          <w:p w14:paraId="2D44E76F"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tcPr>
          <w:p w14:paraId="476F631E"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28,003</w:t>
            </w:r>
          </w:p>
        </w:tc>
        <w:tc>
          <w:tcPr>
            <w:tcW w:w="951" w:type="dxa"/>
          </w:tcPr>
          <w:p w14:paraId="173A4EEB"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26,206</w:t>
            </w:r>
          </w:p>
        </w:tc>
        <w:tc>
          <w:tcPr>
            <w:tcW w:w="951" w:type="dxa"/>
          </w:tcPr>
          <w:p w14:paraId="32F238C1"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rPr>
              <w:t>24,404</w:t>
            </w:r>
          </w:p>
        </w:tc>
        <w:tc>
          <w:tcPr>
            <w:tcW w:w="1256" w:type="dxa"/>
          </w:tcPr>
          <w:p w14:paraId="11782479"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330,401</w:t>
            </w:r>
          </w:p>
        </w:tc>
      </w:tr>
      <w:tr w:rsidR="00DD74A5" w14:paraId="7C87176B" w14:textId="77777777" w:rsidTr="00DD74A5">
        <w:tc>
          <w:tcPr>
            <w:cnfStyle w:val="001000000000" w:firstRow="0" w:lastRow="0" w:firstColumn="1" w:lastColumn="0" w:oddVBand="0" w:evenVBand="0" w:oddHBand="0" w:evenHBand="0" w:firstRowFirstColumn="0" w:firstRowLastColumn="0" w:lastRowFirstColumn="0" w:lastRowLastColumn="0"/>
            <w:tcW w:w="1985" w:type="dxa"/>
          </w:tcPr>
          <w:p w14:paraId="523B31F0" w14:textId="77777777" w:rsidR="00DD74A5" w:rsidRDefault="00000000">
            <w:pPr>
              <w:jc w:val="center"/>
              <w:rPr>
                <w:rFonts w:ascii="Arial" w:hAnsi="Arial" w:cs="Arial"/>
                <w:b w:val="0"/>
                <w:bCs w:val="0"/>
                <w:lang w:val="en-AU"/>
              </w:rPr>
            </w:pPr>
            <w:r>
              <w:rPr>
                <w:rFonts w:ascii="Arial" w:hAnsi="Arial" w:cs="Arial"/>
                <w:lang w:val="en-AU"/>
              </w:rPr>
              <w:t>Total NPV</w:t>
            </w:r>
          </w:p>
        </w:tc>
        <w:tc>
          <w:tcPr>
            <w:tcW w:w="1034" w:type="dxa"/>
          </w:tcPr>
          <w:p w14:paraId="43F7B302" w14:textId="77777777" w:rsidR="00DD74A5" w:rsidRDefault="00000000">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r>
              <w:rPr>
                <w:rFonts w:ascii="Arial" w:hAnsi="Arial" w:cs="Arial"/>
                <w:lang w:val="en-AU"/>
              </w:rPr>
              <w:t>547,845</w:t>
            </w:r>
          </w:p>
        </w:tc>
        <w:tc>
          <w:tcPr>
            <w:tcW w:w="1084" w:type="dxa"/>
            <w:shd w:val="clear" w:color="auto" w:fill="45B0E1" w:themeFill="accent1" w:themeFillTint="99"/>
          </w:tcPr>
          <w:p w14:paraId="109B200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2A279CC2"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4CB58283"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6A5CB2B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084" w:type="dxa"/>
            <w:shd w:val="clear" w:color="auto" w:fill="45B0E1" w:themeFill="accent1" w:themeFillTint="99"/>
          </w:tcPr>
          <w:p w14:paraId="0141934B"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45B0E1" w:themeFill="accent1" w:themeFillTint="99"/>
          </w:tcPr>
          <w:p w14:paraId="4BBC522D"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951" w:type="dxa"/>
            <w:shd w:val="clear" w:color="auto" w:fill="45B0E1" w:themeFill="accent1" w:themeFillTint="99"/>
          </w:tcPr>
          <w:p w14:paraId="12A96F74"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c>
          <w:tcPr>
            <w:tcW w:w="1256" w:type="dxa"/>
            <w:shd w:val="clear" w:color="auto" w:fill="45B0E1" w:themeFill="accent1" w:themeFillTint="99"/>
          </w:tcPr>
          <w:p w14:paraId="092571B0" w14:textId="77777777" w:rsidR="00DD74A5" w:rsidRDefault="00DD74A5">
            <w:pPr>
              <w:jc w:val="center"/>
              <w:cnfStyle w:val="000000000000" w:firstRow="0" w:lastRow="0" w:firstColumn="0" w:lastColumn="0" w:oddVBand="0" w:evenVBand="0" w:oddHBand="0" w:evenHBand="0" w:firstRowFirstColumn="0" w:firstRowLastColumn="0" w:lastRowFirstColumn="0" w:lastRowLastColumn="0"/>
              <w:rPr>
                <w:rFonts w:ascii="Arial" w:hAnsi="Arial" w:cs="Arial"/>
                <w:lang w:val="en-AU"/>
              </w:rPr>
            </w:pPr>
          </w:p>
        </w:tc>
      </w:tr>
    </w:tbl>
    <w:p w14:paraId="659A63B2" w14:textId="77777777" w:rsidR="00DD74A5" w:rsidRDefault="00DD74A5">
      <w:pPr>
        <w:rPr>
          <w:rFonts w:ascii="Arial" w:hAnsi="Arial" w:cs="Arial"/>
          <w:b/>
          <w:bCs/>
          <w:lang w:val="en-AU"/>
        </w:rPr>
      </w:pPr>
    </w:p>
    <w:p w14:paraId="6EEF9F38" w14:textId="77777777" w:rsidR="00DD74A5" w:rsidRDefault="00DD74A5">
      <w:pPr>
        <w:rPr>
          <w:rFonts w:ascii="Arial" w:hAnsi="Arial" w:cs="Arial"/>
          <w:b/>
          <w:bCs/>
          <w:lang w:val="en-AU"/>
        </w:rPr>
      </w:pPr>
    </w:p>
    <w:p w14:paraId="79BC1556" w14:textId="77777777" w:rsidR="00DD74A5" w:rsidRDefault="00DD74A5">
      <w:pPr>
        <w:rPr>
          <w:rFonts w:ascii="Arial" w:hAnsi="Arial" w:cs="Arial"/>
          <w:lang w:val="en-AU"/>
        </w:rPr>
      </w:pPr>
    </w:p>
    <w:sectPr w:rsidR="00DD74A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A74CE5" w14:textId="77777777" w:rsidR="00DE242C" w:rsidRDefault="00DE242C">
      <w:pPr>
        <w:spacing w:line="240" w:lineRule="auto"/>
      </w:pPr>
      <w:r>
        <w:separator/>
      </w:r>
    </w:p>
  </w:endnote>
  <w:endnote w:type="continuationSeparator" w:id="0">
    <w:p w14:paraId="6299B726" w14:textId="77777777" w:rsidR="00DE242C" w:rsidRDefault="00DE24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default"/>
    <w:sig w:usb0="00000000"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BA8E56" w14:textId="77777777" w:rsidR="00DE242C" w:rsidRDefault="00DE242C">
      <w:pPr>
        <w:spacing w:after="0"/>
      </w:pPr>
      <w:r>
        <w:separator/>
      </w:r>
    </w:p>
  </w:footnote>
  <w:footnote w:type="continuationSeparator" w:id="0">
    <w:p w14:paraId="7BDD6F39" w14:textId="77777777" w:rsidR="00DE242C" w:rsidRDefault="00DE24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3266C0"/>
    <w:multiLevelType w:val="multilevel"/>
    <w:tmpl w:val="153266C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7160C9"/>
    <w:multiLevelType w:val="multilevel"/>
    <w:tmpl w:val="1F7160C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020AEE"/>
    <w:multiLevelType w:val="multilevel"/>
    <w:tmpl w:val="33020AE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CB16738"/>
    <w:multiLevelType w:val="multilevel"/>
    <w:tmpl w:val="4CB167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CFD51FE"/>
    <w:multiLevelType w:val="multilevel"/>
    <w:tmpl w:val="4CFD51FE"/>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6807A1D"/>
    <w:multiLevelType w:val="multilevel"/>
    <w:tmpl w:val="66807A1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986F85"/>
    <w:multiLevelType w:val="multilevel"/>
    <w:tmpl w:val="7E986F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5674573">
    <w:abstractNumId w:val="0"/>
  </w:num>
  <w:num w:numId="2" w16cid:durableId="1459183056">
    <w:abstractNumId w:val="5"/>
  </w:num>
  <w:num w:numId="3" w16cid:durableId="771583117">
    <w:abstractNumId w:val="2"/>
  </w:num>
  <w:num w:numId="4" w16cid:durableId="1982804692">
    <w:abstractNumId w:val="6"/>
  </w:num>
  <w:num w:numId="5" w16cid:durableId="1792438665">
    <w:abstractNumId w:val="4"/>
  </w:num>
  <w:num w:numId="6" w16cid:durableId="541136650">
    <w:abstractNumId w:val="1"/>
  </w:num>
  <w:num w:numId="7" w16cid:durableId="117017449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DD9"/>
    <w:rsid w:val="00031856"/>
    <w:rsid w:val="00051264"/>
    <w:rsid w:val="00055810"/>
    <w:rsid w:val="0008482E"/>
    <w:rsid w:val="0009549B"/>
    <w:rsid w:val="000B3B14"/>
    <w:rsid w:val="000B5BE1"/>
    <w:rsid w:val="000D518C"/>
    <w:rsid w:val="000E53F1"/>
    <w:rsid w:val="000E64AF"/>
    <w:rsid w:val="000F1C14"/>
    <w:rsid w:val="00137C2E"/>
    <w:rsid w:val="001510E4"/>
    <w:rsid w:val="00165EC4"/>
    <w:rsid w:val="00170678"/>
    <w:rsid w:val="001A3891"/>
    <w:rsid w:val="001B1882"/>
    <w:rsid w:val="001B3BD8"/>
    <w:rsid w:val="001D3C93"/>
    <w:rsid w:val="001D7F59"/>
    <w:rsid w:val="001E1683"/>
    <w:rsid w:val="001E1EC2"/>
    <w:rsid w:val="00212AED"/>
    <w:rsid w:val="00227269"/>
    <w:rsid w:val="00227C8B"/>
    <w:rsid w:val="00231E59"/>
    <w:rsid w:val="00233891"/>
    <w:rsid w:val="00260E93"/>
    <w:rsid w:val="002634C6"/>
    <w:rsid w:val="002802CE"/>
    <w:rsid w:val="002867AF"/>
    <w:rsid w:val="002A7F20"/>
    <w:rsid w:val="002D10A9"/>
    <w:rsid w:val="00311F67"/>
    <w:rsid w:val="003233FE"/>
    <w:rsid w:val="003374C2"/>
    <w:rsid w:val="003403DF"/>
    <w:rsid w:val="00344CC6"/>
    <w:rsid w:val="0035108F"/>
    <w:rsid w:val="0035182D"/>
    <w:rsid w:val="00357299"/>
    <w:rsid w:val="00363231"/>
    <w:rsid w:val="00367A4B"/>
    <w:rsid w:val="003A447E"/>
    <w:rsid w:val="003B637D"/>
    <w:rsid w:val="003C3AC7"/>
    <w:rsid w:val="003C5DFB"/>
    <w:rsid w:val="003C60F3"/>
    <w:rsid w:val="003E60FD"/>
    <w:rsid w:val="003F7009"/>
    <w:rsid w:val="00415740"/>
    <w:rsid w:val="0044336D"/>
    <w:rsid w:val="00464C44"/>
    <w:rsid w:val="00477986"/>
    <w:rsid w:val="0049166A"/>
    <w:rsid w:val="004A1368"/>
    <w:rsid w:val="004B2CF0"/>
    <w:rsid w:val="004B668E"/>
    <w:rsid w:val="00507966"/>
    <w:rsid w:val="00507992"/>
    <w:rsid w:val="0055145D"/>
    <w:rsid w:val="005805D0"/>
    <w:rsid w:val="005E54E3"/>
    <w:rsid w:val="00623609"/>
    <w:rsid w:val="00631AC5"/>
    <w:rsid w:val="00644C49"/>
    <w:rsid w:val="00650503"/>
    <w:rsid w:val="00664D0C"/>
    <w:rsid w:val="0067029C"/>
    <w:rsid w:val="00670B72"/>
    <w:rsid w:val="0067221F"/>
    <w:rsid w:val="006A6E80"/>
    <w:rsid w:val="006B7AEF"/>
    <w:rsid w:val="006D3E5F"/>
    <w:rsid w:val="006E1BF7"/>
    <w:rsid w:val="00724BF7"/>
    <w:rsid w:val="007932D5"/>
    <w:rsid w:val="007A41DE"/>
    <w:rsid w:val="008161D3"/>
    <w:rsid w:val="00822B5A"/>
    <w:rsid w:val="00837451"/>
    <w:rsid w:val="0084482A"/>
    <w:rsid w:val="00845C4C"/>
    <w:rsid w:val="008461DC"/>
    <w:rsid w:val="008A79F5"/>
    <w:rsid w:val="008D5A9D"/>
    <w:rsid w:val="008F2FAE"/>
    <w:rsid w:val="0090291E"/>
    <w:rsid w:val="00903DB3"/>
    <w:rsid w:val="00916666"/>
    <w:rsid w:val="00927375"/>
    <w:rsid w:val="009277C2"/>
    <w:rsid w:val="009350FF"/>
    <w:rsid w:val="00941E27"/>
    <w:rsid w:val="00945077"/>
    <w:rsid w:val="009650A4"/>
    <w:rsid w:val="009B3D64"/>
    <w:rsid w:val="009C2E44"/>
    <w:rsid w:val="009C38AD"/>
    <w:rsid w:val="009C62AC"/>
    <w:rsid w:val="009F6338"/>
    <w:rsid w:val="00A15178"/>
    <w:rsid w:val="00A31992"/>
    <w:rsid w:val="00A759AA"/>
    <w:rsid w:val="00A8266D"/>
    <w:rsid w:val="00A90B35"/>
    <w:rsid w:val="00A9735A"/>
    <w:rsid w:val="00AA06BE"/>
    <w:rsid w:val="00AA11B7"/>
    <w:rsid w:val="00AA6659"/>
    <w:rsid w:val="00AB4896"/>
    <w:rsid w:val="00AC78D0"/>
    <w:rsid w:val="00AD24BC"/>
    <w:rsid w:val="00AD454A"/>
    <w:rsid w:val="00AD7FF2"/>
    <w:rsid w:val="00B02B2A"/>
    <w:rsid w:val="00B50FC7"/>
    <w:rsid w:val="00B5205B"/>
    <w:rsid w:val="00B55FA2"/>
    <w:rsid w:val="00B718EC"/>
    <w:rsid w:val="00B76900"/>
    <w:rsid w:val="00B8409A"/>
    <w:rsid w:val="00B90A07"/>
    <w:rsid w:val="00B92787"/>
    <w:rsid w:val="00BB053A"/>
    <w:rsid w:val="00BD2F68"/>
    <w:rsid w:val="00BD54AE"/>
    <w:rsid w:val="00C26FE5"/>
    <w:rsid w:val="00C3183A"/>
    <w:rsid w:val="00C3417E"/>
    <w:rsid w:val="00C44DDD"/>
    <w:rsid w:val="00C4570B"/>
    <w:rsid w:val="00C5667B"/>
    <w:rsid w:val="00C7060A"/>
    <w:rsid w:val="00C85637"/>
    <w:rsid w:val="00C94151"/>
    <w:rsid w:val="00CC03E1"/>
    <w:rsid w:val="00CE254D"/>
    <w:rsid w:val="00D03234"/>
    <w:rsid w:val="00D074AD"/>
    <w:rsid w:val="00D330C6"/>
    <w:rsid w:val="00D8425C"/>
    <w:rsid w:val="00D92D70"/>
    <w:rsid w:val="00DC2147"/>
    <w:rsid w:val="00DD4604"/>
    <w:rsid w:val="00DD74A5"/>
    <w:rsid w:val="00DE242C"/>
    <w:rsid w:val="00DF0F6F"/>
    <w:rsid w:val="00DF46EF"/>
    <w:rsid w:val="00E448A7"/>
    <w:rsid w:val="00E44BA2"/>
    <w:rsid w:val="00E45271"/>
    <w:rsid w:val="00E61293"/>
    <w:rsid w:val="00E772B1"/>
    <w:rsid w:val="00E97489"/>
    <w:rsid w:val="00EA2AE0"/>
    <w:rsid w:val="00EA5A8A"/>
    <w:rsid w:val="00EC2AC0"/>
    <w:rsid w:val="00EE293A"/>
    <w:rsid w:val="00EF060D"/>
    <w:rsid w:val="00F01DE0"/>
    <w:rsid w:val="00F0397A"/>
    <w:rsid w:val="00F57343"/>
    <w:rsid w:val="00F70AE5"/>
    <w:rsid w:val="00F85440"/>
    <w:rsid w:val="00F933C6"/>
    <w:rsid w:val="00F93DD9"/>
    <w:rsid w:val="00FB128E"/>
    <w:rsid w:val="00FC1410"/>
    <w:rsid w:val="00FD01C9"/>
    <w:rsid w:val="00FE5FBA"/>
    <w:rsid w:val="2A3F69A3"/>
    <w:rsid w:val="2D0143E4"/>
    <w:rsid w:val="39861EF9"/>
    <w:rsid w:val="43575F3D"/>
    <w:rsid w:val="44AB6CB7"/>
    <w:rsid w:val="4CE42240"/>
    <w:rsid w:val="50A90064"/>
    <w:rsid w:val="5E5C71EA"/>
    <w:rsid w:val="5F8C73F6"/>
  </w:rsids>
  <m:mathPr>
    <m:mathFont m:val="Cambria Math"/>
    <m:brkBin m:val="before"/>
    <m:brkBinSub m:val="--"/>
    <m:smallFrac m:val="0"/>
    <m:dispDef/>
    <m:lMargin m:val="0"/>
    <m:rMargin m:val="0"/>
    <m:defJc m:val="centerGroup"/>
    <m:wrapIndent m:val="1440"/>
    <m:intLim m:val="subSup"/>
    <m:naryLim m:val="undOvr"/>
  </m:mathPr>
  <w:themeFontLang w:val="zh-C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536CF8"/>
  <w15:docId w15:val="{583AD557-CB36-5B49-AFE3-54068308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1"/>
      <w:lang w:val="zh-CN" w:bidi="hi-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6607D" w:themeColor="followedHyperlink"/>
      <w:u w:val="single"/>
    </w:rPr>
  </w:style>
  <w:style w:type="character" w:styleId="Hyperlink">
    <w:name w:val="Hyperlink"/>
    <w:basedOn w:val="DefaultParagraphFont"/>
    <w:uiPriority w:val="99"/>
    <w:unhideWhenUsed/>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0"/>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GridTable4-Accent61">
    <w:name w:val="Grid Table 4 - Accent 61"/>
    <w:basedOn w:val="TableNormal"/>
    <w:uiPriority w:val="49"/>
    <w:qFormat/>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GridTable4-Accent41">
    <w:name w:val="Grid Table 4 - Accent 41"/>
    <w:basedOn w:val="TableNormal"/>
    <w:uiPriority w:val="49"/>
    <w:qFormat/>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4-Accent11">
    <w:name w:val="Grid Table 4 - Accent 11"/>
    <w:basedOn w:val="TableNormal"/>
    <w:uiPriority w:val="49"/>
    <w:qFormat/>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6Colorful-Accent11">
    <w:name w:val="Grid Table 6 Colorful - Accent 11"/>
    <w:basedOn w:val="TableNormal"/>
    <w:uiPriority w:val="51"/>
    <w:qFormat/>
    <w:rPr>
      <w:color w:val="0F4761" w:themeColor="accent1" w:themeShade="BF"/>
    </w:rPr>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Spacing">
    <w:name w:val="No Spacing"/>
    <w:link w:val="NoSpacingChar"/>
    <w:uiPriority w:val="1"/>
    <w:qFormat/>
    <w:rPr>
      <w:sz w:val="22"/>
      <w:szCs w:val="22"/>
      <w:lang w:val="en-US" w:eastAsia="en-US"/>
    </w:rPr>
  </w:style>
  <w:style w:type="character" w:customStyle="1" w:styleId="NoSpacingChar">
    <w:name w:val="No Spacing Char"/>
    <w:basedOn w:val="DefaultParagraphFont"/>
    <w:link w:val="NoSpacing"/>
    <w:uiPriority w:val="1"/>
    <w:rPr>
      <w:sz w:val="22"/>
      <w:szCs w:val="22"/>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GridTable4-Accent21">
    <w:name w:val="Grid Table 4 - Accent 21"/>
    <w:basedOn w:val="TableNormal"/>
    <w:uiPriority w:val="49"/>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GridTable3-Accent41">
    <w:name w:val="Grid Table 3 - Accent 41"/>
    <w:basedOn w:val="TableNormal"/>
    <w:uiPriority w:val="48"/>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GridTable4-Accent12">
    <w:name w:val="Grid Table 4 - Accent 12"/>
    <w:basedOn w:val="TableNormal"/>
    <w:uiPriority w:val="49"/>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unhideWhenUsed/>
    <w:rsid w:val="000B3B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8666B40-7D3D-4BB4-9308-6DE799341D9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2224</Words>
  <Characters>12679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 Jarren Rowe Himawan (124040023), Mei Enran (125030053)</dc:creator>
  <cp:lastModifiedBy>Jarren Rowe Himawan (SDS, 124040023)</cp:lastModifiedBy>
  <cp:revision>2</cp:revision>
  <dcterms:created xsi:type="dcterms:W3CDTF">2026-09-20T08:26:00Z</dcterms:created>
  <dcterms:modified xsi:type="dcterms:W3CDTF">2026-09-20T08:26:00Z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eyJoZGlkIjoiYTc2ZGZiNzZiNDVlOGViOWVmM2JhOTY0NGJkNjUyYzgiLCJ1c2VySWQiOiI5Nzk3NzEyMTc0NTUifQ==</vt:lpwstr>
  </property>
  <property fmtid="{D5CDD505-2E9C-101B-9397-08002B2CF9AE}" pid="3" name="KSOProductBuildVer">
    <vt:lpwstr>1033-12.1.0.25862</vt:lpwstr>
  </property>
  <property fmtid="{D5CDD505-2E9C-101B-9397-08002B2CF9AE}" pid="4" name="ICV">
    <vt:lpwstr>331C49A2D76746A882C146F1C7FB50EC_13</vt:lpwstr>
  </property>
</Properties>
</file>