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UserPersona_Choice</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right"/>
        <w:rPr/>
      </w:pPr>
      <w:r w:rsidDel="00000000" w:rsidR="00000000" w:rsidRPr="00000000">
        <w:rPr>
          <w:rtl w:val="0"/>
        </w:rPr>
        <w:t xml:space="preserve">Stephen Terrio</w:t>
      </w:r>
    </w:p>
    <w:p w:rsidR="00000000" w:rsidDel="00000000" w:rsidP="00000000" w:rsidRDefault="00000000" w:rsidRPr="00000000" w14:paraId="00000004">
      <w:pPr>
        <w:jc w:val="right"/>
        <w:rPr/>
      </w:pPr>
      <w:r w:rsidDel="00000000" w:rsidR="00000000" w:rsidRPr="00000000">
        <w:rPr>
          <w:rtl w:val="0"/>
        </w:rPr>
        <w:t xml:space="preserve">B00755443</w:t>
      </w:r>
    </w:p>
    <w:p w:rsidR="00000000" w:rsidDel="00000000" w:rsidP="00000000" w:rsidRDefault="00000000" w:rsidRPr="00000000" w14:paraId="00000005">
      <w:pPr>
        <w:jc w:val="right"/>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Choice: Lee, an online shopper with color blindness.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The reason I chose this persona is because it’s one I can relate to the closest with, and therefore, is one that I would like to learn the most about. I have a few friends who are diagnosed with varying forms of color blindness, as well as my Mom who is also diagnosed with it, which makes me interested to learn about the alternatives that could be provided to help improve their experience online.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Specifically, red green color blindness is one that a close friend of mine has, and we’ve talked before about the level of accessibility services provide for a variety of things, such as websites, videos and video games. While reading about the issues does provide a sound description of the challenges the personas are faced with, I feel like I have a much better understanding from the problems that my friend has spoken with me about before as well.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3 tasks to perform</w:t>
      </w:r>
    </w:p>
    <w:p w:rsidR="00000000" w:rsidDel="00000000" w:rsidP="00000000" w:rsidRDefault="00000000" w:rsidRPr="00000000" w14:paraId="0000000D">
      <w:pPr>
        <w:rPr/>
      </w:pPr>
      <w:r w:rsidDel="00000000" w:rsidR="00000000" w:rsidRPr="00000000">
        <w:rPr>
          <w:rtl w:val="0"/>
        </w:rPr>
        <w:t xml:space="preserv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Check the latest news articles, read the latest release.</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Check government departments, Navigate to Community services, read “About this Departement”</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Navigate to Topics, education, training and skills, then sign in to learning management system &amp; register for courses.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