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30" w:before="0"/>
        <w:jc w:val="center"/>
      </w:pPr>
      <w:r>
        <w:rPr>
          <w:b/>
          <w:bCs/>
          <w:color w:val="1B4F8A"/>
          <w:sz w:val="52"/>
          <w:szCs w:val="52"/>
        </w:rPr>
        <w:t xml:space="preserve">MOBILE SOFT PLC SIMULATOR</w:t>
      </w:r>
    </w:p>
    <w:p>
      <w:pPr>
        <w:spacing w:after="20" w:before="0"/>
        <w:jc w:val="center"/>
      </w:pPr>
      <w:r>
        <w:rPr>
          <w:color w:val="2E86C1"/>
          <w:sz w:val="34"/>
          <w:szCs w:val="34"/>
        </w:rPr>
        <w:t xml:space="preserve">Australian Business Setup, Tax &amp; Grants Guide</w:t>
      </w:r>
    </w:p>
    <w:p>
      <w:pPr>
        <w:spacing w:after="40" w:before="0"/>
        <w:jc w:val="center"/>
      </w:pPr>
      <w:r>
        <w:rPr>
          <w:i/>
          <w:iCs/>
          <w:color w:val="6B7280"/>
          <w:sz w:val="20"/>
          <w:szCs w:val="20"/>
        </w:rPr>
        <w:t xml:space="preserve">Business Structure · How to Pay Yourself · Tax Concessions · Current Grants</w:t>
      </w:r>
    </w:p>
    <w:p>
      <w:pPr>
        <w:pBdr>
          <w:top w:val="single" w:color="2E86C1" w:sz="4"/>
          <w:bottom w:val="single" w:color="2E86C1" w:sz="4"/>
        </w:pBdr>
        <w:shd w:fill="D6E4F7" w:val="clear"/>
        <w:spacing w:after="60" w:before="0"/>
        <w:jc w:val="center"/>
      </w:pPr>
      <w:r>
        <w:rPr>
          <w:b/>
          <w:bCs/>
          <w:color w:val="1B4F8A"/>
          <w:sz w:val="20"/>
          <w:szCs w:val="20"/>
        </w:rPr>
        <w:t xml:space="preserve">July 2026  |  Prepared for Jarrod Franz  |  Confidential</w:t>
      </w:r>
    </w:p>
    <w:p>
      <w:pPr>
        <w:spacing w:after="260" w:before="0"/>
      </w:pPr>
    </w:p>
    <w:p>
      <w:pPr>
        <w:shd w:fill="FEF3C7" w:val="clear"/>
        <w:spacing w:after="100" w:before="100"/>
        <w:ind w:left="288" w:right="288"/>
      </w:pPr>
      <w:r>
        <w:rPr>
          <w:b/>
          <w:bCs/>
          <w:color w:val="92400E"/>
          <w:sz w:val="20"/>
          <w:szCs w:val="20"/>
        </w:rPr>
        <w:t xml:space="preserve">⚠  </w:t>
      </w:r>
      <w:r>
        <w:rPr>
          <w:color w:val="92400E"/>
          <w:sz w:val="20"/>
          <w:szCs w:val="20"/>
        </w:rPr>
        <w:t xml:space="preserve">DISCLAIMER: This document is an educational guide based on publicly available ATO and government information as at July 2026. It is not legal or financial advice. Before making any decisions about business structure, tax registration, or grant applications, consult a registered accountant (CPA or CA) and/or a solicitor. Tax law changes frequently. All figures cited are for the 2025–26 income year unless otherwise noted.</w:t>
      </w:r>
    </w:p>
    <w:p>
      <w:pPr>
        <w:spacing w:after="1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E86C1" w:sz="2"/>
              <w:left w:val="single" w:color="2E86C1" w:sz="2"/>
              <w:bottom w:val="single" w:color="2E86C1" w:sz="2"/>
              <w:right w:val="single" w:color="2E86C1" w:sz="2"/>
            </w:tcBorders>
            <w:shd w:fill="D1FAE5" w:val="clear"/>
            <w:tcMar>
              <w:top w:type="dxa" w:w="80"/>
              <w:left w:type="dxa" w:w="80"/>
              <w:bottom w:type="dxa" w:w="80"/>
              <w:right w:type="dxa" w:w="80"/>
            </w:tcMar>
          </w:tcPr>
          <w:p>
            <w:pPr>
              <w:spacing w:after="10" w:before="40"/>
              <w:jc w:val="center"/>
            </w:pPr>
            <w:r>
              <w:rPr>
                <w:b/>
                <w:bCs/>
                <w:color w:val="1A7340"/>
                <w:sz w:val="34"/>
                <w:szCs w:val="34"/>
              </w:rPr>
              <w:t xml:space="preserve">Pty Ltd</w:t>
            </w:r>
          </w:p>
          <w:p>
            <w:pPr>
              <w:spacing w:after="10" w:before="0"/>
              <w:jc w:val="center"/>
            </w:pPr>
            <w:r>
              <w:rPr>
                <w:b/>
                <w:bCs/>
                <w:color w:val="1A1A2E"/>
                <w:sz w:val="18"/>
                <w:szCs w:val="18"/>
              </w:rPr>
              <w:t xml:space="preserve">Recommended Structure</w:t>
            </w:r>
          </w:p>
          <w:p>
            <w:pPr>
              <w:spacing w:after="40" w:before="0"/>
              <w:jc w:val="center"/>
            </w:pPr>
            <w:r>
              <w:rPr>
                <w:color w:val="6B7280"/>
                <w:sz w:val="16"/>
                <w:szCs w:val="16"/>
              </w:rPr>
              <w:t xml:space="preserve">From Day One</w:t>
            </w:r>
          </w:p>
        </w:tc>
        <w:tc>
          <w:tcPr>
            <w:tcW w:type="dxa" w:w="3100"/>
            <w:tcBorders>
              <w:top w:val="single" w:color="2E86C1" w:sz="2"/>
              <w:left w:val="single" w:color="2E86C1" w:sz="2"/>
              <w:bottom w:val="single" w:color="2E86C1" w:sz="2"/>
              <w:right w:val="single" w:color="2E86C1" w:sz="2"/>
            </w:tcBorders>
            <w:shd w:fill="D6E4F7" w:val="clear"/>
            <w:tcMar>
              <w:top w:type="dxa" w:w="80"/>
              <w:left w:type="dxa" w:w="80"/>
              <w:bottom w:type="dxa" w:w="80"/>
              <w:right w:type="dxa" w:w="80"/>
            </w:tcMar>
          </w:tcPr>
          <w:p>
            <w:pPr>
              <w:spacing w:after="10" w:before="40"/>
              <w:jc w:val="center"/>
            </w:pPr>
            <w:r>
              <w:rPr>
                <w:b/>
                <w:bCs/>
                <w:color w:val="1B4F8A"/>
                <w:sz w:val="34"/>
                <w:szCs w:val="34"/>
              </w:rPr>
              <w:t xml:space="preserve">43.5%</w:t>
            </w:r>
          </w:p>
          <w:p>
            <w:pPr>
              <w:spacing w:after="10" w:before="0"/>
              <w:jc w:val="center"/>
            </w:pPr>
            <w:r>
              <w:rPr>
                <w:b/>
                <w:bCs/>
                <w:color w:val="1A1A2E"/>
                <w:sz w:val="18"/>
                <w:szCs w:val="18"/>
              </w:rPr>
              <w:t xml:space="preserve">R&amp;D Tax Offset (Cash)</w:t>
            </w:r>
          </w:p>
          <w:p>
            <w:pPr>
              <w:spacing w:after="40" w:before="0"/>
              <w:jc w:val="center"/>
            </w:pPr>
            <w:r>
              <w:rPr>
                <w:color w:val="6B7280"/>
                <w:sz w:val="16"/>
                <w:szCs w:val="16"/>
              </w:rPr>
              <w:t xml:space="preserve">For qualifying dev spend</w:t>
            </w:r>
          </w:p>
        </w:tc>
        <w:tc>
          <w:tcPr>
            <w:tcW w:type="dxa" w:w="3100"/>
            <w:tcBorders>
              <w:top w:val="single" w:color="2E86C1" w:sz="2"/>
              <w:left w:val="single" w:color="2E86C1" w:sz="2"/>
              <w:bottom w:val="single" w:color="2E86C1" w:sz="2"/>
              <w:right w:val="single" w:color="2E86C1" w:sz="2"/>
            </w:tcBorders>
            <w:shd w:fill="FEF3C7" w:val="clear"/>
            <w:tcMar>
              <w:top w:type="dxa" w:w="80"/>
              <w:left w:type="dxa" w:w="80"/>
              <w:bottom w:type="dxa" w:w="80"/>
              <w:right w:type="dxa" w:w="80"/>
            </w:tcMar>
          </w:tcPr>
          <w:p>
            <w:pPr>
              <w:spacing w:after="10" w:before="40"/>
              <w:jc w:val="center"/>
            </w:pPr>
            <w:r>
              <w:rPr>
                <w:b/>
                <w:bCs/>
                <w:color w:val="92400E"/>
                <w:sz w:val="34"/>
                <w:szCs w:val="34"/>
              </w:rPr>
              <w:t xml:space="preserve">$376K+</w:t>
            </w:r>
          </w:p>
          <w:p>
            <w:pPr>
              <w:spacing w:after="10" w:before="0"/>
              <w:jc w:val="center"/>
            </w:pPr>
            <w:r>
              <w:rPr>
                <w:b/>
                <w:bCs/>
                <w:color w:val="1A1A2E"/>
                <w:sz w:val="18"/>
                <w:szCs w:val="18"/>
              </w:rPr>
              <w:t xml:space="preserve">EMDG potential (5 yr)</w:t>
            </w:r>
          </w:p>
          <w:p>
            <w:pPr>
              <w:spacing w:after="40" w:before="0"/>
              <w:jc w:val="center"/>
            </w:pPr>
            <w:r>
              <w:rPr>
                <w:color w:val="6B7280"/>
                <w:sz w:val="16"/>
                <w:szCs w:val="16"/>
              </w:rPr>
              <w:t xml:space="preserve">For international marketing</w:t>
            </w:r>
          </w:p>
        </w:tc>
      </w:tr>
    </w:tbl>
    <w:p>
      <w:r>
        <w:br w:type="page"/>
      </w:r>
    </w:p>
    <w:p>
      <w:pPr>
        <w:pStyle w:val="Heading1"/>
        <w:pBdr>
          <w:bottom w:val="single" w:color="2E86C1" w:sz="6" w:space="4"/>
        </w:pBdr>
        <w:spacing w:after="180" w:before="400"/>
      </w:pPr>
      <w:r>
        <w:rPr>
          <w:b/>
          <w:bCs/>
          <w:color w:val="1B4F8A"/>
          <w:sz w:val="34"/>
          <w:szCs w:val="34"/>
        </w:rPr>
        <w:t xml:space="preserve">1. Executive Summary &amp; Recommendation</w:t>
      </w:r>
    </w:p>
    <w:p>
      <w:pPr>
        <w:spacing w:after="120" w:before="60" w:line="276"/>
        <w:jc w:val="both"/>
      </w:pPr>
      <w:r>
        <w:rPr>
          <w:b w:val="false"/>
          <w:bCs w:val="false"/>
          <w:i w:val="false"/>
          <w:iCs w:val="false"/>
          <w:color w:val="1A1A2E"/>
          <w:sz w:val="20"/>
          <w:szCs w:val="20"/>
        </w:rPr>
        <w:t xml:space="preserve">This guide walks through exactly how to set up Mobile Soft PLC Simulator as a commercial business in Australia — from choosing the right legal structure to how you get paid, what taxes you owe, and which government grants you can access right now.</w:t>
      </w:r>
    </w:p>
    <w:p>
      <w:pPr>
        <w:spacing w:after="80" w:before="0"/>
      </w:pPr>
    </w:p>
    <w:p>
      <w:pPr>
        <w:shd w:fill="D1FAE5" w:val="clear"/>
        <w:spacing w:after="100" w:before="100"/>
        <w:ind w:left="288" w:right="288"/>
      </w:pPr>
      <w:r>
        <w:rPr>
          <w:b/>
          <w:bCs/>
          <w:color w:val="1A7340"/>
          <w:sz w:val="20"/>
          <w:szCs w:val="20"/>
        </w:rPr>
        <w:t xml:space="preserve">✓  </w:t>
      </w:r>
      <w:r>
        <w:rPr>
          <w:color w:val="1A7340"/>
          <w:sz w:val="20"/>
          <w:szCs w:val="20"/>
        </w:rPr>
        <w:t xml:space="preserve">Bottom line: Incorporate as a Pty Ltd company from Day One. Do not start as a sole trader. The R&amp;D Tax Incentive alone — which requires an incorporated company — could return 43.5 cents in cash for every dollar of qualifying development work already done and ongoing. This single benefit outweighs the small additional setup cost of a company versus sole trader registration by a very large margin.</w:t>
      </w:r>
    </w:p>
    <w:p>
      <w:pPr>
        <w:spacing w:after="100" w:before="0"/>
      </w:pPr>
    </w:p>
    <w:p>
      <w:pPr>
        <w:spacing w:after="120" w:before="60" w:line="276"/>
        <w:jc w:val="both"/>
      </w:pPr>
      <w:r>
        <w:rPr>
          <w:b w:val="false"/>
          <w:bCs w:val="false"/>
          <w:i w:val="false"/>
          <w:iCs w:val="false"/>
          <w:color w:val="1A1A2E"/>
          <w:sz w:val="20"/>
          <w:szCs w:val="20"/>
        </w:rPr>
        <w:t xml:space="preserve">Key reasons to start as a Pty Ltd company immediately:</w:t>
      </w:r>
    </w:p>
    <w:p>
      <w:pPr>
        <w:spacing w:after="40" w:before="40" w:line="260"/>
        <w:ind w:left="720" w:hanging="431"/>
      </w:pPr>
      <w:r>
        <w:rPr>
          <w:b/>
          <w:bCs/>
          <w:color w:val="2E86C1"/>
          <w:sz w:val="20"/>
          <w:szCs w:val="20"/>
        </w:rPr>
        <w:t xml:space="preserve">1.  </w:t>
      </w:r>
      <w:r>
        <w:rPr>
          <w:color w:val="1A1A2E"/>
          <w:sz w:val="20"/>
          <w:szCs w:val="20"/>
        </w:rPr>
        <w:t xml:space="preserve">The R&amp;D Tax Incentive (43.5% refundable offset) is only available to incorporated companies — sole traders cannot claim it.</w:t>
      </w:r>
    </w:p>
    <w:p>
      <w:pPr>
        <w:spacing w:after="40" w:before="40" w:line="260"/>
        <w:ind w:left="720" w:hanging="431"/>
      </w:pPr>
      <w:r>
        <w:rPr>
          <w:b/>
          <w:bCs/>
          <w:color w:val="2E86C1"/>
          <w:sz w:val="20"/>
          <w:szCs w:val="20"/>
        </w:rPr>
        <w:t xml:space="preserve">2.  </w:t>
      </w:r>
      <w:r>
        <w:rPr>
          <w:color w:val="1A1A2E"/>
          <w:sz w:val="20"/>
          <w:szCs w:val="20"/>
        </w:rPr>
        <w:t xml:space="preserve">Many government grants (Industry Growth Program, MVP Ventures) explicitly exclude sole traders.</w:t>
      </w:r>
    </w:p>
    <w:p>
      <w:pPr>
        <w:spacing w:after="40" w:before="40" w:line="260"/>
        <w:ind w:left="720" w:hanging="431"/>
      </w:pPr>
      <w:r>
        <w:rPr>
          <w:b/>
          <w:bCs/>
          <w:color w:val="2E86C1"/>
          <w:sz w:val="20"/>
          <w:szCs w:val="20"/>
        </w:rPr>
        <w:t xml:space="preserve">3.  </w:t>
      </w:r>
      <w:r>
        <w:rPr>
          <w:color w:val="1A1A2E"/>
          <w:sz w:val="20"/>
          <w:szCs w:val="20"/>
        </w:rPr>
        <w:t xml:space="preserve">The 25% company tax rate is significantly lower than the 32.5%–45% personal marginal rates you will hit as soon as profits exceed ~$45,000.</w:t>
      </w:r>
    </w:p>
    <w:p>
      <w:pPr>
        <w:spacing w:after="40" w:before="40" w:line="260"/>
        <w:ind w:left="720" w:hanging="431"/>
      </w:pPr>
      <w:r>
        <w:rPr>
          <w:b/>
          <w:bCs/>
          <w:color w:val="2E86C1"/>
          <w:sz w:val="20"/>
          <w:szCs w:val="20"/>
        </w:rPr>
        <w:t xml:space="preserve">4.  </w:t>
      </w:r>
      <w:r>
        <w:rPr>
          <w:color w:val="1A1A2E"/>
          <w:sz w:val="20"/>
          <w:szCs w:val="20"/>
        </w:rPr>
        <w:t xml:space="preserve">Limited liability protection is important for software that deals with industrial control contexts — any corporate licensing or education partnership will expect to contract with a company, not an individual.</w:t>
      </w:r>
    </w:p>
    <w:p>
      <w:pPr>
        <w:spacing w:after="40" w:before="40" w:line="260"/>
        <w:ind w:left="720" w:hanging="431"/>
      </w:pPr>
      <w:r>
        <w:rPr>
          <w:b/>
          <w:bCs/>
          <w:color w:val="2E86C1"/>
          <w:sz w:val="20"/>
          <w:szCs w:val="20"/>
        </w:rPr>
        <w:t xml:space="preserve">5.  </w:t>
      </w:r>
      <w:r>
        <w:rPr>
          <w:color w:val="1A1A2E"/>
          <w:sz w:val="20"/>
          <w:szCs w:val="20"/>
        </w:rPr>
        <w:t xml:space="preserve">Franking credits on dividends let profits flow to you with significantly reduced personal tax as the business scales.</w:t>
      </w:r>
    </w:p>
    <w:p>
      <w:r>
        <w:br w:type="page"/>
      </w:r>
    </w:p>
    <w:p>
      <w:pPr>
        <w:pStyle w:val="Heading1"/>
        <w:pBdr>
          <w:bottom w:val="single" w:color="2E86C1" w:sz="6" w:space="4"/>
        </w:pBdr>
        <w:spacing w:after="180" w:before="400"/>
      </w:pPr>
      <w:r>
        <w:rPr>
          <w:b/>
          <w:bCs/>
          <w:color w:val="1B4F8A"/>
          <w:sz w:val="34"/>
          <w:szCs w:val="34"/>
        </w:rPr>
        <w:t xml:space="preserve">2. Business Structure Options</w:t>
      </w:r>
    </w:p>
    <w:p>
      <w:pPr>
        <w:spacing w:after="120" w:before="60" w:line="276"/>
        <w:jc w:val="both"/>
      </w:pPr>
      <w:r>
        <w:rPr>
          <w:b w:val="false"/>
          <w:bCs w:val="false"/>
          <w:i w:val="false"/>
          <w:iCs w:val="false"/>
          <w:color w:val="1A1A2E"/>
          <w:sz w:val="20"/>
          <w:szCs w:val="20"/>
        </w:rPr>
        <w:t xml:space="preserve">Australia has four main business structures available to a solo developer launching a commercial software product. Each has different tax, liability, and compliance implications.</w:t>
      </w:r>
    </w:p>
    <w:p>
      <w:pPr>
        <w:spacing w:after="80" w:before="0"/>
      </w:pPr>
    </w:p>
    <w:p>
      <w:pPr>
        <w:pStyle w:val="Heading2"/>
        <w:spacing w:after="130" w:before="300"/>
      </w:pPr>
      <w:r>
        <w:rPr>
          <w:b/>
          <w:bCs/>
          <w:color w:val="1B4F8A"/>
          <w:sz w:val="26"/>
          <w:szCs w:val="26"/>
        </w:rPr>
        <w:t xml:space="preserve">2.1 Comparison at a Glance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2200"/>
      </w:tblGrid>
      <w:tr>
        <w:tc>
          <w:tcPr>
            <w:tcW w:type="dxa" w:w="2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center"/>
            </w:pPr>
            <w:r>
              <w:rPr>
                <w:b/>
                <w:bCs/>
                <w:color w:val="FFFFFF"/>
                <w:sz w:val="18"/>
                <w:szCs w:val="18"/>
              </w:rPr>
              <w:t xml:space="preserve">Factor</w:t>
            </w:r>
          </w:p>
        </w:tc>
        <w:tc>
          <w:tcPr>
            <w:tcW w:type="dxa" w:w="2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center"/>
            </w:pPr>
            <w:r>
              <w:rPr>
                <w:b/>
                <w:bCs/>
                <w:color w:val="FFFFFF"/>
                <w:sz w:val="18"/>
                <w:szCs w:val="18"/>
              </w:rPr>
              <w:t xml:space="preserve">Sole Trader</w:t>
            </w:r>
          </w:p>
        </w:tc>
        <w:tc>
          <w:tcPr>
            <w:tcW w:type="dxa" w:w="24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center"/>
            </w:pPr>
            <w:r>
              <w:rPr>
                <w:b/>
                <w:bCs/>
                <w:color w:val="FFFFFF"/>
                <w:sz w:val="18"/>
                <w:szCs w:val="18"/>
              </w:rPr>
              <w:t xml:space="preserve">Pty Ltd Company</w:t>
            </w:r>
          </w:p>
        </w:tc>
        <w:tc>
          <w:tcPr>
            <w:tcW w:type="dxa" w:w="2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center"/>
            </w:pPr>
            <w:r>
              <w:rPr>
                <w:b/>
                <w:bCs/>
                <w:color w:val="FFFFFF"/>
                <w:sz w:val="18"/>
                <w:szCs w:val="18"/>
              </w:rPr>
              <w:t xml:space="preserve">Discretionary Trust</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Setup cost</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bCs/>
                <w:color w:val="1A1A2E"/>
                <w:sz w:val="18"/>
                <w:szCs w:val="18"/>
              </w:rPr>
              <w:t xml:space="preserve">Free (ABN only)</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bCs/>
                <w:color w:val="1A1A2E"/>
                <w:sz w:val="18"/>
                <w:szCs w:val="18"/>
              </w:rPr>
              <w:t xml:space="preserve">~$600 ASIC + $500–1,500 legal</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bCs/>
                <w:color w:val="1A1A2E"/>
                <w:sz w:val="18"/>
                <w:szCs w:val="18"/>
              </w:rPr>
              <w:t xml:space="preserve">~$1,500–3,000 legal</w:t>
            </w:r>
          </w:p>
        </w:tc>
      </w:tr>
      <w:tr>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Annual compliance cost</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Minimal</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~$1,300 ASIC + $2K–4K accountant</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~$2K–5K accountant</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Tax rate on profits</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Up to 47% (incl. Medicare)</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25% (Base Rate Entity)</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Distributed at individual rates</w:t>
            </w:r>
          </w:p>
        </w:tc>
      </w:tr>
      <w:tr>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Asset protection</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None — personal assets at risk</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Yes — limited liability</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Yes (if structured correctly)</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R&amp;D Tax Incentive eligible?</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 NOT ELIGIBLE</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 YES — 43.5% cash offset</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 Not directly eligible</w:t>
            </w:r>
          </w:p>
        </w:tc>
      </w:tr>
      <w:tr>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Grant eligibility</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Often excluded</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 Fully eligible</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Eligible via corporate trustee</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How you get paid</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Drawings (informal)</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Salary + dividends</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Trust distributions</w:t>
            </w:r>
          </w:p>
        </w:tc>
      </w:tr>
      <w:tr>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CGT 50% discount (personal)</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Yes (assets held &gt;12 months)</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No (company does not get it)</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Yes (via individual beneficiary)</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Superannuation obligation</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Self-directed (no obligation)</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12% on director salary</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Depends on structure</w:t>
            </w:r>
          </w:p>
        </w:tc>
      </w:tr>
      <w:tr>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Complexity</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Very simple</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Moderate</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Complex</w:t>
            </w:r>
          </w:p>
        </w:tc>
      </w:tr>
      <w:tr>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Best suited for...</w:t>
            </w:r>
          </w:p>
        </w:tc>
        <w:tc>
          <w:tcPr>
            <w:tcW w:type="dxa" w:w="2200"/>
            <w:tcBorders>
              <w:top w:val="single" w:color="D1D5DB" w:sz="2"/>
              <w:left w:val="single" w:color="D1D5DB" w:sz="2"/>
              <w:bottom w:val="single" w:color="D1D5DB" w:sz="2"/>
              <w:right w:val="single" w:color="D1D5DB" w:sz="2"/>
            </w:tcBorders>
            <w:shd w:fill="D6E4F7" w:val="clear"/>
            <w:tcMar>
              <w:top w:type="dxa" w:w="60"/>
              <w:left w:type="dxa" w:w="100"/>
              <w:bottom w:type="dxa" w:w="60"/>
              <w:right w:type="dxa" w:w="80"/>
            </w:tcMar>
          </w:tcPr>
          <w:p>
            <w:pPr>
              <w:jc w:val="center"/>
            </w:pPr>
            <w:r>
              <w:rPr>
                <w:b w:val="false"/>
                <w:bCs w:val="false"/>
                <w:color w:val="1A1A2E"/>
                <w:sz w:val="18"/>
                <w:szCs w:val="18"/>
              </w:rPr>
              <w:t xml:space="preserve">Freelancers, tiny income</w:t>
            </w:r>
          </w:p>
        </w:tc>
        <w:tc>
          <w:tcPr>
            <w:tcW w:type="dxa" w:w="24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center"/>
            </w:pPr>
            <w:r>
              <w:rPr>
                <w:b w:val="false"/>
                <w:bCs w:val="false"/>
                <w:color w:val="1A1A2E"/>
                <w:sz w:val="18"/>
                <w:szCs w:val="18"/>
              </w:rPr>
              <w:t xml:space="preserve">Commercial software products</w:t>
            </w:r>
          </w:p>
        </w:tc>
        <w:tc>
          <w:tcPr>
            <w:tcW w:type="dxa" w:w="2200"/>
            <w:tcBorders>
              <w:top w:val="single" w:color="D1D5DB" w:sz="2"/>
              <w:left w:val="single" w:color="D1D5DB" w:sz="2"/>
              <w:bottom w:val="single" w:color="D1D5DB" w:sz="2"/>
              <w:right w:val="single" w:color="D1D5DB" w:sz="2"/>
            </w:tcBorders>
            <w:shd w:fill="FEF3C7" w:val="clear"/>
            <w:tcMar>
              <w:top w:type="dxa" w:w="60"/>
              <w:left w:type="dxa" w:w="100"/>
              <w:bottom w:type="dxa" w:w="60"/>
              <w:right w:type="dxa" w:w="80"/>
            </w:tcMar>
          </w:tcPr>
          <w:p>
            <w:pPr>
              <w:jc w:val="center"/>
            </w:pPr>
            <w:r>
              <w:rPr>
                <w:b w:val="false"/>
                <w:bCs w:val="false"/>
                <w:color w:val="1A1A2E"/>
                <w:sz w:val="18"/>
                <w:szCs w:val="18"/>
              </w:rPr>
              <w:t xml:space="preserve">Family income splitting needs</w:t>
            </w:r>
          </w:p>
        </w:tc>
      </w:tr>
    </w:tbl>
    <w:p>
      <w:pPr>
        <w:spacing w:after="120" w:before="0"/>
      </w:pPr>
    </w:p>
    <w:p>
      <w:pPr>
        <w:pStyle w:val="Heading2"/>
        <w:spacing w:after="130" w:before="300"/>
      </w:pPr>
      <w:r>
        <w:rPr>
          <w:b/>
          <w:bCs/>
          <w:color w:val="1B4F8A"/>
          <w:sz w:val="26"/>
          <w:szCs w:val="26"/>
        </w:rPr>
        <w:t xml:space="preserve">2.2 Recommended Structure: Proprietary Limited Company (Pty Ltd)</w:t>
      </w:r>
    </w:p>
    <w:p>
      <w:pPr>
        <w:spacing w:after="120" w:before="60" w:line="276"/>
        <w:jc w:val="both"/>
      </w:pPr>
      <w:r>
        <w:rPr>
          <w:b w:val="false"/>
          <w:bCs w:val="false"/>
          <w:i w:val="false"/>
          <w:iCs w:val="false"/>
          <w:color w:val="1A1A2E"/>
          <w:sz w:val="20"/>
          <w:szCs w:val="20"/>
        </w:rPr>
        <w:t xml:space="preserve">For Mobile Soft PLC Simulator, a standard Proprietary Limited Company is the correct structure from launch day. Here is what that means in practice:</w:t>
      </w:r>
    </w:p>
    <w:p>
      <w:pPr>
        <w:spacing w:after="40" w:before="40" w:line="260"/>
        <w:ind w:left="360" w:hanging="259"/>
      </w:pPr>
      <w:r>
        <w:rPr>
          <w:b/>
          <w:bCs/>
          <w:color w:val="2E86C1"/>
          <w:sz w:val="20"/>
          <w:szCs w:val="20"/>
        </w:rPr>
        <w:t xml:space="preserve">▪  </w:t>
      </w:r>
      <w:r>
        <w:rPr>
          <w:b/>
          <w:bCs/>
          <w:color w:val="1A1A2E"/>
          <w:sz w:val="20"/>
          <w:szCs w:val="20"/>
        </w:rPr>
        <w:t xml:space="preserve">Company Name: </w:t>
      </w:r>
      <w:r>
        <w:rPr>
          <w:color w:val="1A1A2E"/>
          <w:sz w:val="20"/>
          <w:szCs w:val="20"/>
        </w:rPr>
        <w:t xml:space="preserve">Register a name such as "Mobile Soft PLC Pty Ltd" or "Franz Software Solutions Pty Ltd" with ASIC. The company itself (not you personally) owns the software IP, app store accounts, and contracts.</w:t>
      </w:r>
    </w:p>
    <w:p>
      <w:pPr>
        <w:spacing w:after="40" w:before="40" w:line="260"/>
        <w:ind w:left="360" w:hanging="259"/>
      </w:pPr>
      <w:r>
        <w:rPr>
          <w:b/>
          <w:bCs/>
          <w:color w:val="2E86C1"/>
          <w:sz w:val="20"/>
          <w:szCs w:val="20"/>
        </w:rPr>
        <w:t xml:space="preserve">▪  </w:t>
      </w:r>
      <w:r>
        <w:rPr>
          <w:b/>
          <w:bCs/>
          <w:color w:val="1A1A2E"/>
          <w:sz w:val="20"/>
          <w:szCs w:val="20"/>
        </w:rPr>
        <w:t xml:space="preserve">ABN &amp; ACN: </w:t>
      </w:r>
      <w:r>
        <w:rPr>
          <w:color w:val="1A1A2E"/>
          <w:sz w:val="20"/>
          <w:szCs w:val="20"/>
        </w:rPr>
        <w:t xml:space="preserve">The company gets its own ABN and an Australian Company Number (ACN) from ASIC. You will use the ABN for App Store/Play Console registration and business invoicing.</w:t>
      </w:r>
    </w:p>
    <w:p>
      <w:pPr>
        <w:spacing w:after="40" w:before="40" w:line="260"/>
        <w:ind w:left="360" w:hanging="259"/>
      </w:pPr>
      <w:r>
        <w:rPr>
          <w:b/>
          <w:bCs/>
          <w:color w:val="2E86C1"/>
          <w:sz w:val="20"/>
          <w:szCs w:val="20"/>
        </w:rPr>
        <w:t xml:space="preserve">▪  </w:t>
      </w:r>
      <w:r>
        <w:rPr>
          <w:b/>
          <w:bCs/>
          <w:color w:val="1A1A2E"/>
          <w:sz w:val="20"/>
          <w:szCs w:val="20"/>
        </w:rPr>
        <w:t xml:space="preserve">Shares &amp; Directors: </w:t>
      </w:r>
      <w:r>
        <w:rPr>
          <w:color w:val="1A1A2E"/>
          <w:sz w:val="20"/>
          <w:szCs w:val="20"/>
        </w:rPr>
        <w:t xml:space="preserve">As a solo founder, you will typically be the sole director, sole shareholder (or 100% holder), and company secretary. You can add co-founders or investors as shareholders later without restructuring.</w:t>
      </w:r>
    </w:p>
    <w:p>
      <w:pPr>
        <w:spacing w:after="40" w:before="40" w:line="260"/>
        <w:ind w:left="360" w:hanging="259"/>
      </w:pPr>
      <w:r>
        <w:rPr>
          <w:b/>
          <w:bCs/>
          <w:color w:val="2E86C1"/>
          <w:sz w:val="20"/>
          <w:szCs w:val="20"/>
        </w:rPr>
        <w:t xml:space="preserve">▪  </w:t>
      </w:r>
      <w:r>
        <w:rPr>
          <w:b/>
          <w:bCs/>
          <w:color w:val="1A1A2E"/>
          <w:sz w:val="20"/>
          <w:szCs w:val="20"/>
        </w:rPr>
        <w:t xml:space="preserve">Company Bank Account: </w:t>
      </w:r>
      <w:r>
        <w:rPr>
          <w:color w:val="1A1A2E"/>
          <w:sz w:val="20"/>
          <w:szCs w:val="20"/>
        </w:rPr>
        <w:t xml:space="preserve">The company operates its own bank account entirely separate from your personal account. All App Store proceeds, licence payments, and education invoices go to the company account.</w:t>
      </w:r>
    </w:p>
    <w:p>
      <w:pPr>
        <w:spacing w:after="40" w:before="40" w:line="260"/>
        <w:ind w:left="360" w:hanging="259"/>
      </w:pPr>
      <w:r>
        <w:rPr>
          <w:b/>
          <w:bCs/>
          <w:color w:val="2E86C1"/>
          <w:sz w:val="20"/>
          <w:szCs w:val="20"/>
        </w:rPr>
        <w:t xml:space="preserve">▪  </w:t>
      </w:r>
      <w:r>
        <w:rPr>
          <w:b/>
          <w:bCs/>
          <w:color w:val="1A1A2E"/>
          <w:sz w:val="20"/>
          <w:szCs w:val="20"/>
        </w:rPr>
        <w:t xml:space="preserve">Tax File Number: </w:t>
      </w:r>
      <w:r>
        <w:rPr>
          <w:color w:val="1A1A2E"/>
          <w:sz w:val="20"/>
          <w:szCs w:val="20"/>
        </w:rPr>
        <w:t xml:space="preserve">The company has its own TFN separate from yours. Company pays 25% tax on its net profit annually. You personally pay tax only on what you extract (salary or dividends).</w:t>
      </w:r>
    </w:p>
    <w:p>
      <w:pPr>
        <w:spacing w:after="80" w:before="0"/>
      </w:pPr>
    </w:p>
    <w:p>
      <w:pPr>
        <w:pStyle w:val="Heading3"/>
        <w:spacing w:after="80" w:before="220"/>
      </w:pPr>
      <w:r>
        <w:rPr>
          <w:b/>
          <w:bCs/>
          <w:color w:val="2E86C1"/>
          <w:sz w:val="22"/>
          <w:szCs w:val="22"/>
        </w:rPr>
        <w:t xml:space="preserve">Setup Steps</w:t>
      </w:r>
    </w:p>
    <w:p>
      <w:pPr>
        <w:spacing w:after="40" w:before="40" w:line="260"/>
        <w:ind w:left="720" w:hanging="431"/>
      </w:pPr>
      <w:r>
        <w:rPr>
          <w:b/>
          <w:bCs/>
          <w:color w:val="2E86C1"/>
          <w:sz w:val="20"/>
          <w:szCs w:val="20"/>
        </w:rPr>
        <w:t xml:space="preserve">1.  </w:t>
      </w:r>
      <w:r>
        <w:rPr>
          <w:color w:val="1A1A2E"/>
          <w:sz w:val="20"/>
          <w:szCs w:val="20"/>
        </w:rPr>
        <w:t xml:space="preserve">Register the company via ASIC Connect (asic.gov.au) — $586 registration fee as at 2025–26. Takes 24–48 hours.</w:t>
      </w:r>
    </w:p>
    <w:p>
      <w:pPr>
        <w:spacing w:after="40" w:before="40" w:line="260"/>
        <w:ind w:left="720" w:hanging="431"/>
      </w:pPr>
      <w:r>
        <w:rPr>
          <w:b/>
          <w:bCs/>
          <w:color w:val="2E86C1"/>
          <w:sz w:val="20"/>
          <w:szCs w:val="20"/>
        </w:rPr>
        <w:t xml:space="preserve">2.  </w:t>
      </w:r>
      <w:r>
        <w:rPr>
          <w:color w:val="1A1A2E"/>
          <w:sz w:val="20"/>
          <w:szCs w:val="20"/>
        </w:rPr>
        <w:t xml:space="preserve">Get an ABN for the company via business.gov.au — free, takes 15 minutes.</w:t>
      </w:r>
    </w:p>
    <w:p>
      <w:pPr>
        <w:spacing w:after="40" w:before="40" w:line="260"/>
        <w:ind w:left="720" w:hanging="431"/>
      </w:pPr>
      <w:r>
        <w:rPr>
          <w:b/>
          <w:bCs/>
          <w:color w:val="2E86C1"/>
          <w:sz w:val="20"/>
          <w:szCs w:val="20"/>
        </w:rPr>
        <w:t xml:space="preserve">3.  </w:t>
      </w:r>
      <w:r>
        <w:rPr>
          <w:color w:val="1A1A2E"/>
          <w:sz w:val="20"/>
          <w:szCs w:val="20"/>
        </w:rPr>
        <w:t xml:space="preserve">Register for GST if you expect turnover &gt;$75,000 in 12 months (or register voluntarily from the start to claim GST credits on business expenses). Note: Apple and Google collect and remit Australian GST on App Store purchases on your behalf — your obligation is to report this correctly in your BAS.</w:t>
      </w:r>
    </w:p>
    <w:p>
      <w:pPr>
        <w:spacing w:after="40" w:before="40" w:line="260"/>
        <w:ind w:left="720" w:hanging="431"/>
      </w:pPr>
      <w:r>
        <w:rPr>
          <w:b/>
          <w:bCs/>
          <w:color w:val="2E86C1"/>
          <w:sz w:val="20"/>
          <w:szCs w:val="20"/>
        </w:rPr>
        <w:t xml:space="preserve">4.  </w:t>
      </w:r>
      <w:r>
        <w:rPr>
          <w:color w:val="1A1A2E"/>
          <w:sz w:val="20"/>
          <w:szCs w:val="20"/>
        </w:rPr>
        <w:t xml:space="preserve">Open a business bank account (ANZ, CBA, or a neobank like Up Business or Zeller — Zeller has low fees and good transaction export for accounting).</w:t>
      </w:r>
    </w:p>
    <w:p>
      <w:pPr>
        <w:spacing w:after="40" w:before="40" w:line="260"/>
        <w:ind w:left="720" w:hanging="431"/>
      </w:pPr>
      <w:r>
        <w:rPr>
          <w:b/>
          <w:bCs/>
          <w:color w:val="2E86C1"/>
          <w:sz w:val="20"/>
          <w:szCs w:val="20"/>
        </w:rPr>
        <w:t xml:space="preserve">5.  </w:t>
      </w:r>
      <w:r>
        <w:rPr>
          <w:color w:val="1A1A2E"/>
          <w:sz w:val="20"/>
          <w:szCs w:val="20"/>
        </w:rPr>
        <w:t xml:space="preserve">Set up Xero or MYOB (Xero recommended — ~$35/month, integrates with RevenueCat and Stripe for automated subscription revenue import).</w:t>
      </w:r>
    </w:p>
    <w:p>
      <w:pPr>
        <w:spacing w:after="40" w:before="40" w:line="260"/>
        <w:ind w:left="720" w:hanging="431"/>
      </w:pPr>
      <w:r>
        <w:rPr>
          <w:b/>
          <w:bCs/>
          <w:color w:val="2E86C1"/>
          <w:sz w:val="20"/>
          <w:szCs w:val="20"/>
        </w:rPr>
        <w:t xml:space="preserve">6.  </w:t>
      </w:r>
      <w:r>
        <w:rPr>
          <w:color w:val="1A1A2E"/>
          <w:sz w:val="20"/>
          <w:szCs w:val="20"/>
        </w:rPr>
        <w:t xml:space="preserve">Engage a registered tax agent / CPA familiar with tech startups and R&amp;D claims for your first-year setup and R&amp;D registration.</w:t>
      </w:r>
    </w:p>
    <w:p>
      <w:pPr>
        <w:spacing w:after="80" w:before="0"/>
      </w:pPr>
    </w:p>
    <w:p>
      <w:pPr>
        <w:shd w:fill="FEF3C7" w:val="clear"/>
        <w:spacing w:after="100" w:before="100"/>
        <w:ind w:left="288" w:right="288"/>
      </w:pPr>
      <w:r>
        <w:rPr>
          <w:b/>
          <w:bCs/>
          <w:color w:val="92400E"/>
          <w:sz w:val="20"/>
          <w:szCs w:val="20"/>
        </w:rPr>
        <w:t xml:space="preserve">⚠  </w:t>
      </w:r>
      <w:r>
        <w:rPr>
          <w:color w:val="92400E"/>
          <w:sz w:val="20"/>
          <w:szCs w:val="20"/>
        </w:rPr>
        <w:t xml:space="preserve">Payday Super change from 1 July 2026: If you pay yourself a salary, superannuation must now reach your super fund within 7 business days of each payroll run (previously quarterly). Set this up in your payroll software from the first payslip.</w:t>
      </w:r>
    </w:p>
    <w:p>
      <w:r>
        <w:br w:type="page"/>
      </w:r>
    </w:p>
    <w:p>
      <w:pPr>
        <w:pStyle w:val="Heading1"/>
        <w:pBdr>
          <w:bottom w:val="single" w:color="2E86C1" w:sz="6" w:space="4"/>
        </w:pBdr>
        <w:spacing w:after="180" w:before="400"/>
      </w:pPr>
      <w:r>
        <w:rPr>
          <w:b/>
          <w:bCs/>
          <w:color w:val="1B4F8A"/>
          <w:sz w:val="34"/>
          <w:szCs w:val="34"/>
        </w:rPr>
        <w:t xml:space="preserve">3. How to Pay Yourself</w:t>
      </w:r>
    </w:p>
    <w:p>
      <w:pPr>
        <w:spacing w:after="120" w:before="60" w:line="276"/>
        <w:jc w:val="both"/>
      </w:pPr>
      <w:r>
        <w:rPr>
          <w:b w:val="false"/>
          <w:bCs w:val="false"/>
          <w:i w:val="false"/>
          <w:iCs w:val="false"/>
          <w:color w:val="1A1A2E"/>
          <w:sz w:val="20"/>
          <w:szCs w:val="20"/>
        </w:rPr>
        <w:t xml:space="preserve">As the sole director-shareholder of a Pty Ltd company, you have three legitimate methods to extract money from the business. The optimal strategy uses a combination of all three, tuned to your personal income position in each year.</w:t>
      </w:r>
    </w:p>
    <w:p>
      <w:pPr>
        <w:spacing w:after="80" w:before="0"/>
      </w:pPr>
    </w:p>
    <w:p>
      <w:pPr>
        <w:pStyle w:val="Heading2"/>
        <w:spacing w:after="130" w:before="300"/>
      </w:pPr>
      <w:r>
        <w:rPr>
          <w:b/>
          <w:bCs/>
          <w:color w:val="1B4F8A"/>
          <w:sz w:val="26"/>
          <w:szCs w:val="26"/>
        </w:rPr>
        <w:t xml:space="preserve">3.1 Method 1 — Director's Salary (Wages)</w:t>
      </w:r>
    </w:p>
    <w:p>
      <w:pPr>
        <w:spacing w:after="120" w:before="60" w:line="276"/>
        <w:jc w:val="both"/>
      </w:pPr>
      <w:r>
        <w:rPr>
          <w:b w:val="false"/>
          <w:bCs w:val="false"/>
          <w:i w:val="false"/>
          <w:iCs w:val="false"/>
          <w:color w:val="1A1A2E"/>
          <w:sz w:val="20"/>
          <w:szCs w:val="20"/>
        </w:rPr>
        <w:t xml:space="preserve">The company pays you a regular salary just like any employer pays an employee. You set the amount — it is a genuine arm's-length salary for your role as developer, product manager, and CEO.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Aspect</w:t>
            </w:r>
          </w:p>
        </w:tc>
        <w:tc>
          <w:tcPr>
            <w:tcW w:type="dxa" w:w="6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Detail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Tax treatment</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Deductible expense to company — reduces company taxable profit at 25% rate</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PAYG withholding</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Company withholds tax and remits quarterly to ATO (via Single Touch Payroll)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Superannuation</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12% super guarantee applies — mandatory from 1 July 2026, must reach fund within 7 business days of payroll</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Reporting</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Single Touch Payroll (STP) — automatic payroll reporting via Xero/MYOB</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Personal tax</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Taxed at your marginal rate on annual tax return (same as an employee)</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Best for</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Predictable living expenses, building super balance, proof of income for mortgage applications</w:t>
            </w:r>
          </w:p>
        </w:tc>
      </w:tr>
    </w:tbl>
    <w:p>
      <w:pPr>
        <w:spacing w:after="80" w:before="0"/>
      </w:pPr>
    </w:p>
    <w:p>
      <w:pPr>
        <w:spacing w:after="120" w:before="60" w:line="276"/>
        <w:jc w:val="both"/>
      </w:pPr>
      <w:r>
        <w:rPr>
          <w:b w:val="false"/>
          <w:bCs w:val="false"/>
          <w:i w:val="false"/>
          <w:iCs w:val="false"/>
          <w:color w:val="1A1A2E"/>
          <w:sz w:val="20"/>
          <w:szCs w:val="20"/>
        </w:rPr>
        <w:t xml:space="preserve">Recommended salary in Year 1–2: $50,000–$65,000/year. This sits at the top of the 19% tax bracket / bottom of the 32.5% bracket — keeping your personal rate low while drawing enough to live on. Super on $60K salary = $7,200/year going to your fund.</w:t>
      </w:r>
    </w:p>
    <w:p>
      <w:pPr>
        <w:spacing w:after="80" w:before="0"/>
      </w:pPr>
    </w:p>
    <w:p>
      <w:pPr>
        <w:pStyle w:val="Heading2"/>
        <w:spacing w:after="130" w:before="300"/>
      </w:pPr>
      <w:r>
        <w:rPr>
          <w:b/>
          <w:bCs/>
          <w:color w:val="1B4F8A"/>
          <w:sz w:val="26"/>
          <w:szCs w:val="26"/>
        </w:rPr>
        <w:t xml:space="preserve">3.2 Method 2 — Franked Dividends</w:t>
      </w:r>
    </w:p>
    <w:p>
      <w:pPr>
        <w:spacing w:after="120" w:before="60" w:line="276"/>
        <w:jc w:val="both"/>
      </w:pPr>
      <w:r>
        <w:rPr>
          <w:b w:val="false"/>
          <w:bCs w:val="false"/>
          <w:i w:val="false"/>
          <w:iCs w:val="false"/>
          <w:color w:val="1A1A2E"/>
          <w:sz w:val="20"/>
          <w:szCs w:val="20"/>
        </w:rPr>
        <w:t xml:space="preserve">After the company earns profit and pays 25% company tax, remaining profit can be distributed to you (the shareholder) as a dividend. Because the company already paid 25% tax, the dividend carries "franking credits" — a tax credit you use to offset your personal tax liability on the dividend.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Aspect</w:t>
            </w:r>
          </w:p>
        </w:tc>
        <w:tc>
          <w:tcPr>
            <w:tcW w:type="dxa" w:w="6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Detail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Tax treatment</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NOT deductible to company — paid from after-tax profit</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Franking credits</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Dividend carries a 25/75 franking credit (e.g., $75 cash dividend + $25 franking credit = $100 grossed-up)</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Personal tax</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You declare the grossed-up amount and get a credit for the company tax already paid</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No super</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Dividends do not trigger superannuation obligations</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No PAYG withholding</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No withholding at time of payment — you settle personal tax at year-end</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Requirements</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Requires available retained profits, directors' resolution, franking account balance, and a dividend statement</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Best for</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Distributing profits once the company is profitable; tax-efficient when personal marginal rate &lt; 47%</w:t>
            </w:r>
          </w:p>
        </w:tc>
      </w:tr>
    </w:tbl>
    <w:p>
      <w:pPr>
        <w:spacing w:after="80" w:before="0"/>
      </w:pPr>
    </w:p>
    <w:p>
      <w:pPr>
        <w:spacing w:after="120" w:before="60" w:line="276"/>
        <w:jc w:val="both"/>
      </w:pPr>
      <w:r>
        <w:rPr>
          <w:b w:val="false"/>
          <w:bCs w:val="false"/>
          <w:i w:val="false"/>
          <w:iCs w:val="false"/>
          <w:color w:val="1A1A2E"/>
          <w:sz w:val="20"/>
          <w:szCs w:val="20"/>
        </w:rPr>
        <w:t xml:space="preserve">Example — how franked dividends work: The company earns $100,000 profit, pays $25,000 company tax, and has $75,000 available to distribute. You declare a $75,000 fully-franked dividend. On your personal return, you declare $100,000 (the grossed-up amount) and get a $25,000 franking credit offset. If your personal rate is 32.5%, your personal tax is $32,500 minus the $25,000 credit = $7,500 additional tax payable. Effective rate on that $75K cash received: 32,500/100,000 = 32.5% — the same as if you had earned it personally, but you had the choice of when to declare the dividend.</w:t>
      </w:r>
    </w:p>
    <w:p>
      <w:pPr>
        <w:spacing w:after="80" w:before="0"/>
      </w:pPr>
    </w:p>
    <w:p>
      <w:pPr>
        <w:pStyle w:val="Heading2"/>
        <w:spacing w:after="130" w:before="300"/>
      </w:pPr>
      <w:r>
        <w:rPr>
          <w:b/>
          <w:bCs/>
          <w:color w:val="1B4F8A"/>
          <w:sz w:val="26"/>
          <w:szCs w:val="26"/>
        </w:rPr>
        <w:t xml:space="preserve">3.3 Method 3 — Director's Loan (Use With Caution)</w:t>
      </w:r>
    </w:p>
    <w:p>
      <w:pPr>
        <w:spacing w:after="120" w:before="60" w:line="276"/>
        <w:jc w:val="both"/>
      </w:pPr>
      <w:r>
        <w:rPr>
          <w:b w:val="false"/>
          <w:bCs w:val="false"/>
          <w:i w:val="false"/>
          <w:iCs w:val="false"/>
          <w:color w:val="1A1A2E"/>
          <w:sz w:val="20"/>
          <w:szCs w:val="20"/>
        </w:rPr>
        <w:t xml:space="preserve">If you transfer money from the company account to your personal account without processing it as salary or a dividend, it defaults to a "director's loan." These are governed by Division 7A of the Income Tax Assessment Act.</w:t>
      </w:r>
    </w:p>
    <w:p>
      <w:pPr>
        <w:shd w:fill="FEE2E2" w:val="clear"/>
        <w:spacing w:after="100" w:before="100"/>
        <w:ind w:left="288" w:right="288"/>
      </w:pPr>
      <w:r>
        <w:rPr>
          <w:b/>
          <w:bCs/>
          <w:color w:val="991B1B"/>
          <w:sz w:val="20"/>
          <w:szCs w:val="20"/>
        </w:rPr>
        <w:t xml:space="preserve">⚠  </w:t>
      </w:r>
      <w:r>
        <w:rPr>
          <w:color w:val="991B1B"/>
          <w:sz w:val="20"/>
          <w:szCs w:val="20"/>
        </w:rPr>
        <w:t xml:space="preserve">Division 7A trap: If a director's loan is not repaid (or formalised under a complying loan agreement) by the company's tax return lodgement date, the ATO can treat it as an unfranked deemed dividend — taxable in full at your personal marginal rate with no franking offset. Never use the company account as a personal ATM without documenting each transaction. Your accountant should review the director loan account balance monthly.</w:t>
      </w:r>
    </w:p>
    <w:p>
      <w:pPr>
        <w:spacing w:after="80" w:before="0"/>
      </w:pPr>
    </w:p>
    <w:p>
      <w:pPr>
        <w:pStyle w:val="Heading2"/>
        <w:spacing w:after="130" w:before="300"/>
      </w:pPr>
      <w:r>
        <w:rPr>
          <w:b/>
          <w:bCs/>
          <w:color w:val="1B4F8A"/>
          <w:sz w:val="26"/>
          <w:szCs w:val="26"/>
        </w:rPr>
        <w:t xml:space="preserve">3.4 Recommended Pay Strategy — Year by Year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200"/>
        <w:gridCol w:w="4200"/>
      </w:tblGrid>
      <w:tr>
        <w:tc>
          <w:tcPr>
            <w:tcW w:type="dxa" w:w="1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Year</w:t>
            </w:r>
          </w:p>
        </w:tc>
        <w:tc>
          <w:tcPr>
            <w:tcW w:type="dxa" w:w="17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Salary</w:t>
            </w:r>
          </w:p>
        </w:tc>
        <w:tc>
          <w:tcPr>
            <w:tcW w:type="dxa" w:w="2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Dividends</w:t>
            </w:r>
          </w:p>
        </w:tc>
        <w:tc>
          <w:tcPr>
            <w:tcW w:type="dxa" w:w="4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Rationale</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Year 1</w:t>
            </w:r>
          </w:p>
        </w:tc>
        <w:tc>
          <w:tcPr>
            <w:tcW w:type="dxa" w:w="17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$50,000</w:t>
            </w:r>
          </w:p>
        </w:tc>
        <w:tc>
          <w:tcPr>
            <w:tcW w:type="dxa" w:w="2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$0–$5,000</w:t>
            </w:r>
          </w:p>
        </w:tc>
        <w:tc>
          <w:tcPr>
            <w:tcW w:type="dxa" w:w="4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Revenue is building; keep salary modest to minimise PAYG burden. Company retains profit for R&amp;D spend and R&amp;D tax claim.</w:t>
            </w:r>
          </w:p>
        </w:tc>
      </w:tr>
      <w:tr>
        <w:tc>
          <w:tcPr>
            <w:tcW w:type="dxa" w:w="1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Year 2</w:t>
            </w:r>
          </w:p>
        </w:tc>
        <w:tc>
          <w:tcPr>
            <w:tcW w:type="dxa" w:w="17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$60,000</w:t>
            </w:r>
          </w:p>
        </w:tc>
        <w:tc>
          <w:tcPr>
            <w:tcW w:type="dxa" w:w="2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$10,000–$20,000</w:t>
            </w:r>
          </w:p>
        </w:tc>
        <w:tc>
          <w:tcPr>
            <w:tcW w:type="dxa" w:w="4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Revenue growing; begin declaring small franked dividends as company profit becomes consistent.</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Year 3</w:t>
            </w:r>
          </w:p>
        </w:tc>
        <w:tc>
          <w:tcPr>
            <w:tcW w:type="dxa" w:w="17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$75,000</w:t>
            </w:r>
          </w:p>
        </w:tc>
        <w:tc>
          <w:tcPr>
            <w:tcW w:type="dxa" w:w="2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$30,000–$50,000</w:t>
            </w:r>
          </w:p>
        </w:tc>
        <w:tc>
          <w:tcPr>
            <w:tcW w:type="dxa" w:w="4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Company profitable at $122K+ net. Dividends become significant tax-efficient income stream.</w:t>
            </w:r>
          </w:p>
        </w:tc>
      </w:tr>
      <w:tr>
        <w:tc>
          <w:tcPr>
            <w:tcW w:type="dxa" w:w="1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Year 4–5</w:t>
            </w:r>
          </w:p>
        </w:tc>
        <w:tc>
          <w:tcPr>
            <w:tcW w:type="dxa" w:w="17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$90,000</w:t>
            </w:r>
          </w:p>
        </w:tc>
        <w:tc>
          <w:tcPr>
            <w:tcW w:type="dxa" w:w="2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$80,000–$130,000</w:t>
            </w:r>
          </w:p>
        </w:tc>
        <w:tc>
          <w:tcPr>
            <w:tcW w:type="dxa" w:w="4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At 88%+ margin, most profit can be distributed. Retain 10–15% in company for reserves and reinvestment.</w:t>
            </w:r>
          </w:p>
        </w:tc>
      </w:tr>
    </w:tbl>
    <w:p>
      <w:pPr>
        <w:spacing w:after="80" w:before="0"/>
      </w:pPr>
    </w:p>
    <w:p>
      <w:pPr>
        <w:shd w:fill="EDE9FE" w:val="clear"/>
        <w:spacing w:after="100" w:before="100"/>
        <w:ind w:left="288" w:right="288"/>
      </w:pPr>
      <w:r>
        <w:rPr>
          <w:b/>
          <w:bCs/>
          <w:color w:val="5B21B6"/>
          <w:sz w:val="20"/>
          <w:szCs w:val="20"/>
        </w:rPr>
        <w:t xml:space="preserve">ℹ  </w:t>
      </w:r>
      <w:r>
        <w:rPr>
          <w:color w:val="5B21B6"/>
          <w:sz w:val="20"/>
          <w:szCs w:val="20"/>
        </w:rPr>
        <w:t xml:space="preserve">Income-splitting future option: Once married or with a domestic partner, they can be issued shares in the company (or a family trust can be the shareholder) and dividends split between two lower tax brackets — potentially saving $10,000–$25,000 per year. This requires proper trust deed or constitution amendment and specialist tax advice. Do not implement without a registered tax agent.</w:t>
      </w:r>
    </w:p>
    <w:p>
      <w:r>
        <w:br w:type="page"/>
      </w:r>
    </w:p>
    <w:p>
      <w:pPr>
        <w:pStyle w:val="Heading1"/>
        <w:pBdr>
          <w:bottom w:val="single" w:color="2E86C1" w:sz="6" w:space="4"/>
        </w:pBdr>
        <w:spacing w:after="180" w:before="400"/>
      </w:pPr>
      <w:r>
        <w:rPr>
          <w:b/>
          <w:bCs/>
          <w:color w:val="1B4F8A"/>
          <w:sz w:val="34"/>
          <w:szCs w:val="34"/>
        </w:rPr>
        <w:t xml:space="preserve">4. Tax Rates &amp; Small Business Concessions</w:t>
      </w:r>
    </w:p>
    <w:p>
      <w:pPr>
        <w:pStyle w:val="Heading2"/>
        <w:spacing w:after="130" w:before="300"/>
      </w:pPr>
      <w:r>
        <w:rPr>
          <w:b/>
          <w:bCs/>
          <w:color w:val="1B4F8A"/>
          <w:sz w:val="26"/>
          <w:szCs w:val="26"/>
        </w:rPr>
        <w:t xml:space="preserve">4.1 Personal Income Tax Rates 2025–26</w:t>
      </w:r>
    </w:p>
    <w:p>
      <w:pPr>
        <w:spacing w:after="120" w:before="60" w:line="276"/>
        <w:jc w:val="both"/>
      </w:pPr>
      <w:r>
        <w:rPr>
          <w:b w:val="false"/>
          <w:bCs w:val="false"/>
          <w:i w:val="false"/>
          <w:iCs w:val="false"/>
          <w:color w:val="1A1A2E"/>
          <w:sz w:val="20"/>
          <w:szCs w:val="20"/>
        </w:rPr>
        <w:t xml:space="preserve">The following rates apply to your personal income (salary + any dividends declared on your tax return):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00"/>
      </w:tblGrid>
      <w:tr>
        <w:tc>
          <w:tcPr>
            <w:tcW w:type="dxa" w:w="3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center"/>
            </w:pPr>
            <w:r>
              <w:rPr>
                <w:b/>
                <w:bCs/>
                <w:color w:val="FFFFFF"/>
                <w:sz w:val="18"/>
                <w:szCs w:val="18"/>
              </w:rPr>
              <w:t xml:space="preserve">Taxable Income</w:t>
            </w:r>
          </w:p>
        </w:tc>
        <w:tc>
          <w:tcPr>
            <w:tcW w:type="dxa" w:w="3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center"/>
            </w:pPr>
            <w:r>
              <w:rPr>
                <w:b/>
                <w:bCs/>
                <w:color w:val="FFFFFF"/>
                <w:sz w:val="18"/>
                <w:szCs w:val="18"/>
              </w:rPr>
              <w:t xml:space="preserve">Tax Rate</w:t>
            </w:r>
          </w:p>
        </w:tc>
        <w:tc>
          <w:tcPr>
            <w:tcW w:type="dxa" w:w="29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center"/>
            </w:pPr>
            <w:r>
              <w:rPr>
                <w:b/>
                <w:bCs/>
                <w:color w:val="FFFFFF"/>
                <w:sz w:val="18"/>
                <w:szCs w:val="18"/>
              </w:rPr>
              <w:t xml:space="preserve">Tax on Each Extra $1</w:t>
            </w:r>
          </w:p>
        </w:tc>
      </w:tr>
      <w:tr>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$0 – $18,200</w:t>
            </w:r>
          </w:p>
        </w:tc>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Nil</w:t>
            </w:r>
          </w:p>
        </w:tc>
        <w:tc>
          <w:tcPr>
            <w:tcW w:type="dxa" w:w="29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$0.00</w:t>
            </w:r>
          </w:p>
        </w:tc>
      </w:tr>
      <w:tr>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$18,201 – $45,000</w:t>
            </w:r>
          </w:p>
        </w:tc>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19%</w:t>
            </w:r>
          </w:p>
        </w:tc>
        <w:tc>
          <w:tcPr>
            <w:tcW w:type="dxa" w:w="29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$0.19</w:t>
            </w:r>
          </w:p>
        </w:tc>
      </w:tr>
      <w:tr>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$45,001 – $120,000</w:t>
            </w:r>
          </w:p>
        </w:tc>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32.5%</w:t>
            </w:r>
          </w:p>
        </w:tc>
        <w:tc>
          <w:tcPr>
            <w:tcW w:type="dxa" w:w="29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$0.325</w:t>
            </w:r>
          </w:p>
        </w:tc>
      </w:tr>
      <w:tr>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$120,001 – $180,000</w:t>
            </w:r>
          </w:p>
        </w:tc>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37%</w:t>
            </w:r>
          </w:p>
        </w:tc>
        <w:tc>
          <w:tcPr>
            <w:tcW w:type="dxa" w:w="29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$0.37</w:t>
            </w:r>
          </w:p>
        </w:tc>
      </w:tr>
      <w:tr>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$180,001+</w:t>
            </w:r>
          </w:p>
        </w:tc>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45%</w:t>
            </w:r>
          </w:p>
        </w:tc>
        <w:tc>
          <w:tcPr>
            <w:tcW w:type="dxa" w:w="29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$0.45</w:t>
            </w:r>
          </w:p>
        </w:tc>
      </w:tr>
      <w:tr>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Medicare Levy (add to all above)</w:t>
            </w:r>
          </w:p>
        </w:tc>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+2%</w:t>
            </w:r>
          </w:p>
        </w:tc>
        <w:tc>
          <w:tcPr>
            <w:tcW w:type="dxa" w:w="29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+$0.02</w:t>
            </w:r>
          </w:p>
        </w:tc>
      </w:tr>
    </w:tbl>
    <w:p>
      <w:pPr>
        <w:spacing w:after="80" w:before="0"/>
      </w:pPr>
    </w:p>
    <w:p>
      <w:pPr>
        <w:pStyle w:val="Heading2"/>
        <w:spacing w:after="130" w:before="300"/>
      </w:pPr>
      <w:r>
        <w:rPr>
          <w:b/>
          <w:bCs/>
          <w:color w:val="1B4F8A"/>
          <w:sz w:val="26"/>
          <w:szCs w:val="26"/>
        </w:rPr>
        <w:t xml:space="preserve">4.2 Company Tax Rate 2025–26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4700"/>
      </w:tblGrid>
      <w:tr>
        <w:tc>
          <w:tcPr>
            <w:tcW w:type="dxa" w:w="31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Company Type</w:t>
            </w:r>
          </w:p>
        </w:tc>
        <w:tc>
          <w:tcPr>
            <w:tcW w:type="dxa" w:w="1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Tax Rate</w:t>
            </w:r>
          </w:p>
        </w:tc>
        <w:tc>
          <w:tcPr>
            <w:tcW w:type="dxa" w:w="47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Eligibility</w:t>
            </w:r>
          </w:p>
        </w:tc>
      </w:tr>
      <w:tr>
        <w:tc>
          <w:tcPr>
            <w:tcW w:type="dxa" w:w="31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Base Rate Entity (BRE)</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25%</w:t>
            </w:r>
          </w:p>
        </w:tc>
        <w:tc>
          <w:tcPr>
            <w:tcW w:type="dxa" w:w="47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Aggregated turnover under $50M AND ≤80% passive income</w:t>
            </w:r>
          </w:p>
        </w:tc>
      </w:tr>
      <w:tr>
        <w:tc>
          <w:tcPr>
            <w:tcW w:type="dxa" w:w="31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Standard company</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30%</w:t>
            </w:r>
          </w:p>
        </w:tc>
        <w:tc>
          <w:tcPr>
            <w:tcW w:type="dxa" w:w="47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All other companies</w:t>
            </w:r>
          </w:p>
        </w:tc>
      </w:tr>
      <w:tr>
        <w:tc>
          <w:tcPr>
            <w:tcW w:type="dxa" w:w="31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App developer on projected revenue</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25% (BRE)</w:t>
            </w:r>
          </w:p>
        </w:tc>
        <w:tc>
          <w:tcPr>
            <w:tcW w:type="dxa" w:w="47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Mobile Soft PLC Pty Ltd will qualify as a BRE for all 5 forecast years</w:t>
            </w:r>
          </w:p>
        </w:tc>
      </w:tr>
    </w:tbl>
    <w:p>
      <w:pPr>
        <w:spacing w:after="80" w:before="0"/>
      </w:pPr>
    </w:p>
    <w:p>
      <w:pPr>
        <w:pStyle w:val="Heading2"/>
        <w:spacing w:after="130" w:before="300"/>
      </w:pPr>
      <w:r>
        <w:rPr>
          <w:b/>
          <w:bCs/>
          <w:color w:val="1B4F8A"/>
          <w:sz w:val="26"/>
          <w:szCs w:val="26"/>
        </w:rPr>
        <w:t xml:space="preserve">4.3 Tax Rate Crossover — When Company Structure Saves Tax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500"/>
        <w:gridCol w:w="17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Profit Level</w:t>
            </w:r>
          </w:p>
        </w:tc>
        <w:tc>
          <w:tcPr>
            <w:tcW w:type="dxa" w:w="23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Sole Trader Tax</w:t>
            </w:r>
          </w:p>
        </w:tc>
        <w:tc>
          <w:tcPr>
            <w:tcW w:type="dxa" w:w="2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Company Tax (retained)</w:t>
            </w:r>
          </w:p>
        </w:tc>
        <w:tc>
          <w:tcPr>
            <w:tcW w:type="dxa" w:w="17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Annual Tax Saving</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$50,000</w:t>
            </w:r>
          </w:p>
        </w:tc>
        <w:tc>
          <w:tcPr>
            <w:tcW w:type="dxa" w:w="2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~$8,717 (19%+)</w:t>
            </w:r>
          </w:p>
        </w:tc>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$12,500 (25%)</w:t>
            </w:r>
          </w:p>
        </w:tc>
        <w:tc>
          <w:tcPr>
            <w:tcW w:type="dxa" w:w="17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Sole trader cheaper at this level</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$80,000</w:t>
            </w:r>
          </w:p>
        </w:tc>
        <w:tc>
          <w:tcPr>
            <w:tcW w:type="dxa" w:w="2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~$19,147 (32.5%)</w:t>
            </w:r>
          </w:p>
        </w:tc>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$20,000 (25%)</w:t>
            </w:r>
          </w:p>
        </w:tc>
        <w:tc>
          <w:tcPr>
            <w:tcW w:type="dxa" w:w="17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Roughly equal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$120,000</w:t>
            </w:r>
          </w:p>
        </w:tc>
        <w:tc>
          <w:tcPr>
            <w:tcW w:type="dxa" w:w="2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~$34,497 (32.5%)</w:t>
            </w:r>
          </w:p>
        </w:tc>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$30,000 (25%)</w:t>
            </w:r>
          </w:p>
        </w:tc>
        <w:tc>
          <w:tcPr>
            <w:tcW w:type="dxa" w:w="17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left"/>
            </w:pPr>
            <w:r>
              <w:rPr>
                <w:b/>
                <w:bCs/>
                <w:color w:val="1A7340"/>
                <w:sz w:val="18"/>
                <w:szCs w:val="18"/>
              </w:rPr>
              <w:t xml:space="preserve">Save $4,497/year in company</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$180,000</w:t>
            </w:r>
          </w:p>
        </w:tc>
        <w:tc>
          <w:tcPr>
            <w:tcW w:type="dxa" w:w="2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~$56,207 (37%)</w:t>
            </w:r>
          </w:p>
        </w:tc>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$45,000 (25%)</w:t>
            </w:r>
          </w:p>
        </w:tc>
        <w:tc>
          <w:tcPr>
            <w:tcW w:type="dxa" w:w="17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left"/>
            </w:pPr>
            <w:r>
              <w:rPr>
                <w:b/>
                <w:bCs/>
                <w:color w:val="1A7340"/>
                <w:sz w:val="18"/>
                <w:szCs w:val="18"/>
              </w:rPr>
              <w:t xml:space="preserve">Save $11,207/year in company</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$376,000 (Y5 base)</w:t>
            </w:r>
          </w:p>
        </w:tc>
        <w:tc>
          <w:tcPr>
            <w:tcW w:type="dxa" w:w="2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~$151,400 (45%)</w:t>
            </w:r>
          </w:p>
        </w:tc>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$94,000 (25%)</w:t>
            </w:r>
          </w:p>
        </w:tc>
        <w:tc>
          <w:tcPr>
            <w:tcW w:type="dxa" w:w="1700"/>
            <w:tcBorders>
              <w:top w:val="single" w:color="D1D5DB" w:sz="2"/>
              <w:left w:val="single" w:color="D1D5DB" w:sz="2"/>
              <w:bottom w:val="single" w:color="D1D5DB" w:sz="2"/>
              <w:right w:val="single" w:color="D1D5DB" w:sz="2"/>
            </w:tcBorders>
            <w:shd w:fill="D1FAE5" w:val="clear"/>
            <w:tcMar>
              <w:top w:type="dxa" w:w="60"/>
              <w:left w:type="dxa" w:w="100"/>
              <w:bottom w:type="dxa" w:w="60"/>
              <w:right w:type="dxa" w:w="80"/>
            </w:tcMar>
          </w:tcPr>
          <w:p>
            <w:pPr>
              <w:jc w:val="left"/>
            </w:pPr>
            <w:r>
              <w:rPr>
                <w:b/>
                <w:bCs/>
                <w:color w:val="1A7340"/>
                <w:sz w:val="18"/>
                <w:szCs w:val="18"/>
              </w:rPr>
              <w:t xml:space="preserve">Save $57,400/year in company</w:t>
            </w:r>
          </w:p>
        </w:tc>
      </w:tr>
    </w:tbl>
    <w:p>
      <w:pPr>
        <w:spacing w:after="80" w:before="0"/>
      </w:pPr>
    </w:p>
    <w:p>
      <w:pPr>
        <w:shd w:fill="D6E4F7" w:val="clear"/>
        <w:spacing w:after="100" w:before="100"/>
        <w:ind w:left="288" w:right="288"/>
      </w:pPr>
      <w:r>
        <w:rPr>
          <w:b/>
          <w:bCs/>
          <w:color w:val="1B4F8A"/>
          <w:sz w:val="20"/>
          <w:szCs w:val="20"/>
        </w:rPr>
        <w:t xml:space="preserve">ℹ  </w:t>
      </w:r>
      <w:r>
        <w:rPr>
          <w:color w:val="1B4F8A"/>
          <w:sz w:val="20"/>
          <w:szCs w:val="20"/>
        </w:rPr>
        <w:t xml:space="preserve">The crossover point where a company saves money on tax alone is approximately $80,000–$100,000 profit. Below that, the additional compliance cost of a company structure (~$3,000–4,000/year in accountant fees) means a sole trader may be slightly ahead on net. However, the R&amp;D Tax Incentive benefit (Section 5) makes the company structure financially superior from Day One regardless of income level.</w:t>
      </w:r>
    </w:p>
    <w:p>
      <w:pPr>
        <w:spacing w:after="80" w:before="0"/>
      </w:pPr>
    </w:p>
    <w:p>
      <w:pPr>
        <w:pStyle w:val="Heading2"/>
        <w:spacing w:after="130" w:before="300"/>
      </w:pPr>
      <w:r>
        <w:rPr>
          <w:b/>
          <w:bCs/>
          <w:color w:val="1B4F8A"/>
          <w:sz w:val="26"/>
          <w:szCs w:val="26"/>
        </w:rPr>
        <w:t xml:space="preserve">4.4 Small Business Tax Concessions</w:t>
      </w:r>
    </w:p>
    <w:p>
      <w:pPr>
        <w:spacing w:after="120" w:before="60" w:line="276"/>
        <w:jc w:val="both"/>
      </w:pPr>
      <w:r>
        <w:rPr>
          <w:b w:val="false"/>
          <w:bCs w:val="false"/>
          <w:i w:val="false"/>
          <w:iCs w:val="false"/>
          <w:color w:val="1A1A2E"/>
          <w:sz w:val="20"/>
          <w:szCs w:val="20"/>
        </w:rPr>
        <w:t xml:space="preserve">The following concessions are available to your company in 2025–26: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Concession</w:t>
            </w:r>
          </w:p>
        </w:tc>
        <w:tc>
          <w:tcPr>
            <w:tcW w:type="dxa" w:w="18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Amount / Rate</w:t>
            </w:r>
          </w:p>
        </w:tc>
        <w:tc>
          <w:tcPr>
            <w:tcW w:type="dxa" w:w="2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Eligibility Threshold</w:t>
            </w:r>
          </w:p>
        </w:tc>
        <w:tc>
          <w:tcPr>
            <w:tcW w:type="dxa" w:w="2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Relevance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Small Business Income Tax Offset</w:t>
            </w:r>
          </w:p>
        </w:tc>
        <w:tc>
          <w:tcPr>
            <w:tcW w:type="dxa" w:w="1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$1,000 max per year</w:t>
            </w:r>
          </w:p>
        </w:tc>
        <w:tc>
          <w:tcPr>
            <w:tcW w:type="dxa" w:w="2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Sole trader only, &lt;$10M turnover</w:t>
            </w:r>
          </w:p>
        </w:tc>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NOT available to Pty Ltd — sole trader concession only</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Base Rate Entity tax rate</w:t>
            </w:r>
          </w:p>
        </w:tc>
        <w:tc>
          <w:tcPr>
            <w:tcW w:type="dxa" w:w="1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25% (vs 30% standard)</w:t>
            </w:r>
          </w:p>
        </w:tc>
        <w:tc>
          <w:tcPr>
            <w:tcW w:type="dxa" w:w="2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&lt;$50M turnover, ≤80% passive income</w:t>
            </w:r>
          </w:p>
        </w:tc>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Applies to your company from Day One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Instant Asset Write-Off</w:t>
            </w:r>
          </w:p>
        </w:tc>
        <w:tc>
          <w:tcPr>
            <w:tcW w:type="dxa" w:w="1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$1,000 per asset (2025-26 — reduced from $20K)</w:t>
            </w:r>
          </w:p>
        </w:tc>
        <w:tc>
          <w:tcPr>
            <w:tcW w:type="dxa" w:w="2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&lt;$10M turnover</w:t>
            </w:r>
          </w:p>
        </w:tc>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Claim cost of new computer/monitor/equipment as immediate deduction</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Simplified Depreciation Pool</w:t>
            </w:r>
          </w:p>
        </w:tc>
        <w:tc>
          <w:tcPr>
            <w:tcW w:type="dxa" w:w="1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15% yr 1, 30% subsequent yrs</w:t>
            </w:r>
          </w:p>
        </w:tc>
        <w:tc>
          <w:tcPr>
            <w:tcW w:type="dxa" w:w="2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&lt;$10M turnover</w:t>
            </w:r>
          </w:p>
        </w:tc>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Depreciate assets &gt;$1,000 via small biz pool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Small Business CGT Concessions</w:t>
            </w:r>
          </w:p>
        </w:tc>
        <w:tc>
          <w:tcPr>
            <w:tcW w:type="dxa" w:w="1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Up to 100% CGT exemption on sale</w:t>
            </w:r>
          </w:p>
        </w:tc>
        <w:tc>
          <w:tcPr>
            <w:tcW w:type="dxa" w:w="2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&lt;$2M net assets or &lt;$2M turnover</w:t>
            </w:r>
          </w:p>
        </w:tc>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Crucial if you sell the company or its IP in future</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GST Cash Accounting</w:t>
            </w:r>
          </w:p>
        </w:tc>
        <w:tc>
          <w:tcPr>
            <w:tcW w:type="dxa" w:w="1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Account for GST on cash basis</w:t>
            </w:r>
          </w:p>
        </w:tc>
        <w:tc>
          <w:tcPr>
            <w:tcW w:type="dxa" w:w="2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&lt;$10M turnover</w:t>
            </w:r>
          </w:p>
        </w:tc>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Pay GST only when customers actually pay — helps cash flow</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PAYG Instalment Variation</w:t>
            </w:r>
          </w:p>
        </w:tc>
        <w:tc>
          <w:tcPr>
            <w:tcW w:type="dxa" w:w="1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Vary quarterly tax instalments</w:t>
            </w:r>
          </w:p>
        </w:tc>
        <w:tc>
          <w:tcPr>
            <w:tcW w:type="dxa" w:w="2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All businesses</w:t>
            </w:r>
          </w:p>
        </w:tc>
        <w:tc>
          <w:tcPr>
            <w:tcW w:type="dxa" w:w="2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Reduce prepaid tax if revenue drops below forecast</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FBT Small Business Exemption</w:t>
            </w:r>
          </w:p>
        </w:tc>
        <w:tc>
          <w:tcPr>
            <w:tcW w:type="dxa" w:w="1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Exempt certain minor benefits</w:t>
            </w:r>
          </w:p>
        </w:tc>
        <w:tc>
          <w:tcPr>
            <w:tcW w:type="dxa" w:w="2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All employers</w:t>
            </w:r>
          </w:p>
        </w:tc>
        <w:tc>
          <w:tcPr>
            <w:tcW w:type="dxa" w:w="2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Relevant if you provide a company car or similar perks</w:t>
            </w:r>
          </w:p>
        </w:tc>
      </w:tr>
    </w:tbl>
    <w:p>
      <w:pPr>
        <w:spacing w:after="80" w:before="0"/>
      </w:pPr>
    </w:p>
    <w:p>
      <w:pPr>
        <w:shd w:fill="D1FAE5" w:val="clear"/>
        <w:spacing w:after="100" w:before="100"/>
        <w:ind w:left="288" w:right="288"/>
      </w:pPr>
      <w:r>
        <w:rPr>
          <w:b/>
          <w:bCs/>
          <w:color w:val="1A7340"/>
          <w:sz w:val="20"/>
          <w:szCs w:val="20"/>
        </w:rPr>
        <w:t xml:space="preserve">💡  </w:t>
      </w:r>
      <w:r>
        <w:rPr>
          <w:color w:val="1A7340"/>
          <w:sz w:val="20"/>
          <w:szCs w:val="20"/>
        </w:rPr>
        <w:t xml:space="preserve">Small Business CGT Concessions could be your most valuable long-term tax benefit. If you sell Mobile Soft PLC or its IP in Years 4–5 at a $1M–$2M valuation, these concessions can reduce or eliminate the capital gains tax entirely. This requires careful structuring from the start — specifically, maintaining "active asset" status and meeting the turnover test. Discuss this with your accountant when setting up the company, not at the time of sale.</w:t>
      </w:r>
    </w:p>
    <w:p>
      <w:r>
        <w:br w:type="page"/>
      </w:r>
    </w:p>
    <w:p>
      <w:pPr>
        <w:pStyle w:val="Heading1"/>
        <w:pBdr>
          <w:bottom w:val="single" w:color="2E86C1" w:sz="6" w:space="4"/>
        </w:pBdr>
        <w:spacing w:after="180" w:before="400"/>
      </w:pPr>
      <w:r>
        <w:rPr>
          <w:b/>
          <w:bCs/>
          <w:color w:val="1B4F8A"/>
          <w:sz w:val="34"/>
          <w:szCs w:val="34"/>
        </w:rPr>
        <w:t xml:space="preserve">5. R&amp;D Tax Incentive — Your Biggest Opportunity</w:t>
      </w:r>
    </w:p>
    <w:p>
      <w:pPr>
        <w:spacing w:after="120" w:before="60" w:line="276"/>
        <w:jc w:val="both"/>
      </w:pPr>
      <w:r>
        <w:rPr>
          <w:b w:val="false"/>
          <w:bCs w:val="false"/>
          <w:i w:val="false"/>
          <w:iCs w:val="false"/>
          <w:color w:val="1A1A2E"/>
          <w:sz w:val="20"/>
          <w:szCs w:val="20"/>
        </w:rPr>
        <w:t xml:space="preserve">The Research &amp; Development (R&amp;D) Tax Incentive is a Federal Government program that offsets a portion of your eligible R&amp;D expenditure. For a company with less than $20 million aggregated turnover, the offset is 43.5% and is REFUNDABLE — meaning if your company has less tax to pay than the offset amount, you receive the difference back as a cash refund.</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tcBorders>
              <w:top w:val="single" w:color="2E86C1" w:sz="2"/>
              <w:left w:val="single" w:color="2E86C1" w:sz="2"/>
              <w:bottom w:val="single" w:color="2E86C1" w:sz="2"/>
              <w:right w:val="single" w:color="2E86C1" w:sz="2"/>
            </w:tcBorders>
            <w:shd w:fill="D1FAE5" w:val="clear"/>
            <w:tcMar>
              <w:top w:type="dxa" w:w="80"/>
              <w:left w:type="dxa" w:w="80"/>
              <w:bottom w:type="dxa" w:w="80"/>
              <w:right w:type="dxa" w:w="80"/>
            </w:tcMar>
          </w:tcPr>
          <w:p>
            <w:pPr>
              <w:spacing w:after="10" w:before="40"/>
              <w:jc w:val="center"/>
            </w:pPr>
            <w:r>
              <w:rPr>
                <w:b/>
                <w:bCs/>
                <w:color w:val="1A7340"/>
                <w:sz w:val="34"/>
                <w:szCs w:val="34"/>
              </w:rPr>
              <w:t xml:space="preserve">43.5%</w:t>
            </w:r>
          </w:p>
          <w:p>
            <w:pPr>
              <w:spacing w:after="10" w:before="0"/>
              <w:jc w:val="center"/>
            </w:pPr>
            <w:r>
              <w:rPr>
                <w:b/>
                <w:bCs/>
                <w:color w:val="1A1A2E"/>
                <w:sz w:val="18"/>
                <w:szCs w:val="18"/>
              </w:rPr>
              <w:t xml:space="preserve">Refundable Tax Offset</w:t>
            </w:r>
          </w:p>
          <w:p>
            <w:pPr>
              <w:spacing w:after="40" w:before="0"/>
              <w:jc w:val="center"/>
            </w:pPr>
            <w:r>
              <w:rPr>
                <w:color w:val="6B7280"/>
                <w:sz w:val="16"/>
                <w:szCs w:val="16"/>
              </w:rPr>
              <w:t xml:space="preserve">For companies &lt;$20M turnover</w:t>
            </w:r>
          </w:p>
        </w:tc>
        <w:tc>
          <w:tcPr>
            <w:tcW w:type="dxa" w:w="3100"/>
            <w:tcBorders>
              <w:top w:val="single" w:color="2E86C1" w:sz="2"/>
              <w:left w:val="single" w:color="2E86C1" w:sz="2"/>
              <w:bottom w:val="single" w:color="2E86C1" w:sz="2"/>
              <w:right w:val="single" w:color="2E86C1" w:sz="2"/>
            </w:tcBorders>
            <w:shd w:fill="D6E4F7" w:val="clear"/>
            <w:tcMar>
              <w:top w:type="dxa" w:w="80"/>
              <w:left w:type="dxa" w:w="80"/>
              <w:bottom w:type="dxa" w:w="80"/>
              <w:right w:type="dxa" w:w="80"/>
            </w:tcMar>
          </w:tcPr>
          <w:p>
            <w:pPr>
              <w:spacing w:after="10" w:before="40"/>
              <w:jc w:val="center"/>
            </w:pPr>
            <w:r>
              <w:rPr>
                <w:b/>
                <w:bCs/>
                <w:color w:val="1B4F8A"/>
                <w:sz w:val="34"/>
                <w:szCs w:val="34"/>
              </w:rPr>
              <w:t xml:space="preserve">&lt;$20M</w:t>
            </w:r>
          </w:p>
          <w:p>
            <w:pPr>
              <w:spacing w:after="10" w:before="0"/>
              <w:jc w:val="center"/>
            </w:pPr>
            <w:r>
              <w:rPr>
                <w:b/>
                <w:bCs/>
                <w:color w:val="1A1A2E"/>
                <w:sz w:val="18"/>
                <w:szCs w:val="18"/>
              </w:rPr>
              <w:t xml:space="preserve">Turnover Threshold</w:t>
            </w:r>
          </w:p>
          <w:p>
            <w:pPr>
              <w:spacing w:after="40" w:before="0"/>
              <w:jc w:val="center"/>
            </w:pPr>
            <w:r>
              <w:rPr>
                <w:color w:val="6B7280"/>
                <w:sz w:val="16"/>
                <w:szCs w:val="16"/>
              </w:rPr>
              <w:t xml:space="preserve">Applies for all 5 forecast years</w:t>
            </w:r>
          </w:p>
        </w:tc>
        <w:tc>
          <w:tcPr>
            <w:tcW w:type="dxa" w:w="3100"/>
            <w:tcBorders>
              <w:top w:val="single" w:color="2E86C1" w:sz="2"/>
              <w:left w:val="single" w:color="2E86C1" w:sz="2"/>
              <w:bottom w:val="single" w:color="2E86C1" w:sz="2"/>
              <w:right w:val="single" w:color="2E86C1" w:sz="2"/>
            </w:tcBorders>
            <w:shd w:fill="FEF3C7" w:val="clear"/>
            <w:tcMar>
              <w:top w:type="dxa" w:w="80"/>
              <w:left w:type="dxa" w:w="80"/>
              <w:bottom w:type="dxa" w:w="80"/>
              <w:right w:type="dxa" w:w="80"/>
            </w:tcMar>
          </w:tcPr>
          <w:p>
            <w:pPr>
              <w:spacing w:after="10" w:before="40"/>
              <w:jc w:val="center"/>
            </w:pPr>
            <w:r>
              <w:rPr>
                <w:b/>
                <w:bCs/>
                <w:color w:val="92400E"/>
                <w:sz w:val="34"/>
                <w:szCs w:val="34"/>
              </w:rPr>
              <w:t xml:space="preserve">30 Apr</w:t>
            </w:r>
          </w:p>
          <w:p>
            <w:pPr>
              <w:spacing w:after="10" w:before="0"/>
              <w:jc w:val="center"/>
            </w:pPr>
            <w:r>
              <w:rPr>
                <w:b/>
                <w:bCs/>
                <w:color w:val="1A1A2E"/>
                <w:sz w:val="18"/>
                <w:szCs w:val="18"/>
              </w:rPr>
              <w:t xml:space="preserve">Registration Deadline</w:t>
            </w:r>
          </w:p>
          <w:p>
            <w:pPr>
              <w:spacing w:after="40" w:before="0"/>
              <w:jc w:val="center"/>
            </w:pPr>
            <w:r>
              <w:rPr>
                <w:color w:val="6B7280"/>
                <w:sz w:val="16"/>
                <w:szCs w:val="16"/>
              </w:rPr>
              <w:t xml:space="preserve">10 months after 30 June year-end</w:t>
            </w:r>
          </w:p>
        </w:tc>
      </w:tr>
    </w:tbl>
    <w:p>
      <w:pPr>
        <w:spacing w:after="100" w:before="0"/>
      </w:pPr>
    </w:p>
    <w:p>
      <w:pPr>
        <w:pStyle w:val="Heading2"/>
        <w:spacing w:after="130" w:before="300"/>
      </w:pPr>
      <w:r>
        <w:rPr>
          <w:b/>
          <w:bCs/>
          <w:color w:val="1B4F8A"/>
          <w:sz w:val="26"/>
          <w:szCs w:val="26"/>
        </w:rPr>
        <w:t xml:space="preserve">5.1 How It Works</w:t>
      </w:r>
    </w:p>
    <w:p>
      <w:pPr>
        <w:spacing w:after="120" w:before="60" w:line="276"/>
        <w:jc w:val="both"/>
      </w:pPr>
      <w:r>
        <w:rPr>
          <w:b w:val="false"/>
          <w:bCs w:val="false"/>
          <w:i w:val="false"/>
          <w:iCs w:val="false"/>
          <w:color w:val="1A1A2E"/>
          <w:sz w:val="20"/>
          <w:szCs w:val="20"/>
        </w:rPr>
        <w:t xml:space="preserve">For every $1 of eligible R&amp;D expenditure your company incurs, you receive a 43.5 cent credit against your company tax. If your company tax bill is $0 (as it will be in early years when revenue is low), the entire credit is paid to you as a cash refund.</w:t>
      </w:r>
    </w:p>
    <w:p>
      <w:pPr>
        <w:spacing w:after="120" w:before="60" w:line="276"/>
        <w:jc w:val="both"/>
      </w:pPr>
      <w:r>
        <w:rPr>
          <w:b w:val="false"/>
          <w:bCs w:val="false"/>
          <w:i w:val="false"/>
          <w:iCs w:val="false"/>
          <w:color w:val="1A1A2E"/>
          <w:sz w:val="20"/>
          <w:szCs w:val="20"/>
        </w:rPr>
        <w:t xml:space="preserve">Example — Year 1: Jarrod worked full-time on the app for 12 months. If his time is valued at market rate (developer rate ~$90/hr, 40 hrs/week, 48 weeks = $172,800), and 60% of that time went to qualifying R&amp;D activities, eligible expenditure = ~$103,680. R&amp;D tax offset = 43.5% × $103,680 = $45,101 cash refund. This essentially means the government pays you back ~$45K of your development time for qualifying activities.</w:t>
      </w:r>
    </w:p>
    <w:p>
      <w:pPr>
        <w:shd w:fill="D6E4F7" w:val="clear"/>
        <w:spacing w:after="100" w:before="100"/>
        <w:ind w:left="288" w:right="288"/>
      </w:pPr>
      <w:r>
        <w:rPr>
          <w:b/>
          <w:bCs/>
          <w:color w:val="1B4F8A"/>
          <w:sz w:val="20"/>
          <w:szCs w:val="20"/>
        </w:rPr>
        <w:t xml:space="preserve">ℹ  </w:t>
      </w:r>
      <w:r>
        <w:rPr>
          <w:color w:val="1B4F8A"/>
          <w:sz w:val="20"/>
          <w:szCs w:val="20"/>
        </w:rPr>
        <w:t xml:space="preserve">Note: For the R&amp;D claim to include your own labour, you generally need to pay yourself a salary through the company (not drawings). This is another reason to structure as a Pty Ltd and pay yourself a proper salary from Day One — it creates an eligible R&amp;D expenditure that the company can claim the 43.5% offset on.</w:t>
      </w:r>
    </w:p>
    <w:p>
      <w:pPr>
        <w:spacing w:after="80" w:before="0"/>
      </w:pPr>
    </w:p>
    <w:p>
      <w:pPr>
        <w:pStyle w:val="Heading2"/>
        <w:spacing w:after="130" w:before="300"/>
      </w:pPr>
      <w:r>
        <w:rPr>
          <w:b/>
          <w:bCs/>
          <w:color w:val="1B4F8A"/>
          <w:sz w:val="26"/>
          <w:szCs w:val="26"/>
        </w:rPr>
        <w:t xml:space="preserve">5.2 What Qualifies for Mobile Soft PLC</w:t>
      </w:r>
    </w:p>
    <w:p>
      <w:pPr>
        <w:spacing w:after="120" w:before="60" w:line="276"/>
        <w:jc w:val="both"/>
      </w:pPr>
      <w:r>
        <w:rPr>
          <w:b w:val="false"/>
          <w:bCs w:val="false"/>
          <w:i w:val="false"/>
          <w:iCs w:val="false"/>
          <w:color w:val="1A1A2E"/>
          <w:sz w:val="20"/>
          <w:szCs w:val="20"/>
        </w:rPr>
        <w:t xml:space="preserve">The R&amp;D Tax Incentive requires "core R&amp;D activities" — defined as activities with genuine technical uncertainty where the outcome cannot be determined in advance. The following development work on Mobile Soft PLC is likely to qualify:</w:t>
      </w:r>
    </w:p>
    <w:p>
      <w:pPr>
        <w:spacing w:after="40" w:before="40" w:line="260"/>
        <w:ind w:left="360" w:hanging="259"/>
      </w:pPr>
      <w:r>
        <w:rPr>
          <w:b/>
          <w:bCs/>
          <w:color w:val="2E86C1"/>
          <w:sz w:val="20"/>
          <w:szCs w:val="20"/>
        </w:rPr>
        <w:t xml:space="preserve">▪  </w:t>
      </w:r>
      <w:r>
        <w:rPr>
          <w:b/>
          <w:bCs/>
          <w:color w:val="1A1A2E"/>
          <w:sz w:val="20"/>
          <w:szCs w:val="20"/>
        </w:rPr>
        <w:t xml:space="preserve">OPC UA Server in Pure Dart: </w:t>
      </w:r>
      <w:r>
        <w:rPr>
          <w:color w:val="1A1A2E"/>
          <w:sz w:val="20"/>
          <w:szCs w:val="20"/>
        </w:rPr>
        <w:t xml:space="preserve">No prior Dart OPC UA server implementation existed when this work began. The OPC UA binary protocol encoding in Dart, session management, subscription model, and security stack (Basic256Sha256) all involved genuine technical uncertainty. This is strong R&amp;D candidate.</w:t>
      </w:r>
    </w:p>
    <w:p>
      <w:pPr>
        <w:spacing w:after="40" w:before="40" w:line="260"/>
        <w:ind w:left="360" w:hanging="259"/>
      </w:pPr>
      <w:r>
        <w:rPr>
          <w:b/>
          <w:bCs/>
          <w:color w:val="2E86C1"/>
          <w:sz w:val="20"/>
          <w:szCs w:val="20"/>
        </w:rPr>
        <w:t xml:space="preserve">▪  </w:t>
      </w:r>
      <w:r>
        <w:rPr>
          <w:b/>
          <w:bCs/>
          <w:color w:val="1A1A2E"/>
          <w:sz w:val="20"/>
          <w:szCs w:val="20"/>
        </w:rPr>
        <w:t xml:space="preserve">IEC 61131-3 Ladder Logic Execution Engine in Dart: </w:t>
      </w:r>
      <w:r>
        <w:rPr>
          <w:color w:val="1A1A2E"/>
          <w:sz w:val="20"/>
          <w:szCs w:val="20"/>
        </w:rPr>
        <w:t xml:space="preserve">Building a topologically-ordered scan-cycle interpreter for the LD node/wire graph in Dart (single-threaded, ticker-based timing) with power-flow semantics was novel — no existing Dart library implements this. Strong candidate.</w:t>
      </w:r>
    </w:p>
    <w:p>
      <w:pPr>
        <w:spacing w:after="40" w:before="40" w:line="260"/>
        <w:ind w:left="360" w:hanging="259"/>
      </w:pPr>
      <w:r>
        <w:rPr>
          <w:b/>
          <w:bCs/>
          <w:color w:val="2E86C1"/>
          <w:sz w:val="20"/>
          <w:szCs w:val="20"/>
        </w:rPr>
        <w:t xml:space="preserve">▪  </w:t>
      </w:r>
      <w:r>
        <w:rPr>
          <w:b/>
          <w:bCs/>
          <w:color w:val="1A1A2E"/>
          <w:sz w:val="20"/>
          <w:szCs w:val="20"/>
        </w:rPr>
        <w:t xml:space="preserve">DNP3 Outstation Implementation in Dart: </w:t>
      </w:r>
      <w:r>
        <w:rPr>
          <w:color w:val="1A1A2E"/>
          <w:sz w:val="20"/>
          <w:szCs w:val="20"/>
        </w:rPr>
        <w:t xml:space="preserve">DNP3 is a complex Layer 2–7 protocol. No open-source Dart DNP3 implementation existed. Novel implementation with genuine uncertainty.</w:t>
      </w:r>
    </w:p>
    <w:p>
      <w:pPr>
        <w:spacing w:after="40" w:before="40" w:line="260"/>
        <w:ind w:left="360" w:hanging="259"/>
      </w:pPr>
      <w:r>
        <w:rPr>
          <w:b/>
          <w:bCs/>
          <w:color w:val="2E86C1"/>
          <w:sz w:val="20"/>
          <w:szCs w:val="20"/>
        </w:rPr>
        <w:t xml:space="preserve">▪  </w:t>
      </w:r>
      <w:r>
        <w:rPr>
          <w:b/>
          <w:bCs/>
          <w:color w:val="1A1A2E"/>
          <w:sz w:val="20"/>
          <w:szCs w:val="20"/>
        </w:rPr>
        <w:t xml:space="preserve">Real-Time Timer Management Within Flutter's Single-Threaded Dart VM: </w:t>
      </w:r>
      <w:r>
        <w:rPr>
          <w:color w:val="1A1A2E"/>
          <w:sz w:val="20"/>
          <w:szCs w:val="20"/>
        </w:rPr>
        <w:t xml:space="preserve">Managing TON/TOF timer state across isolate boundaries with deterministic tick-based advancement within Flutter's architecture involved genuine technical challenges.</w:t>
      </w:r>
    </w:p>
    <w:p>
      <w:pPr>
        <w:spacing w:after="40" w:before="40" w:line="260"/>
        <w:ind w:left="360" w:hanging="259"/>
      </w:pPr>
      <w:r>
        <w:rPr>
          <w:b/>
          <w:bCs/>
          <w:color w:val="2E86C1"/>
          <w:sz w:val="20"/>
          <w:szCs w:val="20"/>
        </w:rPr>
        <w:t xml:space="preserve">▪  </w:t>
      </w:r>
      <w:r>
        <w:rPr>
          <w:b/>
          <w:bCs/>
          <w:color w:val="1A1A2E"/>
          <w:sz w:val="20"/>
          <w:szCs w:val="20"/>
        </w:rPr>
        <w:t xml:space="preserve">Sparkplug B Protocol Implementation: </w:t>
      </w:r>
      <w:r>
        <w:rPr>
          <w:color w:val="1A1A2E"/>
          <w:sz w:val="20"/>
          <w:szCs w:val="20"/>
        </w:rPr>
        <w:t xml:space="preserve">Protobuf-based MQTT extension with specific birth/death/data packet semantics in Dart — novel implementation.</w:t>
      </w:r>
    </w:p>
    <w:p>
      <w:pPr>
        <w:spacing w:after="120" w:before="60" w:line="276"/>
        <w:jc w:val="both"/>
      </w:pPr>
      <w:r>
        <w:rPr>
          <w:b w:val="false"/>
          <w:bCs w:val="false"/>
          <w:i w:val="false"/>
          <w:iCs w:val="false"/>
          <w:color w:val="1A1A2E"/>
          <w:sz w:val="20"/>
          <w:szCs w:val="20"/>
        </w:rPr>
        <w:t xml:space="preserve">Activities that likely do NOT qualify:</w:t>
      </w:r>
    </w:p>
    <w:p>
      <w:pPr>
        <w:spacing w:after="40" w:before="40" w:line="260"/>
        <w:ind w:left="360" w:hanging="259"/>
      </w:pPr>
      <w:r>
        <w:rPr>
          <w:b/>
          <w:bCs/>
          <w:color w:val="2E86C1"/>
          <w:sz w:val="20"/>
          <w:szCs w:val="20"/>
        </w:rPr>
        <w:t xml:space="preserve">▪  </w:t>
      </w:r>
      <w:r>
        <w:rPr>
          <w:color w:val="1A1A2E"/>
          <w:sz w:val="20"/>
          <w:szCs w:val="20"/>
        </w:rPr>
        <w:t xml:space="preserve">Routine UI work (standard Flutter widgets, layout, theming)</w:t>
      </w:r>
    </w:p>
    <w:p>
      <w:pPr>
        <w:spacing w:after="40" w:before="40" w:line="260"/>
        <w:ind w:left="360" w:hanging="259"/>
      </w:pPr>
      <w:r>
        <w:rPr>
          <w:b/>
          <w:bCs/>
          <w:color w:val="2E86C1"/>
          <w:sz w:val="20"/>
          <w:szCs w:val="20"/>
        </w:rPr>
        <w:t xml:space="preserve">▪  </w:t>
      </w:r>
      <w:r>
        <w:rPr>
          <w:color w:val="1A1A2E"/>
          <w:sz w:val="20"/>
          <w:szCs w:val="20"/>
        </w:rPr>
        <w:t xml:space="preserve">Standard API integration following vendor documentation (e.g., configuring an existing MQTT broker client)</w:t>
      </w:r>
    </w:p>
    <w:p>
      <w:pPr>
        <w:spacing w:after="40" w:before="40" w:line="260"/>
        <w:ind w:left="360" w:hanging="259"/>
      </w:pPr>
      <w:r>
        <w:rPr>
          <w:b/>
          <w:bCs/>
          <w:color w:val="2E86C1"/>
          <w:sz w:val="20"/>
          <w:szCs w:val="20"/>
        </w:rPr>
        <w:t xml:space="preserve">▪  </w:t>
      </w:r>
      <w:r>
        <w:rPr>
          <w:color w:val="1A1A2E"/>
          <w:sz w:val="20"/>
          <w:szCs w:val="20"/>
        </w:rPr>
        <w:t xml:space="preserve">Bug fixes to known logic</w:t>
      </w:r>
    </w:p>
    <w:p>
      <w:pPr>
        <w:spacing w:after="40" w:before="40" w:line="260"/>
        <w:ind w:left="360" w:hanging="259"/>
      </w:pPr>
      <w:r>
        <w:rPr>
          <w:b/>
          <w:bCs/>
          <w:color w:val="2E86C1"/>
          <w:sz w:val="20"/>
          <w:szCs w:val="20"/>
        </w:rPr>
        <w:t xml:space="preserve">▪  </w:t>
      </w:r>
      <w:r>
        <w:rPr>
          <w:color w:val="1A1A2E"/>
          <w:sz w:val="20"/>
          <w:szCs w:val="20"/>
        </w:rPr>
        <w:t xml:space="preserve">Standard Structured Text parser based on existing grammar specifications</w:t>
      </w:r>
    </w:p>
    <w:p>
      <w:pPr>
        <w:spacing w:after="80" w:before="0"/>
      </w:pPr>
    </w:p>
    <w:p>
      <w:pPr>
        <w:pStyle w:val="Heading2"/>
        <w:spacing w:after="130" w:before="300"/>
      </w:pPr>
      <w:r>
        <w:rPr>
          <w:b/>
          <w:bCs/>
          <w:color w:val="1B4F8A"/>
          <w:sz w:val="26"/>
          <w:szCs w:val="26"/>
        </w:rPr>
        <w:t xml:space="preserve">5.3 How to Claim — Step by Step</w:t>
      </w:r>
    </w:p>
    <w:p>
      <w:pPr>
        <w:spacing w:after="40" w:before="40" w:line="260"/>
        <w:ind w:left="720" w:hanging="431"/>
      </w:pPr>
      <w:r>
        <w:rPr>
          <w:b/>
          <w:bCs/>
          <w:color w:val="2E86C1"/>
          <w:sz w:val="20"/>
          <w:szCs w:val="20"/>
        </w:rPr>
        <w:t xml:space="preserve">1.  </w:t>
      </w:r>
      <w:r>
        <w:rPr>
          <w:color w:val="1A1A2E"/>
          <w:sz w:val="20"/>
          <w:szCs w:val="20"/>
        </w:rPr>
        <w:t xml:space="preserve">Register with AusIndustry: Before lodging your company tax return, register your R&amp;D activities at business.gov.au. Deadline: 30 April following the 30 June year-end (i.e., R&amp;D done in FY2025-26 must be registered by 30 April 2027).</w:t>
      </w:r>
    </w:p>
    <w:p>
      <w:pPr>
        <w:spacing w:after="40" w:before="40" w:line="260"/>
        <w:ind w:left="720" w:hanging="431"/>
      </w:pPr>
      <w:r>
        <w:rPr>
          <w:b/>
          <w:bCs/>
          <w:color w:val="2E86C1"/>
          <w:sz w:val="20"/>
          <w:szCs w:val="20"/>
        </w:rPr>
        <w:t xml:space="preserve">2.  </w:t>
      </w:r>
      <w:r>
        <w:rPr>
          <w:color w:val="1A1A2E"/>
          <w:sz w:val="20"/>
          <w:szCs w:val="20"/>
        </w:rPr>
        <w:t xml:space="preserve">Document as you go: Build a contemporaneous R&amp;D log during development — hypothesis, what was tried, what failed, what technical uncertainty existed. A private GitHub wiki, Notion page, or even dated engineering notes suffice. Retroactive documentation is a significant ATO audit risk.</w:t>
      </w:r>
    </w:p>
    <w:p>
      <w:pPr>
        <w:spacing w:after="40" w:before="40" w:line="260"/>
        <w:ind w:left="720" w:hanging="431"/>
      </w:pPr>
      <w:r>
        <w:rPr>
          <w:b/>
          <w:bCs/>
          <w:color w:val="2E86C1"/>
          <w:sz w:val="20"/>
          <w:szCs w:val="20"/>
        </w:rPr>
        <w:t xml:space="preserve">3.  </w:t>
      </w:r>
      <w:r>
        <w:rPr>
          <w:color w:val="1A1A2E"/>
          <w:sz w:val="20"/>
          <w:szCs w:val="20"/>
        </w:rPr>
        <w:t xml:space="preserve">Calculate eligible expenditure: Work with your accountant to determine the portion of salary, contractor costs, and direct R&amp;D expenses that qualify.</w:t>
      </w:r>
    </w:p>
    <w:p>
      <w:pPr>
        <w:spacing w:after="40" w:before="40" w:line="260"/>
        <w:ind w:left="720" w:hanging="431"/>
      </w:pPr>
      <w:r>
        <w:rPr>
          <w:b/>
          <w:bCs/>
          <w:color w:val="2E86C1"/>
          <w:sz w:val="20"/>
          <w:szCs w:val="20"/>
        </w:rPr>
        <w:t xml:space="preserve">4.  </w:t>
      </w:r>
      <w:r>
        <w:rPr>
          <w:color w:val="1A1A2E"/>
          <w:sz w:val="20"/>
          <w:szCs w:val="20"/>
        </w:rPr>
        <w:t xml:space="preserve">Lodge the claim: The R&amp;D offset is claimed in your company's income tax return (form labels "R&amp;D tax offset"). Your accountant handles this.</w:t>
      </w:r>
    </w:p>
    <w:p>
      <w:pPr>
        <w:spacing w:after="40" w:before="40" w:line="260"/>
        <w:ind w:left="720" w:hanging="431"/>
      </w:pPr>
      <w:r>
        <w:rPr>
          <w:b/>
          <w:bCs/>
          <w:color w:val="2E86C1"/>
          <w:sz w:val="20"/>
          <w:szCs w:val="20"/>
        </w:rPr>
        <w:t xml:space="preserve">5.  </w:t>
      </w:r>
      <w:r>
        <w:rPr>
          <w:color w:val="1A1A2E"/>
          <w:sz w:val="20"/>
          <w:szCs w:val="20"/>
        </w:rPr>
        <w:t xml:space="preserve">Receive the refund: ATO processes the return and credits the account or issues a cash refund. Typically 4–12 weeks after lodgement.</w:t>
      </w:r>
    </w:p>
    <w:p>
      <w:pPr>
        <w:shd w:fill="D1FAE5" w:val="clear"/>
        <w:spacing w:after="100" w:before="100"/>
        <w:ind w:left="288" w:right="288"/>
      </w:pPr>
      <w:r>
        <w:rPr>
          <w:b/>
          <w:bCs/>
          <w:color w:val="1A7340"/>
          <w:sz w:val="20"/>
          <w:szCs w:val="20"/>
        </w:rPr>
        <w:t xml:space="preserve">💡  </w:t>
      </w:r>
      <w:r>
        <w:rPr>
          <w:color w:val="1A7340"/>
          <w:sz w:val="20"/>
          <w:szCs w:val="20"/>
        </w:rPr>
        <w:t xml:space="preserve">Retrospective claims are possible: You can register and claim R&amp;D for prior financial years provided the deadline has not passed. If the company was incorporated before 30 June 2026, you could still file a claim for FY2025-26 by 30 April 2027 — even if you are reading this guide after the work is done. Speak to an R&amp;D specialist accountant immediately.</w:t>
      </w:r>
    </w:p>
    <w:p>
      <w:pPr>
        <w:spacing w:after="80" w:before="0"/>
      </w:pPr>
    </w:p>
    <w:p>
      <w:pPr>
        <w:pStyle w:val="Heading2"/>
        <w:spacing w:after="130" w:before="300"/>
      </w:pPr>
      <w:r>
        <w:rPr>
          <w:b/>
          <w:bCs/>
          <w:color w:val="1B4F8A"/>
          <w:sz w:val="26"/>
          <w:szCs w:val="26"/>
        </w:rPr>
        <w:t xml:space="preserve">5.4 Finding an R&amp;D Specialist</w:t>
      </w:r>
    </w:p>
    <w:p>
      <w:pPr>
        <w:spacing w:after="120" w:before="60" w:line="276"/>
        <w:jc w:val="both"/>
      </w:pPr>
      <w:r>
        <w:rPr>
          <w:b w:val="false"/>
          <w:bCs w:val="false"/>
          <w:i w:val="false"/>
          <w:iCs w:val="false"/>
          <w:color w:val="1A1A2E"/>
          <w:sz w:val="20"/>
          <w:szCs w:val="20"/>
        </w:rPr>
        <w:t xml:space="preserve">R&amp;D tax claims for software are complex and subject to ATO audit scrutiny. Use a specialist, not a general accountant. Firms experienced with software R&amp;D claims:</w:t>
      </w:r>
    </w:p>
    <w:p>
      <w:pPr>
        <w:spacing w:after="40" w:before="40" w:line="260"/>
        <w:ind w:left="360" w:hanging="259"/>
      </w:pPr>
      <w:r>
        <w:rPr>
          <w:b/>
          <w:bCs/>
          <w:color w:val="2E86C1"/>
          <w:sz w:val="20"/>
          <w:szCs w:val="20"/>
        </w:rPr>
        <w:t xml:space="preserve">▪  </w:t>
      </w:r>
      <w:r>
        <w:rPr>
          <w:color w:val="1A1A2E"/>
          <w:sz w:val="20"/>
          <w:szCs w:val="20"/>
        </w:rPr>
        <w:t xml:space="preserve">Swanson Reed (swansonreed.com.au) — specialist R&amp;D tax firm, offices in major Australian cities</w:t>
      </w:r>
    </w:p>
    <w:p>
      <w:pPr>
        <w:spacing w:after="40" w:before="40" w:line="260"/>
        <w:ind w:left="360" w:hanging="259"/>
      </w:pPr>
      <w:r>
        <w:rPr>
          <w:b/>
          <w:bCs/>
          <w:color w:val="2E86C1"/>
          <w:sz w:val="20"/>
          <w:szCs w:val="20"/>
        </w:rPr>
        <w:t xml:space="preserve">▪  </w:t>
      </w:r>
      <w:r>
        <w:rPr>
          <w:color w:val="1A1A2E"/>
          <w:sz w:val="20"/>
          <w:szCs w:val="20"/>
        </w:rPr>
        <w:t xml:space="preserve">Pattens (pattens.com) — R&amp;D tax specialists, also work with MVP Ventures grant applications</w:t>
      </w:r>
    </w:p>
    <w:p>
      <w:pPr>
        <w:spacing w:after="40" w:before="40" w:line="260"/>
        <w:ind w:left="360" w:hanging="259"/>
      </w:pPr>
      <w:r>
        <w:rPr>
          <w:b/>
          <w:bCs/>
          <w:color w:val="2E86C1"/>
          <w:sz w:val="20"/>
          <w:szCs w:val="20"/>
        </w:rPr>
        <w:t xml:space="preserve">▪  </w:t>
      </w:r>
      <w:r>
        <w:rPr>
          <w:color w:val="1A1A2E"/>
          <w:sz w:val="20"/>
          <w:szCs w:val="20"/>
        </w:rPr>
        <w:t xml:space="preserve">AusIndustry Business Advisers — free advisory service via business.gov.au (131 846)</w:t>
      </w:r>
    </w:p>
    <w:p>
      <w:pPr>
        <w:spacing w:after="40" w:before="40" w:line="260"/>
        <w:ind w:left="360" w:hanging="259"/>
      </w:pPr>
      <w:r>
        <w:rPr>
          <w:b/>
          <w:bCs/>
          <w:color w:val="2E86C1"/>
          <w:sz w:val="20"/>
          <w:szCs w:val="20"/>
        </w:rPr>
        <w:t xml:space="preserve">▪  </w:t>
      </w:r>
      <w:r>
        <w:rPr>
          <w:color w:val="1A1A2E"/>
          <w:sz w:val="20"/>
          <w:szCs w:val="20"/>
        </w:rPr>
        <w:t xml:space="preserve">Your state's Industry Development team — often provides free referrals to R&amp;D advisers</w:t>
      </w:r>
    </w:p>
    <w:p>
      <w:r>
        <w:br w:type="page"/>
      </w:r>
    </w:p>
    <w:p>
      <w:pPr>
        <w:pStyle w:val="Heading1"/>
        <w:pBdr>
          <w:bottom w:val="single" w:color="2E86C1" w:sz="6" w:space="4"/>
        </w:pBdr>
        <w:spacing w:after="180" w:before="400"/>
      </w:pPr>
      <w:r>
        <w:rPr>
          <w:b/>
          <w:bCs/>
          <w:color w:val="1B4F8A"/>
          <w:sz w:val="34"/>
          <w:szCs w:val="34"/>
        </w:rPr>
        <w:t xml:space="preserve">6. Export Market Development Grant (EMDG)</w:t>
      </w:r>
    </w:p>
    <w:p>
      <w:pPr>
        <w:spacing w:after="120" w:before="60" w:line="276"/>
        <w:jc w:val="both"/>
      </w:pPr>
      <w:r>
        <w:rPr>
          <w:b w:val="false"/>
          <w:bCs w:val="false"/>
          <w:i w:val="false"/>
          <w:iCs w:val="false"/>
          <w:color w:val="1A1A2E"/>
          <w:sz w:val="20"/>
          <w:szCs w:val="20"/>
        </w:rPr>
        <w:t xml:space="preserve">The Export Market Development Grant (EMDG), administered by Austrade, reimburses eligible Australian businesses for up to 50% of their international marketing and export promotion expenses. Software and digital products (including App Store apps) are explicitly eligible.</w:t>
      </w:r>
    </w:p>
    <w:p>
      <w:pPr>
        <w:spacing w:after="80" w:before="0"/>
      </w:pPr>
    </w:p>
    <w:p>
      <w:pPr>
        <w:pStyle w:val="Heading2"/>
        <w:spacing w:after="130" w:before="300"/>
      </w:pPr>
      <w:r>
        <w:rPr>
          <w:b/>
          <w:bCs/>
          <w:color w:val="1B4F8A"/>
          <w:sz w:val="26"/>
          <w:szCs w:val="26"/>
        </w:rPr>
        <w:t xml:space="preserve">6.1 Overview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Item</w:t>
            </w:r>
          </w:p>
        </w:tc>
        <w:tc>
          <w:tcPr>
            <w:tcW w:type="dxa" w:w="6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Detail</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Administering body</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Australian Trade and Investment Commission (Austrade)</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Product eligibility</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Software, digital products, IP, and services of "substantially Australian origin" — your app qualifies</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App Store sales</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Selling via App Store/Google Play to international customers counts as exporting — your existing and future overseas subscribers are export revenue</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Grant tiers</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Tier 1 ($20K–$30K/yr) · Tier 2 ($20K–$50K/yr) · Tier 3 ($20K–$80K/yr)</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Matching requirement</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Must spend minimum $20,000 of your own funds on eligible export activities in the grant year</w:t>
            </w:r>
          </w:p>
        </w:tc>
      </w:tr>
      <w:tr>
        <w:tc>
          <w:tcPr>
            <w:tcW w:type="dxa" w:w="28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bCs/>
                <w:color w:val="1A1A2E"/>
                <w:sz w:val="18"/>
                <w:szCs w:val="18"/>
              </w:rPr>
              <w:t xml:space="preserve">How to apply</w:t>
            </w:r>
          </w:p>
        </w:tc>
        <w:tc>
          <w:tcPr>
            <w:tcW w:type="dxa" w:w="6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Via Austrade's online portal at austrade.gov.au/emdg</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bCs/>
                <w:color w:val="1A1A2E"/>
                <w:sz w:val="18"/>
                <w:szCs w:val="18"/>
              </w:rPr>
              <w:t xml:space="preserve">Application timing</w:t>
            </w:r>
          </w:p>
        </w:tc>
        <w:tc>
          <w:tcPr>
            <w:tcW w:type="dxa" w:w="6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Applications open after the financial year ends — apply for FY2025-26 activities after 1 July 2026</w:t>
            </w:r>
          </w:p>
        </w:tc>
      </w:tr>
    </w:tbl>
    <w:p>
      <w:pPr>
        <w:spacing w:after="80" w:before="0"/>
      </w:pPr>
    </w:p>
    <w:p>
      <w:pPr>
        <w:pStyle w:val="Heading2"/>
        <w:spacing w:after="130" w:before="300"/>
      </w:pPr>
      <w:r>
        <w:rPr>
          <w:b/>
          <w:bCs/>
          <w:color w:val="1B4F8A"/>
          <w:sz w:val="26"/>
          <w:szCs w:val="26"/>
        </w:rPr>
        <w:t xml:space="preserve">6.2 Eligible Expenses You Can Claim</w:t>
      </w:r>
    </w:p>
    <w:p>
      <w:pPr>
        <w:spacing w:after="120" w:before="60" w:line="276"/>
        <w:jc w:val="both"/>
      </w:pPr>
      <w:r>
        <w:rPr>
          <w:b w:val="false"/>
          <w:bCs w:val="false"/>
          <w:i w:val="false"/>
          <w:iCs w:val="false"/>
          <w:color w:val="1A1A2E"/>
          <w:sz w:val="20"/>
          <w:szCs w:val="20"/>
        </w:rPr>
        <w:t xml:space="preserve">Once you are spending money on international marketing and export activities, keep receipts for all of the following — they are claimable:</w:t>
      </w:r>
    </w:p>
    <w:p>
      <w:pPr>
        <w:spacing w:after="40" w:before="40" w:line="260"/>
        <w:ind w:left="360" w:hanging="259"/>
      </w:pPr>
      <w:r>
        <w:rPr>
          <w:b/>
          <w:bCs/>
          <w:color w:val="2E86C1"/>
          <w:sz w:val="20"/>
          <w:szCs w:val="20"/>
        </w:rPr>
        <w:t xml:space="preserve">▪  </w:t>
      </w:r>
      <w:r>
        <w:rPr>
          <w:color w:val="1A1A2E"/>
          <w:sz w:val="20"/>
          <w:szCs w:val="20"/>
        </w:rPr>
        <w:t xml:space="preserve">International digital advertising (Google Ads, Apple Search Ads, Meta) targeted at overseas markets</w:t>
      </w:r>
    </w:p>
    <w:p>
      <w:pPr>
        <w:spacing w:after="40" w:before="40" w:line="260"/>
        <w:ind w:left="360" w:hanging="259"/>
      </w:pPr>
      <w:r>
        <w:rPr>
          <w:b/>
          <w:bCs/>
          <w:color w:val="2E86C1"/>
          <w:sz w:val="20"/>
          <w:szCs w:val="20"/>
        </w:rPr>
        <w:t xml:space="preserve">▪  </w:t>
      </w:r>
      <w:r>
        <w:rPr>
          <w:color w:val="1A1A2E"/>
          <w:sz w:val="20"/>
          <w:szCs w:val="20"/>
        </w:rPr>
        <w:t xml:space="preserve">Costs of attending or exhibiting at international trade shows (ARC Advisory, Hannover Messe, Automation World)</w:t>
      </w:r>
    </w:p>
    <w:p>
      <w:pPr>
        <w:spacing w:after="40" w:before="40" w:line="260"/>
        <w:ind w:left="360" w:hanging="259"/>
      </w:pPr>
      <w:r>
        <w:rPr>
          <w:b/>
          <w:bCs/>
          <w:color w:val="2E86C1"/>
          <w:sz w:val="20"/>
          <w:szCs w:val="20"/>
        </w:rPr>
        <w:t xml:space="preserve">▪  </w:t>
      </w:r>
      <w:r>
        <w:rPr>
          <w:color w:val="1A1A2E"/>
          <w:sz w:val="20"/>
          <w:szCs w:val="20"/>
        </w:rPr>
        <w:t xml:space="preserve">Engaging overseas marketing consultants or distributors</w:t>
      </w:r>
    </w:p>
    <w:p>
      <w:pPr>
        <w:spacing w:after="40" w:before="40" w:line="260"/>
        <w:ind w:left="360" w:hanging="259"/>
      </w:pPr>
      <w:r>
        <w:rPr>
          <w:b/>
          <w:bCs/>
          <w:color w:val="2E86C1"/>
          <w:sz w:val="20"/>
          <w:szCs w:val="20"/>
        </w:rPr>
        <w:t xml:space="preserve">▪  </w:t>
      </w:r>
      <w:r>
        <w:rPr>
          <w:color w:val="1A1A2E"/>
          <w:sz w:val="20"/>
          <w:szCs w:val="20"/>
        </w:rPr>
        <w:t xml:space="preserve">Website localisation costs (translations, country-specific landing pages)</w:t>
      </w:r>
    </w:p>
    <w:p>
      <w:pPr>
        <w:spacing w:after="40" w:before="40" w:line="260"/>
        <w:ind w:left="360" w:hanging="259"/>
      </w:pPr>
      <w:r>
        <w:rPr>
          <w:b/>
          <w:bCs/>
          <w:color w:val="2E86C1"/>
          <w:sz w:val="20"/>
          <w:szCs w:val="20"/>
        </w:rPr>
        <w:t xml:space="preserve">▪  </w:t>
      </w:r>
      <w:r>
        <w:rPr>
          <w:color w:val="1A1A2E"/>
          <w:sz w:val="20"/>
          <w:szCs w:val="20"/>
        </w:rPr>
        <w:t xml:space="preserve">Creating promotional materials for overseas markets</w:t>
      </w:r>
    </w:p>
    <w:p>
      <w:pPr>
        <w:spacing w:after="40" w:before="40" w:line="260"/>
        <w:ind w:left="360" w:hanging="259"/>
      </w:pPr>
      <w:r>
        <w:rPr>
          <w:b/>
          <w:bCs/>
          <w:color w:val="2E86C1"/>
          <w:sz w:val="20"/>
          <w:szCs w:val="20"/>
        </w:rPr>
        <w:t xml:space="preserve">▪  </w:t>
      </w:r>
      <w:r>
        <w:rPr>
          <w:color w:val="1A1A2E"/>
          <w:sz w:val="20"/>
          <w:szCs w:val="20"/>
        </w:rPr>
        <w:t xml:space="preserve">International IP registration (USPTO, European Patent Office) for app trademark protection</w:t>
      </w:r>
    </w:p>
    <w:p>
      <w:pPr>
        <w:spacing w:after="40" w:before="40" w:line="260"/>
        <w:ind w:left="360" w:hanging="259"/>
      </w:pPr>
      <w:r>
        <w:rPr>
          <w:b/>
          <w:bCs/>
          <w:color w:val="2E86C1"/>
          <w:sz w:val="20"/>
          <w:szCs w:val="20"/>
        </w:rPr>
        <w:t xml:space="preserve">▪  </w:t>
      </w:r>
      <w:r>
        <w:rPr>
          <w:color w:val="1A1A2E"/>
          <w:sz w:val="20"/>
          <w:szCs w:val="20"/>
        </w:rPr>
        <w:t xml:space="preserve">Overseas business travel for partner/client meetings</w:t>
      </w:r>
    </w:p>
    <w:p>
      <w:pPr>
        <w:spacing w:after="80" w:before="0"/>
      </w:pPr>
    </w:p>
    <w:p>
      <w:pPr>
        <w:shd w:fill="D1FAE5" w:val="clear"/>
        <w:spacing w:after="100" w:before="100"/>
        <w:ind w:left="288" w:right="288"/>
      </w:pPr>
      <w:r>
        <w:rPr>
          <w:b/>
          <w:bCs/>
          <w:color w:val="1A7340"/>
          <w:sz w:val="20"/>
          <w:szCs w:val="20"/>
        </w:rPr>
        <w:t xml:space="preserve">💡  </w:t>
      </w:r>
      <w:r>
        <w:rPr>
          <w:color w:val="1A7340"/>
          <w:sz w:val="20"/>
          <w:szCs w:val="20"/>
        </w:rPr>
        <w:t xml:space="preserve">Practical timeline: In Year 1, focus on building the product and first subscribers. From Year 2 when you start spending on international Google Ads or attending industry events, track every export-related expense carefully. The EMDG could reimburse 50% of $30,000–$50,000 in international marketing spend — a material return that grows alongside your marketing budget.</w:t>
      </w:r>
    </w:p>
    <w:p>
      <w:r>
        <w:br w:type="page"/>
      </w:r>
    </w:p>
    <w:p>
      <w:pPr>
        <w:pStyle w:val="Heading1"/>
        <w:pBdr>
          <w:bottom w:val="single" w:color="2E86C1" w:sz="6" w:space="4"/>
        </w:pBdr>
        <w:spacing w:after="180" w:before="400"/>
      </w:pPr>
      <w:r>
        <w:rPr>
          <w:b/>
          <w:bCs/>
          <w:color w:val="1B4F8A"/>
          <w:sz w:val="34"/>
          <w:szCs w:val="34"/>
        </w:rPr>
        <w:t xml:space="preserve">7. Current Grants &amp; Programs to Apply For</w:t>
      </w:r>
    </w:p>
    <w:p>
      <w:pPr>
        <w:spacing w:after="120" w:before="60" w:line="276"/>
        <w:jc w:val="both"/>
      </w:pPr>
      <w:r>
        <w:rPr>
          <w:b w:val="false"/>
          <w:bCs w:val="false"/>
          <w:i w:val="false"/>
          <w:iCs w:val="false"/>
          <w:color w:val="1A1A2E"/>
          <w:sz w:val="20"/>
          <w:szCs w:val="20"/>
        </w:rPr>
        <w:t xml:space="preserve">The following grants are currently open, ongoing, or expected to reopen soon and are directly relevant to Mobile Soft PLC Simulator as a software product developed in Australia. Always verify status at the program website before applying — grant windows close quickly.</w:t>
      </w:r>
    </w:p>
    <w:p>
      <w:pPr>
        <w:spacing w:after="80" w:before="0"/>
      </w:pPr>
    </w:p>
    <w:p>
      <w:pPr>
        <w:shd w:fill="1B4F8A" w:val="clear"/>
        <w:spacing w:after="0" w:before="140"/>
        <w:ind w:left="0"/>
      </w:pPr>
      <w:r>
        <w:rPr>
          <w:b/>
          <w:bCs/>
          <w:color w:val="FFFFFF"/>
          <w:sz w:val="22"/>
          <w:szCs w:val="22"/>
        </w:rPr>
        <w:t xml:space="preserve">  R&amp;D Tax Incentive</w:t>
      </w:r>
      <w:r>
        <w:rPr>
          <w:b/>
          <w:bCs/>
          <w:color w:val="FFFFFF"/>
          <w:sz w:val="18"/>
          <w:szCs w:val="18"/>
        </w:rPr>
        <w:t xml:space="preserve">   ● ONGOING — claim annually via tax return</w:t>
      </w:r>
    </w:p>
    <w:p>
      <w:pPr>
        <w:shd w:fill="D6E4F7" w:val="clear"/>
        <w:spacing w:after="0" w:before="0"/>
        <w:ind w:left="215"/>
      </w:pPr>
      <w:r>
        <w:rPr>
          <w:b/>
          <w:bCs/>
          <w:color w:val="1B4F8A"/>
          <w:sz w:val="19"/>
          <w:szCs w:val="19"/>
        </w:rPr>
        <w:t xml:space="preserve">Amount: </w:t>
      </w:r>
      <w:r>
        <w:rPr>
          <w:color w:val="1B4F8A"/>
          <w:sz w:val="19"/>
          <w:szCs w:val="19"/>
        </w:rPr>
        <w:t xml:space="preserve">43.5% refundable offset on eligible R&amp;D expenditure (companies &lt;$20M turnover)</w:t>
      </w:r>
    </w:p>
    <w:p>
      <w:pPr>
        <w:shd w:fill="D6E4F7" w:val="clear"/>
        <w:spacing w:after="0" w:before="0"/>
        <w:ind w:left="215" w:right="215"/>
        <w:jc w:val="both"/>
      </w:pPr>
      <w:r>
        <w:rPr>
          <w:color w:val="1A1A2E"/>
          <w:sz w:val="19"/>
          <w:szCs w:val="19"/>
        </w:rPr>
        <w:t xml:space="preserve">The single highest-value program available. Eligible for all development work on novel protocol implementations (OPC UA in Dart, DNP3, Sparkplug B), the Ladder Logic execution engine, and the IEC 61131-3 interpreter. Must be an incorporated company and register activities with AusIndustry. Register retrospectively for FY2025-26 by 30 April 2027.</w:t>
      </w:r>
    </w:p>
    <w:p>
      <w:pPr>
        <w:shd w:fill="D6E4F7" w:val="clear"/>
        <w:spacing w:after="100" w:before="0"/>
        <w:ind w:left="215"/>
      </w:pPr>
      <w:r>
        <w:rPr>
          <w:b/>
          <w:bCs/>
          <w:color w:val="6B7280"/>
          <w:sz w:val="18"/>
          <w:szCs w:val="18"/>
        </w:rPr>
        <w:t xml:space="preserve">Apply / info: </w:t>
      </w:r>
      <w:r>
        <w:rPr>
          <w:color w:val="2E86C1"/>
          <w:sz w:val="18"/>
          <w:szCs w:val="18"/>
        </w:rPr>
        <w:t xml:space="preserve">business.gov.au/rdti</w:t>
      </w:r>
    </w:p>
    <w:p>
      <w:pPr>
        <w:spacing w:after="60" w:before="0"/>
      </w:pPr>
    </w:p>
    <w:p>
      <w:pPr>
        <w:shd w:fill="1B4F8A" w:val="clear"/>
        <w:spacing w:after="0" w:before="140"/>
        <w:ind w:left="0"/>
      </w:pPr>
      <w:r>
        <w:rPr>
          <w:b/>
          <w:bCs/>
          <w:color w:val="FFFFFF"/>
          <w:sz w:val="22"/>
          <w:szCs w:val="22"/>
        </w:rPr>
        <w:t xml:space="preserve">  Export Market Development Grant (EMDG)</w:t>
      </w:r>
      <w:r>
        <w:rPr>
          <w:b/>
          <w:bCs/>
          <w:color w:val="FFFFFF"/>
          <w:sz w:val="18"/>
          <w:szCs w:val="18"/>
        </w:rPr>
        <w:t xml:space="preserve">   ● ONGOING — apply after each financial year end</w:t>
      </w:r>
    </w:p>
    <w:p>
      <w:pPr>
        <w:shd w:fill="D6E4F7" w:val="clear"/>
        <w:spacing w:after="0" w:before="0"/>
        <w:ind w:left="215"/>
      </w:pPr>
      <w:r>
        <w:rPr>
          <w:b/>
          <w:bCs/>
          <w:color w:val="1B4F8A"/>
          <w:sz w:val="19"/>
          <w:szCs w:val="19"/>
        </w:rPr>
        <w:t xml:space="preserve">Amount: </w:t>
      </w:r>
      <w:r>
        <w:rPr>
          <w:color w:val="1B4F8A"/>
          <w:sz w:val="19"/>
          <w:szCs w:val="19"/>
        </w:rPr>
        <w:t xml:space="preserve">Up to $80,000/year (matched funding) across three tiers — reimburses 50% of eligible export marketing spend</w:t>
      </w:r>
    </w:p>
    <w:p>
      <w:pPr>
        <w:shd w:fill="D6E4F7" w:val="clear"/>
        <w:spacing w:after="0" w:before="0"/>
        <w:ind w:left="215" w:right="215"/>
        <w:jc w:val="both"/>
      </w:pPr>
      <w:r>
        <w:rPr>
          <w:color w:val="1A1A2E"/>
          <w:sz w:val="19"/>
          <w:szCs w:val="19"/>
        </w:rPr>
        <w:t xml:space="preserve">Directly applicable once you are spending on international marketing (App Store Search Ads overseas, Google Ads in US/Europe/Asia, trade show attendance). Your App Store international subscriber revenue qualifies as export income. Tier 1 ($30K max) is the right starting point — requires spending $20K of your own on eligible export activities first.</w:t>
      </w:r>
    </w:p>
    <w:p>
      <w:pPr>
        <w:shd w:fill="D6E4F7" w:val="clear"/>
        <w:spacing w:after="100" w:before="0"/>
        <w:ind w:left="215"/>
      </w:pPr>
      <w:r>
        <w:rPr>
          <w:b/>
          <w:bCs/>
          <w:color w:val="6B7280"/>
          <w:sz w:val="18"/>
          <w:szCs w:val="18"/>
        </w:rPr>
        <w:t xml:space="preserve">Apply / info: </w:t>
      </w:r>
      <w:r>
        <w:rPr>
          <w:color w:val="2E86C1"/>
          <w:sz w:val="18"/>
          <w:szCs w:val="18"/>
        </w:rPr>
        <w:t xml:space="preserve">austrade.gov.au/emdg</w:t>
      </w:r>
    </w:p>
    <w:p>
      <w:pPr>
        <w:spacing w:after="60" w:before="0"/>
      </w:pPr>
    </w:p>
    <w:p>
      <w:pPr>
        <w:shd w:fill="1B4F8A" w:val="clear"/>
        <w:spacing w:after="0" w:before="140"/>
        <w:ind w:left="0"/>
      </w:pPr>
      <w:r>
        <w:rPr>
          <w:b/>
          <w:bCs/>
          <w:color w:val="FFFFFF"/>
          <w:sz w:val="22"/>
          <w:szCs w:val="22"/>
        </w:rPr>
        <w:t xml:space="preserve">  Industry Growth Program — Early-Stage Commercialisation</w:t>
      </w:r>
      <w:r>
        <w:rPr>
          <w:b/>
          <w:bCs/>
          <w:color w:val="92400E"/>
          <w:sz w:val="18"/>
          <w:szCs w:val="18"/>
        </w:rPr>
        <w:t xml:space="preserve">   ⏸ CURRENTLY PAUSED — monitor for reopening</w:t>
      </w:r>
    </w:p>
    <w:p>
      <w:pPr>
        <w:shd w:fill="D6E4F7" w:val="clear"/>
        <w:spacing w:after="0" w:before="0"/>
        <w:ind w:left="215"/>
      </w:pPr>
      <w:r>
        <w:rPr>
          <w:b/>
          <w:bCs/>
          <w:color w:val="1B4F8A"/>
          <w:sz w:val="19"/>
          <w:szCs w:val="19"/>
        </w:rPr>
        <w:t xml:space="preserve">Amount: </w:t>
      </w:r>
      <w:r>
        <w:rPr>
          <w:color w:val="1B4F8A"/>
          <w:sz w:val="19"/>
          <w:szCs w:val="19"/>
        </w:rPr>
        <w:t xml:space="preserve">$50,000–$250,000 (50% co-contribution required)</w:t>
      </w:r>
    </w:p>
    <w:p>
      <w:pPr>
        <w:shd w:fill="D6E4F7" w:val="clear"/>
        <w:spacing w:after="0" w:before="0"/>
        <w:ind w:left="215" w:right="215"/>
        <w:jc w:val="both"/>
      </w:pPr>
      <w:r>
        <w:rPr>
          <w:color w:val="1A1A2E"/>
          <w:sz w:val="19"/>
          <w:szCs w:val="19"/>
        </w:rPr>
        <w:t xml:space="preserve">Federal program for innovative products at Technology Readiness Levels 3–6. Mobile Soft PLC, with its in-app OPC UA and multi-protocol stack, sits at TRL 7–9 (closer to Growth stream). Paused for new applications as at July 2026 — watch business.gov.au for reopening. If/when it reopens, the Commercialisation &amp; Growth stream ($100K–$5M) is the more applicable tier for a commercially deployed product seeking scaling capital. Requires incorporated company.</w:t>
      </w:r>
    </w:p>
    <w:p>
      <w:pPr>
        <w:shd w:fill="D6E4F7" w:val="clear"/>
        <w:spacing w:after="100" w:before="0"/>
        <w:ind w:left="215"/>
      </w:pPr>
      <w:r>
        <w:rPr>
          <w:b/>
          <w:bCs/>
          <w:color w:val="6B7280"/>
          <w:sz w:val="18"/>
          <w:szCs w:val="18"/>
        </w:rPr>
        <w:t xml:space="preserve">Apply / info: </w:t>
      </w:r>
      <w:r>
        <w:rPr>
          <w:color w:val="2E86C1"/>
          <w:sz w:val="18"/>
          <w:szCs w:val="18"/>
        </w:rPr>
        <w:t xml:space="preserve">business.gov.au/grants-and-programs/industry-growth-program</w:t>
      </w:r>
    </w:p>
    <w:p>
      <w:pPr>
        <w:spacing w:after="60" w:before="0"/>
      </w:pPr>
    </w:p>
    <w:p>
      <w:pPr>
        <w:shd w:fill="1B4F8A" w:val="clear"/>
        <w:spacing w:after="0" w:before="140"/>
        <w:ind w:left="0"/>
      </w:pPr>
      <w:r>
        <w:rPr>
          <w:b/>
          <w:bCs/>
          <w:color w:val="FFFFFF"/>
          <w:sz w:val="22"/>
          <w:szCs w:val="22"/>
        </w:rPr>
        <w:t xml:space="preserve">  NSW MVP Ventures Program (if NSW-based)</w:t>
      </w:r>
      <w:r>
        <w:rPr>
          <w:b/>
          <w:bCs/>
          <w:color w:val="92400E"/>
          <w:sz w:val="18"/>
          <w:szCs w:val="18"/>
        </w:rPr>
        <w:t xml:space="preserve">   ⏸ ROUND 3 CLOSED (April 2026) — Round 4 expected mid-2026</w:t>
      </w:r>
    </w:p>
    <w:p>
      <w:pPr>
        <w:shd w:fill="D6E4F7" w:val="clear"/>
        <w:spacing w:after="0" w:before="0"/>
        <w:ind w:left="215"/>
      </w:pPr>
      <w:r>
        <w:rPr>
          <w:b/>
          <w:bCs/>
          <w:color w:val="1B4F8A"/>
          <w:sz w:val="19"/>
          <w:szCs w:val="19"/>
        </w:rPr>
        <w:t xml:space="preserve">Amount: </w:t>
      </w:r>
      <w:r>
        <w:rPr>
          <w:color w:val="1B4F8A"/>
          <w:sz w:val="19"/>
          <w:szCs w:val="19"/>
        </w:rPr>
        <w:t xml:space="preserve">$20,000–$75,000 (competitive, merit-based)</w:t>
      </w:r>
    </w:p>
    <w:p>
      <w:pPr>
        <w:shd w:fill="D6E4F7" w:val="clear"/>
        <w:spacing w:after="0" w:before="0"/>
        <w:ind w:left="215" w:right="215"/>
        <w:jc w:val="both"/>
      </w:pPr>
      <w:r>
        <w:rPr>
          <w:color w:val="1A1A2E"/>
          <w:sz w:val="19"/>
          <w:szCs w:val="19"/>
        </w:rPr>
        <w:t xml:space="preserve">NSW Government competitive grant for startups commercialising innovative digital products. Round 3 closed April 2026 — Round 4 is expected to open in coming months. Key eligibility: ABN-registered, NSW HQ, incorporated, turnover &lt;$400K, 10 or fewer FTE. Sole traders are ineligible. Mobile Soft PLC fits the digital systems and software focus area. Monitor nsw.gov.au/mvp-ventures for Round 4 announcement.</w:t>
      </w:r>
    </w:p>
    <w:p>
      <w:pPr>
        <w:shd w:fill="D6E4F7" w:val="clear"/>
        <w:spacing w:after="100" w:before="0"/>
        <w:ind w:left="215"/>
      </w:pPr>
      <w:r>
        <w:rPr>
          <w:b/>
          <w:bCs/>
          <w:color w:val="6B7280"/>
          <w:sz w:val="18"/>
          <w:szCs w:val="18"/>
        </w:rPr>
        <w:t xml:space="preserve">Apply / info: </w:t>
      </w:r>
      <w:r>
        <w:rPr>
          <w:color w:val="2E86C1"/>
          <w:sz w:val="18"/>
          <w:szCs w:val="18"/>
        </w:rPr>
        <w:t xml:space="preserve">nsw.gov.au/grants-and-funding/mvp-ventures</w:t>
      </w:r>
    </w:p>
    <w:p>
      <w:pPr>
        <w:spacing w:after="60" w:before="0"/>
      </w:pPr>
    </w:p>
    <w:p>
      <w:pPr>
        <w:shd w:fill="1B4F8A" w:val="clear"/>
        <w:spacing w:after="0" w:before="140"/>
        <w:ind w:left="0"/>
      </w:pPr>
      <w:r>
        <w:rPr>
          <w:b/>
          <w:bCs/>
          <w:color w:val="FFFFFF"/>
          <w:sz w:val="22"/>
          <w:szCs w:val="22"/>
        </w:rPr>
        <w:t xml:space="preserve">  Accelerating Commercialisation (via Industry Growth Program advisory)</w:t>
      </w:r>
      <w:r>
        <w:rPr>
          <w:b/>
          <w:bCs/>
          <w:color w:val="FFFFFF"/>
          <w:sz w:val="18"/>
          <w:szCs w:val="18"/>
        </w:rPr>
        <w:t xml:space="preserve">   ● ADVISORY SERVICE OPEN</w:t>
      </w:r>
    </w:p>
    <w:p>
      <w:pPr>
        <w:shd w:fill="D6E4F7" w:val="clear"/>
        <w:spacing w:after="0" w:before="0"/>
        <w:ind w:left="215"/>
      </w:pPr>
      <w:r>
        <w:rPr>
          <w:b/>
          <w:bCs/>
          <w:color w:val="1B4F8A"/>
          <w:sz w:val="19"/>
          <w:szCs w:val="19"/>
        </w:rPr>
        <w:t xml:space="preserve">Amount: </w:t>
      </w:r>
      <w:r>
        <w:rPr>
          <w:color w:val="1B4F8A"/>
          <w:sz w:val="19"/>
          <w:szCs w:val="19"/>
        </w:rPr>
        <w:t xml:space="preserve">Free advisory service + potential connection to grant funding</w:t>
      </w:r>
    </w:p>
    <w:p>
      <w:pPr>
        <w:shd w:fill="D6E4F7" w:val="clear"/>
        <w:spacing w:after="0" w:before="0"/>
        <w:ind w:left="215" w:right="215"/>
        <w:jc w:val="both"/>
      </w:pPr>
      <w:r>
        <w:rPr>
          <w:color w:val="1A1A2E"/>
          <w:sz w:val="19"/>
          <w:szCs w:val="19"/>
        </w:rPr>
        <w:t xml:space="preserve">Even while the Industry Growth Program grant component is paused, the free advisory service (an assigned AusIndustry business adviser who evaluates your commercialisation plan and can connect you to programs and investors) remains active. This is a no-cost resource worth accessing in Year 1 — the adviser's report is also a prerequisite for grant applications when the grant component reopens.</w:t>
      </w:r>
    </w:p>
    <w:p>
      <w:pPr>
        <w:shd w:fill="D6E4F7" w:val="clear"/>
        <w:spacing w:after="100" w:before="0"/>
        <w:ind w:left="215"/>
      </w:pPr>
      <w:r>
        <w:rPr>
          <w:b/>
          <w:bCs/>
          <w:color w:val="6B7280"/>
          <w:sz w:val="18"/>
          <w:szCs w:val="18"/>
        </w:rPr>
        <w:t xml:space="preserve">Apply / info: </w:t>
      </w:r>
      <w:r>
        <w:rPr>
          <w:color w:val="2E86C1"/>
          <w:sz w:val="18"/>
          <w:szCs w:val="18"/>
        </w:rPr>
        <w:t xml:space="preserve">business.gov.au/grants-and-programs/industry-growth-program</w:t>
      </w:r>
    </w:p>
    <w:p>
      <w:pPr>
        <w:spacing w:after="60" w:before="0"/>
      </w:pPr>
    </w:p>
    <w:p>
      <w:pPr>
        <w:shd w:fill="1B4F8A" w:val="clear"/>
        <w:spacing w:after="0" w:before="140"/>
        <w:ind w:left="0"/>
      </w:pPr>
      <w:r>
        <w:rPr>
          <w:b/>
          <w:bCs/>
          <w:color w:val="FFFFFF"/>
          <w:sz w:val="22"/>
          <w:szCs w:val="22"/>
        </w:rPr>
        <w:t xml:space="preserve">  ATO Small Business Concessions (ongoing tax savings)</w:t>
      </w:r>
      <w:r>
        <w:rPr>
          <w:b/>
          <w:bCs/>
          <w:color w:val="FFFFFF"/>
          <w:sz w:val="18"/>
          <w:szCs w:val="18"/>
        </w:rPr>
        <w:t xml:space="preserve">   ● ONGOING — claimed in annual tax return</w:t>
      </w:r>
    </w:p>
    <w:p>
      <w:pPr>
        <w:shd w:fill="D6E4F7" w:val="clear"/>
        <w:spacing w:after="0" w:before="0"/>
        <w:ind w:left="215"/>
      </w:pPr>
      <w:r>
        <w:rPr>
          <w:b/>
          <w:bCs/>
          <w:color w:val="1B4F8A"/>
          <w:sz w:val="19"/>
          <w:szCs w:val="19"/>
        </w:rPr>
        <w:t xml:space="preserve">Amount: </w:t>
      </w:r>
      <w:r>
        <w:rPr>
          <w:color w:val="1B4F8A"/>
          <w:sz w:val="19"/>
          <w:szCs w:val="19"/>
        </w:rPr>
        <w:t xml:space="preserve">25% company tax rate · $1,000 instant asset write-off · Simplified depreciation</w:t>
      </w:r>
    </w:p>
    <w:p>
      <w:pPr>
        <w:shd w:fill="D6E4F7" w:val="clear"/>
        <w:spacing w:after="0" w:before="0"/>
        <w:ind w:left="215" w:right="215"/>
        <w:jc w:val="both"/>
      </w:pPr>
      <w:r>
        <w:rPr>
          <w:color w:val="1A1A2E"/>
          <w:sz w:val="19"/>
          <w:szCs w:val="19"/>
        </w:rPr>
        <w:t xml:space="preserve">Not a grant, but worth treating as equivalent. The Base Rate Entity 25% tax rate saves up to $45,000+ per year versus personal marginal rates at Year 5 revenue levels. The Small Business CGT Concessions can eliminate capital gains tax on a future sale entirely. Instant asset write-off: claim the full cost of a new MacBook, development hardware, or server equipment in the year of purchase (up to $1,000 per asset in 2025-26; confirm current threshold with accountant).</w:t>
      </w:r>
    </w:p>
    <w:p>
      <w:pPr>
        <w:shd w:fill="D6E4F7" w:val="clear"/>
        <w:spacing w:after="100" w:before="0"/>
        <w:ind w:left="215"/>
      </w:pPr>
      <w:r>
        <w:rPr>
          <w:b/>
          <w:bCs/>
          <w:color w:val="6B7280"/>
          <w:sz w:val="18"/>
          <w:szCs w:val="18"/>
        </w:rPr>
        <w:t xml:space="preserve">Apply / info: </w:t>
      </w:r>
      <w:r>
        <w:rPr>
          <w:color w:val="2E86C1"/>
          <w:sz w:val="18"/>
          <w:szCs w:val="18"/>
        </w:rPr>
        <w:t xml:space="preserve">ato.gov.au/businesses-and-organisations/income-deductions-and-concessions</w:t>
      </w:r>
    </w:p>
    <w:p>
      <w:pPr>
        <w:spacing w:after="100" w:before="0"/>
      </w:pPr>
    </w:p>
    <w:p>
      <w:pPr>
        <w:shd w:fill="D6E4F7" w:val="clear"/>
        <w:spacing w:after="100" w:before="100"/>
        <w:ind w:left="288" w:right="288"/>
      </w:pPr>
      <w:r>
        <w:rPr>
          <w:b/>
          <w:bCs/>
          <w:color w:val="1B4F8A"/>
          <w:sz w:val="20"/>
          <w:szCs w:val="20"/>
        </w:rPr>
        <w:t xml:space="preserve">ℹ  </w:t>
      </w:r>
      <w:r>
        <w:rPr>
          <w:color w:val="1B4F8A"/>
          <w:sz w:val="20"/>
          <w:szCs w:val="20"/>
        </w:rPr>
        <w:t xml:space="preserve">State and territory governments also run industry development grants — check your state's investment and innovation agency. Queensland (Advance Queensland), Victoria (SBA Grants, LaunchVic), and South Australia (Innovate SA) run recurring small business technology grants that open and close throughout the year. Register at grants.gov.au for email alerts when new programs matching "software", "digital", or "technology" open.</w:t>
      </w:r>
    </w:p>
    <w:p>
      <w:r>
        <w:br w:type="page"/>
      </w:r>
    </w:p>
    <w:p>
      <w:pPr>
        <w:pStyle w:val="Heading1"/>
        <w:pBdr>
          <w:bottom w:val="single" w:color="2E86C1" w:sz="6" w:space="4"/>
        </w:pBdr>
        <w:spacing w:after="180" w:before="400"/>
      </w:pPr>
      <w:r>
        <w:rPr>
          <w:b/>
          <w:bCs/>
          <w:color w:val="1B4F8A"/>
          <w:sz w:val="34"/>
          <w:szCs w:val="34"/>
        </w:rPr>
        <w:t xml:space="preserve">8. Ongoing Tax &amp; Compliance Obligations</w:t>
      </w:r>
    </w:p>
    <w:p>
      <w:pPr>
        <w:spacing w:after="120" w:before="60" w:line="276"/>
        <w:jc w:val="both"/>
      </w:pPr>
      <w:r>
        <w:rPr>
          <w:b w:val="false"/>
          <w:bCs w:val="false"/>
          <w:i w:val="false"/>
          <w:iCs w:val="false"/>
          <w:color w:val="1A1A2E"/>
          <w:sz w:val="20"/>
          <w:szCs w:val="20"/>
        </w:rPr>
        <w:t xml:space="preserve">Once your company is set up, these are the recurring obligations to stay on top of. Miss any of these and you face ATO late lodgement penalties.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000"/>
        <w:gridCol w:w="3200"/>
      </w:tblGrid>
      <w:tr>
        <w:tc>
          <w:tcPr>
            <w:tcW w:type="dxa" w:w="26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Obligation</w:t>
            </w:r>
          </w:p>
        </w:tc>
        <w:tc>
          <w:tcPr>
            <w:tcW w:type="dxa" w:w="1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Frequency</w:t>
            </w:r>
          </w:p>
        </w:tc>
        <w:tc>
          <w:tcPr>
            <w:tcW w:type="dxa" w:w="20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Due Date</w:t>
            </w:r>
          </w:p>
        </w:tc>
        <w:tc>
          <w:tcPr>
            <w:tcW w:type="dxa" w:w="32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Notes</w:t>
            </w:r>
          </w:p>
        </w:tc>
      </w:tr>
      <w:tr>
        <w:tc>
          <w:tcPr>
            <w:tcW w:type="dxa" w:w="26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BAS (Business Activity Statement)</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Quarterly (or monthly if registered)</w:t>
            </w:r>
          </w:p>
        </w:tc>
        <w:tc>
          <w:tcPr>
            <w:tcW w:type="dxa" w:w="2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28 days after quarter end</w:t>
            </w:r>
          </w:p>
        </w:tc>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Reports GST collected/paid and PAYG withholding. Xero files these automatically.</w:t>
            </w:r>
          </w:p>
        </w:tc>
      </w:tr>
      <w:tr>
        <w:tc>
          <w:tcPr>
            <w:tcW w:type="dxa" w:w="26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PAYG Instalment (company tax prepayment)</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Quarterly</w:t>
            </w:r>
          </w:p>
        </w:tc>
        <w:tc>
          <w:tcPr>
            <w:tcW w:type="dxa" w:w="2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With BAS lodgement</w:t>
            </w:r>
          </w:p>
        </w:tc>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ATO issues a set amount; vary it down in Year 1 if revenue is low.</w:t>
            </w:r>
          </w:p>
        </w:tc>
      </w:tr>
      <w:tr>
        <w:tc>
          <w:tcPr>
            <w:tcW w:type="dxa" w:w="26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Superannuation (Payday Super)</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Per payroll run</w:t>
            </w:r>
          </w:p>
        </w:tc>
        <w:tc>
          <w:tcPr>
            <w:tcW w:type="dxa" w:w="2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Within 7 business days of payroll</w:t>
            </w:r>
          </w:p>
        </w:tc>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From 1 July 2026 — critical change. Use Xero Payroll with auto-super.</w:t>
            </w:r>
          </w:p>
        </w:tc>
      </w:tr>
      <w:tr>
        <w:tc>
          <w:tcPr>
            <w:tcW w:type="dxa" w:w="26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Single Touch Payroll (STP)</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Each pay run</w:t>
            </w:r>
          </w:p>
        </w:tc>
        <w:tc>
          <w:tcPr>
            <w:tcW w:type="dxa" w:w="2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Same day as payroll</w:t>
            </w:r>
          </w:p>
        </w:tc>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Automatically reported by Xero/MYOB to ATO.</w:t>
            </w:r>
          </w:p>
        </w:tc>
      </w:tr>
      <w:tr>
        <w:tc>
          <w:tcPr>
            <w:tcW w:type="dxa" w:w="26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Company Income Tax Return</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Annual</w:t>
            </w:r>
          </w:p>
        </w:tc>
        <w:tc>
          <w:tcPr>
            <w:tcW w:type="dxa" w:w="2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28 Feb following year-end (if tax agent; or 31 Oct without)</w:t>
            </w:r>
          </w:p>
        </w:tc>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Lodged by your accountant. Includes R&amp;D offset claim.</w:t>
            </w:r>
          </w:p>
        </w:tc>
      </w:tr>
      <w:tr>
        <w:tc>
          <w:tcPr>
            <w:tcW w:type="dxa" w:w="26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ASIC Annual Review Fee</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Annual</w:t>
            </w:r>
          </w:p>
        </w:tc>
        <w:tc>
          <w:tcPr>
            <w:tcW w:type="dxa" w:w="2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Within 2 months of anniversary date</w:t>
            </w:r>
          </w:p>
        </w:tc>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~$1,310 for a Pty Ltd as at 2025-26.</w:t>
            </w:r>
          </w:p>
        </w:tc>
      </w:tr>
      <w:tr>
        <w:tc>
          <w:tcPr>
            <w:tcW w:type="dxa" w:w="26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R&amp;D Registration (AusIndustry)</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Annual</w:t>
            </w:r>
          </w:p>
        </w:tc>
        <w:tc>
          <w:tcPr>
            <w:tcW w:type="dxa" w:w="2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30 April (10 months after 30 June)</w:t>
            </w:r>
          </w:p>
        </w:tc>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Must register BEFORE claiming in tax return.</w:t>
            </w:r>
          </w:p>
        </w:tc>
      </w:tr>
      <w:tr>
        <w:tc>
          <w:tcPr>
            <w:tcW w:type="dxa" w:w="26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Personal Income Tax Return</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Annual</w:t>
            </w:r>
          </w:p>
        </w:tc>
        <w:tc>
          <w:tcPr>
            <w:tcW w:type="dxa" w:w="2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31 October (or later with tax agent)</w:t>
            </w:r>
          </w:p>
        </w:tc>
        <w:tc>
          <w:tcPr>
            <w:tcW w:type="dxa" w:w="32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Includes salary, dividends, and any investment income.</w:t>
            </w:r>
          </w:p>
        </w:tc>
      </w:tr>
      <w:tr>
        <w:tc>
          <w:tcPr>
            <w:tcW w:type="dxa" w:w="26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Director Loan Account review</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Monthly</w:t>
            </w:r>
          </w:p>
        </w:tc>
        <w:tc>
          <w:tcPr>
            <w:tcW w:type="dxa" w:w="2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Ongoing</w:t>
            </w:r>
          </w:p>
        </w:tc>
        <w:tc>
          <w:tcPr>
            <w:tcW w:type="dxa" w:w="32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Ensure company account transfers are documented as salary or dividends — not unrepaid loans.</w:t>
            </w:r>
          </w:p>
        </w:tc>
      </w:tr>
    </w:tbl>
    <w:p>
      <w:pPr>
        <w:spacing w:after="100" w:before="0"/>
      </w:pPr>
    </w:p>
    <w:p>
      <w:pPr>
        <w:shd w:fill="FEF3C7" w:val="clear"/>
        <w:spacing w:after="100" w:before="100"/>
        <w:ind w:left="288" w:right="288"/>
      </w:pPr>
      <w:r>
        <w:rPr>
          <w:b/>
          <w:bCs/>
          <w:color w:val="92400E"/>
          <w:sz w:val="20"/>
          <w:szCs w:val="20"/>
        </w:rPr>
        <w:t xml:space="preserve">⚠  </w:t>
      </w:r>
      <w:r>
        <w:rPr>
          <w:color w:val="92400E"/>
          <w:sz w:val="20"/>
          <w:szCs w:val="20"/>
        </w:rPr>
        <w:t xml:space="preserve">App Store GST note: When Apple and Google sell your app to Australian customers, they collect and remit GST to the ATO directly under the digital services rules. You do not collect Australian GST on App Store revenue. However, you may still need to register for GST if your total business turnover exceeds $75,000, to claim input tax credits on your business expenses.</w:t>
      </w:r>
    </w:p>
    <w:p>
      <w:r>
        <w:br w:type="page"/>
      </w:r>
    </w:p>
    <w:p>
      <w:pPr>
        <w:pStyle w:val="Heading1"/>
        <w:pBdr>
          <w:bottom w:val="single" w:color="2E86C1" w:sz="6" w:space="4"/>
        </w:pBdr>
        <w:spacing w:after="180" w:before="400"/>
      </w:pPr>
      <w:r>
        <w:rPr>
          <w:b/>
          <w:bCs/>
          <w:color w:val="1B4F8A"/>
          <w:sz w:val="34"/>
          <w:szCs w:val="34"/>
        </w:rPr>
        <w:t xml:space="preserve">9. Action Checklist — First 30 Days</w:t>
      </w:r>
    </w:p>
    <w:p>
      <w:pPr>
        <w:spacing w:after="120" w:before="60" w:line="276"/>
        <w:jc w:val="both"/>
      </w:pPr>
      <w:r>
        <w:rPr>
          <w:b w:val="false"/>
          <w:bCs w:val="false"/>
          <w:i w:val="false"/>
          <w:iCs w:val="false"/>
          <w:color w:val="1A1A2E"/>
          <w:sz w:val="20"/>
          <w:szCs w:val="20"/>
        </w:rPr>
        <w:t xml:space="preserve">Complete these steps in order before the app goes live. Items in bold are the highest priority.</w:t>
      </w:r>
    </w:p>
    <w:p>
      <w:pPr>
        <w:spacing w:after="80" w:before="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500"/>
        <w:gridCol w:w="3300"/>
      </w:tblGrid>
      <w:tr>
        <w:tc>
          <w:tcPr>
            <w:tcW w:type="dxa" w:w="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w:t>
            </w:r>
          </w:p>
        </w:tc>
        <w:tc>
          <w:tcPr>
            <w:tcW w:type="dxa" w:w="40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Action</w:t>
            </w:r>
          </w:p>
        </w:tc>
        <w:tc>
          <w:tcPr>
            <w:tcW w:type="dxa" w:w="15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Cost</w:t>
            </w:r>
          </w:p>
        </w:tc>
        <w:tc>
          <w:tcPr>
            <w:tcW w:type="dxa" w:w="3300"/>
            <w:tcBorders>
              <w:top w:val="single" w:color="FFFFFF" w:sz="2"/>
              <w:left w:val="single" w:color="FFFFFF" w:sz="2"/>
              <w:bottom w:val="single" w:color="FFFFFF" w:sz="2"/>
              <w:right w:val="single" w:color="FFFFFF" w:sz="2"/>
            </w:tcBorders>
            <w:shd w:fill="1B4F8A" w:val="clear"/>
            <w:tcMar>
              <w:top w:type="dxa" w:w="80"/>
              <w:left w:type="dxa" w:w="100"/>
              <w:bottom w:type="dxa" w:w="80"/>
              <w:right w:type="dxa" w:w="80"/>
            </w:tcMar>
          </w:tcPr>
          <w:p>
            <w:pPr>
              <w:jc w:val="left"/>
            </w:pPr>
            <w:r>
              <w:rPr>
                <w:b/>
                <w:bCs/>
                <w:color w:val="FFFFFF"/>
                <w:sz w:val="18"/>
                <w:szCs w:val="18"/>
              </w:rPr>
              <w:t xml:space="preserve">Where</w:t>
            </w:r>
          </w:p>
        </w:tc>
      </w:tr>
      <w:tr>
        <w:tc>
          <w:tcPr>
            <w:tcW w:type="dxa" w:w="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1</w:t>
            </w:r>
          </w:p>
        </w:tc>
        <w:tc>
          <w:tcPr>
            <w:tcW w:type="dxa" w:w="4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Register Pty Ltd company with ASIC (choose company name)</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$586</w:t>
            </w:r>
          </w:p>
        </w:tc>
        <w:tc>
          <w:tcPr>
            <w:tcW w:type="dxa" w:w="3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asic.gov.au</w:t>
            </w:r>
          </w:p>
        </w:tc>
      </w:tr>
      <w:tr>
        <w:tc>
          <w:tcPr>
            <w:tcW w:type="dxa" w:w="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2</w:t>
            </w:r>
          </w:p>
        </w:tc>
        <w:tc>
          <w:tcPr>
            <w:tcW w:type="dxa" w:w="4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Obtain ABN for the company</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Free</w:t>
            </w:r>
          </w:p>
        </w:tc>
        <w:tc>
          <w:tcPr>
            <w:tcW w:type="dxa" w:w="3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abr.gov.au</w:t>
            </w:r>
          </w:p>
        </w:tc>
      </w:tr>
      <w:tr>
        <w:tc>
          <w:tcPr>
            <w:tcW w:type="dxa" w:w="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3</w:t>
            </w:r>
          </w:p>
        </w:tc>
        <w:tc>
          <w:tcPr>
            <w:tcW w:type="dxa" w:w="4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Register for GST (voluntarily from start)</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Free</w:t>
            </w:r>
          </w:p>
        </w:tc>
        <w:tc>
          <w:tcPr>
            <w:tcW w:type="dxa" w:w="3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ato.gov.au / Xero</w:t>
            </w:r>
          </w:p>
        </w:tc>
      </w:tr>
      <w:tr>
        <w:tc>
          <w:tcPr>
            <w:tcW w:type="dxa" w:w="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4</w:t>
            </w:r>
          </w:p>
        </w:tc>
        <w:tc>
          <w:tcPr>
            <w:tcW w:type="dxa" w:w="4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Open business bank account (Zeller or ANZ Business)</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$0–$10/mo</w:t>
            </w:r>
          </w:p>
        </w:tc>
        <w:tc>
          <w:tcPr>
            <w:tcW w:type="dxa" w:w="3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Zeller.com.au / ANZ</w:t>
            </w:r>
          </w:p>
        </w:tc>
      </w:tr>
      <w:tr>
        <w:tc>
          <w:tcPr>
            <w:tcW w:type="dxa" w:w="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5</w:t>
            </w:r>
          </w:p>
        </w:tc>
        <w:tc>
          <w:tcPr>
            <w:tcW w:type="dxa" w:w="4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Set up Xero accounting with RevenueCat integration</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~$35/mo</w:t>
            </w:r>
          </w:p>
        </w:tc>
        <w:tc>
          <w:tcPr>
            <w:tcW w:type="dxa" w:w="3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xero.com</w:t>
            </w:r>
          </w:p>
        </w:tc>
      </w:tr>
      <w:tr>
        <w:tc>
          <w:tcPr>
            <w:tcW w:type="dxa" w:w="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6</w:t>
            </w:r>
          </w:p>
        </w:tc>
        <w:tc>
          <w:tcPr>
            <w:tcW w:type="dxa" w:w="4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Engage R&amp;D specialist accountant — brief on Phase 0–14 development</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$500–$1,500</w:t>
            </w:r>
          </w:p>
        </w:tc>
        <w:tc>
          <w:tcPr>
            <w:tcW w:type="dxa" w:w="3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swansonreed.com.au or pattens.com</w:t>
            </w:r>
          </w:p>
        </w:tc>
      </w:tr>
      <w:tr>
        <w:tc>
          <w:tcPr>
            <w:tcW w:type="dxa" w:w="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7</w:t>
            </w:r>
          </w:p>
        </w:tc>
        <w:tc>
          <w:tcPr>
            <w:tcW w:type="dxa" w:w="4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Start R&amp;D activity log (document all novel technical work)</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Free (Notion)</w:t>
            </w:r>
          </w:p>
        </w:tc>
        <w:tc>
          <w:tcPr>
            <w:tcW w:type="dxa" w:w="3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Ongoing from today</w:t>
            </w:r>
          </w:p>
        </w:tc>
      </w:tr>
      <w:tr>
        <w:tc>
          <w:tcPr>
            <w:tcW w:type="dxa" w:w="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8</w:t>
            </w:r>
          </w:p>
        </w:tc>
        <w:tc>
          <w:tcPr>
            <w:tcW w:type="dxa" w:w="4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Set up Xero Payroll, run first payslip, register for Payday Super</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Included in Xero</w:t>
            </w:r>
          </w:p>
        </w:tc>
        <w:tc>
          <w:tcPr>
            <w:tcW w:type="dxa" w:w="3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xero.com/au/payroll</w:t>
            </w:r>
          </w:p>
        </w:tc>
      </w:tr>
      <w:tr>
        <w:tc>
          <w:tcPr>
            <w:tcW w:type="dxa" w:w="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9</w:t>
            </w:r>
          </w:p>
        </w:tc>
        <w:tc>
          <w:tcPr>
            <w:tcW w:type="dxa" w:w="4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Transfer App Store Connect account to company ABN/billing</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Free</w:t>
            </w:r>
          </w:p>
        </w:tc>
        <w:tc>
          <w:tcPr>
            <w:tcW w:type="dxa" w:w="3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appstoreconnect.apple.com</w:t>
            </w:r>
          </w:p>
        </w:tc>
      </w:tr>
      <w:tr>
        <w:tc>
          <w:tcPr>
            <w:tcW w:type="dxa" w:w="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10</w:t>
            </w:r>
          </w:p>
        </w:tc>
        <w:tc>
          <w:tcPr>
            <w:tcW w:type="dxa" w:w="4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Transfer Google Play Developer account to company</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Free</w:t>
            </w:r>
          </w:p>
        </w:tc>
        <w:tc>
          <w:tcPr>
            <w:tcW w:type="dxa" w:w="3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play.google.com/console</w:t>
            </w:r>
          </w:p>
        </w:tc>
      </w:tr>
      <w:tr>
        <w:tc>
          <w:tcPr>
            <w:tcW w:type="dxa" w:w="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11</w:t>
            </w:r>
          </w:p>
        </w:tc>
        <w:tc>
          <w:tcPr>
            <w:tcW w:type="dxa" w:w="4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Register for AusIndustry's R&amp;D portal (before 30 April 2027 for FY2026)</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Free</w:t>
            </w:r>
          </w:p>
        </w:tc>
        <w:tc>
          <w:tcPr>
            <w:tcW w:type="dxa" w:w="3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business.gov.au/rdti</w:t>
            </w:r>
          </w:p>
        </w:tc>
      </w:tr>
      <w:tr>
        <w:tc>
          <w:tcPr>
            <w:tcW w:type="dxa" w:w="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12</w:t>
            </w:r>
          </w:p>
        </w:tc>
        <w:tc>
          <w:tcPr>
            <w:tcW w:type="dxa" w:w="4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Contact Austrade about EMDG once international ad spend begins</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Free</w:t>
            </w:r>
          </w:p>
        </w:tc>
        <w:tc>
          <w:tcPr>
            <w:tcW w:type="dxa" w:w="3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austrade.gov.au/emdg</w:t>
            </w:r>
          </w:p>
        </w:tc>
      </w:tr>
      <w:tr>
        <w:tc>
          <w:tcPr>
            <w:tcW w:type="dxa" w:w="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color w:val="1A1A2E"/>
                <w:sz w:val="18"/>
                <w:szCs w:val="18"/>
              </w:rPr>
              <w:t xml:space="preserve">13</w:t>
            </w:r>
          </w:p>
        </w:tc>
        <w:tc>
          <w:tcPr>
            <w:tcW w:type="dxa" w:w="40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Monitor nsw.gov.au/mvp-ventures for Round 4 opening announcement</w:t>
            </w:r>
          </w:p>
        </w:tc>
        <w:tc>
          <w:tcPr>
            <w:tcW w:type="dxa" w:w="15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Free</w:t>
            </w:r>
          </w:p>
        </w:tc>
        <w:tc>
          <w:tcPr>
            <w:tcW w:type="dxa" w:w="3300"/>
            <w:tcBorders>
              <w:top w:val="single" w:color="D1D5DB" w:sz="2"/>
              <w:left w:val="single" w:color="D1D5DB" w:sz="2"/>
              <w:bottom w:val="single" w:color="D1D5DB" w:sz="2"/>
              <w:right w:val="single" w:color="D1D5DB" w:sz="2"/>
            </w:tcBorders>
            <w:shd w:fill="FFFFFF" w:val="clear"/>
            <w:tcMar>
              <w:top w:type="dxa" w:w="60"/>
              <w:left w:type="dxa" w:w="100"/>
              <w:bottom w:type="dxa" w:w="60"/>
              <w:right w:type="dxa" w:w="80"/>
            </w:tcMar>
          </w:tcPr>
          <w:p>
            <w:pPr>
              <w:jc w:val="left"/>
            </w:pPr>
            <w:r>
              <w:rPr>
                <w:b w:val="false"/>
                <w:bCs w:val="false"/>
                <w:color w:val="1A1A2E"/>
                <w:sz w:val="18"/>
                <w:szCs w:val="18"/>
              </w:rPr>
              <w:t xml:space="preserve">nsw.gov.au</w:t>
            </w:r>
          </w:p>
        </w:tc>
      </w:tr>
      <w:tr>
        <w:tc>
          <w:tcPr>
            <w:tcW w:type="dxa" w:w="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color w:val="1A1A2E"/>
                <w:sz w:val="18"/>
                <w:szCs w:val="18"/>
              </w:rPr>
              <w:t xml:space="preserve">14</w:t>
            </w:r>
          </w:p>
        </w:tc>
        <w:tc>
          <w:tcPr>
            <w:tcW w:type="dxa" w:w="40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Book a free AusIndustry Advisory Service consultation</w:t>
            </w:r>
          </w:p>
        </w:tc>
        <w:tc>
          <w:tcPr>
            <w:tcW w:type="dxa" w:w="15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Free</w:t>
            </w:r>
          </w:p>
        </w:tc>
        <w:tc>
          <w:tcPr>
            <w:tcW w:type="dxa" w:w="3300"/>
            <w:tcBorders>
              <w:top w:val="single" w:color="D1D5DB" w:sz="2"/>
              <w:left w:val="single" w:color="D1D5DB" w:sz="2"/>
              <w:bottom w:val="single" w:color="D1D5DB" w:sz="2"/>
              <w:right w:val="single" w:color="D1D5DB" w:sz="2"/>
            </w:tcBorders>
            <w:shd w:fill="F4F6F8" w:val="clear"/>
            <w:tcMar>
              <w:top w:type="dxa" w:w="60"/>
              <w:left w:type="dxa" w:w="100"/>
              <w:bottom w:type="dxa" w:w="60"/>
              <w:right w:type="dxa" w:w="80"/>
            </w:tcMar>
          </w:tcPr>
          <w:p>
            <w:pPr>
              <w:jc w:val="left"/>
            </w:pPr>
            <w:r>
              <w:rPr>
                <w:b w:val="false"/>
                <w:bCs w:val="false"/>
                <w:color w:val="1A1A2E"/>
                <w:sz w:val="18"/>
                <w:szCs w:val="18"/>
              </w:rPr>
              <w:t xml:space="preserve">business.gov.au (call 131 846)</w:t>
            </w:r>
          </w:p>
        </w:tc>
      </w:tr>
    </w:tbl>
    <w:p>
      <w:pPr>
        <w:spacing w:after="120" w:before="0"/>
      </w:pPr>
    </w:p>
    <w:p>
      <w:pPr>
        <w:pStyle w:val="Heading2"/>
        <w:spacing w:after="130" w:before="300"/>
      </w:pPr>
      <w:r>
        <w:rPr>
          <w:b/>
          <w:bCs/>
          <w:color w:val="1B4F8A"/>
          <w:sz w:val="26"/>
          <w:szCs w:val="26"/>
        </w:rPr>
        <w:t xml:space="preserve">Professional Services You Need</w:t>
      </w:r>
    </w:p>
    <w:p>
      <w:pPr>
        <w:spacing w:after="120" w:before="60" w:line="276"/>
        <w:jc w:val="both"/>
      </w:pPr>
      <w:r>
        <w:rPr>
          <w:b w:val="false"/>
          <w:bCs w:val="false"/>
          <w:i w:val="false"/>
          <w:iCs w:val="false"/>
          <w:color w:val="1A1A2E"/>
          <w:sz w:val="20"/>
          <w:szCs w:val="20"/>
        </w:rPr>
        <w:t xml:space="preserve">Budget approximately $3,000–$5,000 per year for professional services in Year 1, rising to $5,000–$8,000 from Year 2 as the company becomes more profitable and R&amp;D/grant claims become more complex.</w:t>
      </w:r>
    </w:p>
    <w:p>
      <w:pPr>
        <w:spacing w:after="40" w:before="40" w:line="260"/>
        <w:ind w:left="360" w:hanging="259"/>
      </w:pPr>
      <w:r>
        <w:rPr>
          <w:b/>
          <w:bCs/>
          <w:color w:val="2E86C1"/>
          <w:sz w:val="20"/>
          <w:szCs w:val="20"/>
        </w:rPr>
        <w:t xml:space="preserve">▪  </w:t>
      </w:r>
      <w:r>
        <w:rPr>
          <w:b/>
          <w:bCs/>
          <w:color w:val="1A1A2E"/>
          <w:sz w:val="20"/>
          <w:szCs w:val="20"/>
        </w:rPr>
        <w:t xml:space="preserve">Accountant (CPA/CA): </w:t>
      </w:r>
      <w:r>
        <w:rPr>
          <w:color w:val="1A1A2E"/>
          <w:sz w:val="20"/>
          <w:szCs w:val="20"/>
        </w:rPr>
        <w:t xml:space="preserve">Handles annual company tax return, BAS reviews, R&amp;D claim preparation, dividend calculations, and franking account management. Look for a firm with tech startup experience and explicit R&amp;D Tax Incentive capability.</w:t>
      </w:r>
    </w:p>
    <w:p>
      <w:pPr>
        <w:spacing w:after="40" w:before="40" w:line="260"/>
        <w:ind w:left="360" w:hanging="259"/>
      </w:pPr>
      <w:r>
        <w:rPr>
          <w:b/>
          <w:bCs/>
          <w:color w:val="2E86C1"/>
          <w:sz w:val="20"/>
          <w:szCs w:val="20"/>
        </w:rPr>
        <w:t xml:space="preserve">▪  </w:t>
      </w:r>
      <w:r>
        <w:rPr>
          <w:b/>
          <w:bCs/>
          <w:color w:val="1A1A2E"/>
          <w:sz w:val="20"/>
          <w:szCs w:val="20"/>
        </w:rPr>
        <w:t xml:space="preserve">R&amp;D Specialist (first year): </w:t>
      </w:r>
      <w:r>
        <w:rPr>
          <w:color w:val="1A1A2E"/>
          <w:sz w:val="20"/>
          <w:szCs w:val="20"/>
        </w:rPr>
        <w:t xml:space="preserve">One-off engagement in Year 1 to scope the R&amp;D claim, review your development log for compliance, and register activities with AusIndustry. Cost: $1,500–$3,000. Return: potentially $30,000–$60,000 in R&amp;D tax refunds.</w:t>
      </w:r>
    </w:p>
    <w:p>
      <w:pPr>
        <w:spacing w:after="40" w:before="40" w:line="260"/>
        <w:ind w:left="360" w:hanging="259"/>
      </w:pPr>
      <w:r>
        <w:rPr>
          <w:b/>
          <w:bCs/>
          <w:color w:val="2E86C1"/>
          <w:sz w:val="20"/>
          <w:szCs w:val="20"/>
        </w:rPr>
        <w:t xml:space="preserve">▪  </w:t>
      </w:r>
      <w:r>
        <w:rPr>
          <w:b/>
          <w:bCs/>
          <w:color w:val="1A1A2E"/>
          <w:sz w:val="20"/>
          <w:szCs w:val="20"/>
        </w:rPr>
        <w:t xml:space="preserve">Solicitor (once): </w:t>
      </w:r>
      <w:r>
        <w:rPr>
          <w:color w:val="1A1A2E"/>
          <w:sz w:val="20"/>
          <w:szCs w:val="20"/>
        </w:rPr>
        <w:t xml:space="preserve">Review/draft the company constitution, shareholder agreement (even as sole shareholder), and any education or partnership licence agreements. One-off ~$1,500–$3,000.</w:t>
      </w:r>
    </w:p>
    <w:p>
      <w:pPr>
        <w:spacing w:after="120" w:before="0"/>
      </w:pPr>
    </w:p>
    <w:p>
      <w:pPr>
        <w:shd w:fill="D1FAE5" w:val="clear"/>
        <w:spacing w:after="100" w:before="100"/>
        <w:ind w:left="288" w:right="288"/>
      </w:pPr>
      <w:r>
        <w:rPr>
          <w:b/>
          <w:bCs/>
          <w:color w:val="1A7340"/>
          <w:sz w:val="20"/>
          <w:szCs w:val="20"/>
        </w:rPr>
        <w:t xml:space="preserve">🏆  </w:t>
      </w:r>
      <w:r>
        <w:rPr>
          <w:color w:val="1A7340"/>
          <w:sz w:val="20"/>
          <w:szCs w:val="20"/>
        </w:rPr>
        <w:t xml:space="preserve">The most important thing you can do today is speak to a registered R&amp;D Tax Incentive specialist — before any other step. Development work that was done without R&amp;D records cannot be retrospectively documented. If you start that log today for ongoing and future work, every month of eligible development from here forward becomes a 43.5% government cashback.</w:t>
      </w:r>
    </w:p>
    <w:p>
      <w:pPr>
        <w:spacing w:after="200" w:before="0"/>
      </w:pPr>
    </w:p>
    <w:p>
      <w:pPr>
        <w:spacing w:after="120" w:before="60" w:line="276"/>
        <w:jc w:val="center"/>
      </w:pPr>
      <w:r>
        <w:rPr>
          <w:b w:val="false"/>
          <w:bCs w:val="false"/>
          <w:i/>
          <w:iCs/>
          <w:color w:val="6B7280"/>
          <w:sz w:val="20"/>
          <w:szCs w:val="20"/>
        </w:rPr>
        <w:t xml:space="preserve">— End of Report —</w:t>
      </w:r>
    </w:p>
    <w:p>
      <w:pPr>
        <w:spacing w:after="100" w:before="0"/>
      </w:pPr>
    </w:p>
    <w:p>
      <w:pPr>
        <w:spacing w:after="120" w:before="60" w:line="276"/>
        <w:jc w:val="both"/>
      </w:pPr>
      <w:r>
        <w:rPr>
          <w:b w:val="false"/>
          <w:bCs w:val="false"/>
          <w:i/>
          <w:iCs/>
          <w:color w:val="6B7280"/>
          <w:sz w:val="16"/>
          <w:szCs w:val="16"/>
        </w:rPr>
        <w:t xml:space="preserve">Sources: ATO (ato.gov.au), business.gov.au, Austrade (austrade.gov.au), ASIC (asic.gov.au), NSW Government (nsw.gov.au), itp.com.au, futureaccountingtax.com.au, scalesuite.com.au, c9.com.au, swansonreed.com.au. Information current as at July 2026.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4F8A"/>
      <w:sz w:val="34"/>
      <w:szCs w:val="34"/>
    </w:rPr>
  </w:style>
  <w:style w:type="paragraph" w:styleId="Heading2">
    <w:name w:val="Heading 2"/>
    <w:basedOn w:val="Normal"/>
    <w:next w:val="Normal"/>
    <w:qFormat/>
    <w:rPr>
      <w:rFonts w:ascii="Calibri" w:cs="Calibri" w:eastAsia="Calibri" w:hAnsi="Calibri"/>
      <w:b/>
      <w:bCs/>
      <w:color w:val="1B4F8A"/>
      <w:sz w:val="26"/>
      <w:szCs w:val="26"/>
    </w:rPr>
  </w:style>
  <w:style w:type="paragraph" w:styleId="Heading3">
    <w:name w:val="Heading 3"/>
    <w:basedOn w:val="Normal"/>
    <w:next w:val="Normal"/>
    <w:qFormat/>
    <w:rPr>
      <w:rFonts w:ascii="Calibri" w:cs="Calibri" w:eastAsia="Calibri" w:hAnsi="Calibri"/>
      <w:b/>
      <w:bCs/>
      <w:color w:val="2E86C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Soft PLC — Australian Business Setup, Tax &amp; Grants Guide</dc:title>
  <dc:creator>Claude (Cowork)</dc:creator>
  <cp:lastModifiedBy>Un-named</cp:lastModifiedBy>
  <cp:revision>1</cp:revision>
  <dcterms:created xsi:type="dcterms:W3CDTF">2026-07-19T07:38:37.776Z</dcterms:created>
  <dcterms:modified xsi:type="dcterms:W3CDTF">2026-07-19T07:38:37.790Z</dcterms:modified>
</cp:coreProperties>
</file>

<file path=docProps/custom.xml><?xml version="1.0" encoding="utf-8"?>
<Properties xmlns="http://schemas.openxmlformats.org/officeDocument/2006/custom-properties" xmlns:vt="http://schemas.openxmlformats.org/officeDocument/2006/docPropsVTypes"/>
</file>