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hd w:fill="1B4F8A" w:val="clear"/>
        <w:spacing w:after="0" w:before="0"/>
        <w:jc w:val="center"/>
      </w:pPr>
      <w:r>
        <w:rPr>
          <w:sz w:val="4"/>
          <w:szCs w:val="4"/>
        </w:rPr>
        <w:t xml:space="preserve"/>
      </w:r>
    </w:p>
    <w:p>
      <w:pPr>
        <w:spacing w:after="100" w:before="0"/>
      </w:pPr>
    </w:p>
    <w:p>
      <w:pPr>
        <w:spacing w:after="40" w:before="120"/>
        <w:jc w:val="center"/>
      </w:pPr>
      <w:r>
        <w:rPr>
          <w:b/>
          <w:bCs/>
          <w:caps/>
          <w:color w:val="1B4F8A"/>
          <w:sz w:val="52"/>
          <w:szCs w:val="52"/>
        </w:rPr>
        <w:t xml:space="preserve">MOBILE SOFT PLC SIMULATOR</w:t>
      </w:r>
    </w:p>
    <w:p>
      <w:pPr>
        <w:spacing w:after="40" w:before="0"/>
        <w:jc w:val="center"/>
      </w:pPr>
      <w:r>
        <w:rPr>
          <w:i/>
          <w:iCs/>
          <w:color w:val="2E86C1"/>
          <w:sz w:val="32"/>
          <w:szCs w:val="32"/>
        </w:rPr>
        <w:t xml:space="preserve">Business Analysis &amp; Commercial Strategy</w:t>
      </w:r>
    </w:p>
    <w:p>
      <w:pPr>
        <w:spacing w:after="60" w:before="0"/>
      </w:pPr>
    </w:p>
    <w:p>
      <w:pPr>
        <w:spacing w:after="40" w:before="0"/>
        <w:jc w:val="center"/>
      </w:pPr>
      <w:r>
        <w:rPr>
          <w:color w:val="6B7280"/>
          <w:sz w:val="22"/>
          <w:szCs w:val="22"/>
        </w:rPr>
        <w:t xml:space="preserve">─────────────────────────────────</w:t>
      </w:r>
    </w:p>
    <w:p>
      <w:pPr>
        <w:spacing w:after="40" w:before="0"/>
      </w:pPr>
    </w:p>
    <w:p>
      <w:pPr>
        <w:spacing w:after="60" w:before="60"/>
        <w:jc w:val="center"/>
      </w:pPr>
      <w:r>
        <w:rPr>
          <w:color w:val="6B7280"/>
          <w:sz w:val="22"/>
          <w:szCs w:val="22"/>
        </w:rPr>
        <w:t xml:space="preserve">App Store  ·  Google Play  ·  Windows</w:t>
      </w:r>
    </w:p>
    <w:p>
      <w:pPr>
        <w:spacing w:after="60" w:before="0"/>
        <w:jc w:val="center"/>
      </w:pPr>
      <w:r>
        <w:rPr>
          <w:color w:val="6B7280"/>
          <w:sz w:val="22"/>
          <w:szCs w:val="22"/>
        </w:rPr>
        <w:t xml:space="preserve">Market Entry  ·  Pricing Strategy  ·  Year-1 Forecast</w:t>
      </w:r>
    </w:p>
    <w:p>
      <w:pPr>
        <w:spacing w:after="600" w:before="0"/>
      </w:pPr>
    </w:p>
    <w:p>
      <w:pPr>
        <w:spacing w:after="20" w:before="0"/>
        <w:jc w:val="center"/>
      </w:pPr>
      <w:r>
        <w:rPr>
          <w:color w:val="6B7280"/>
          <w:sz w:val="18"/>
          <w:szCs w:val="18"/>
        </w:rPr>
        <w:t xml:space="preserve">Prepared: July 2026</w:t>
      </w:r>
    </w:p>
    <w:p>
      <w:pPr>
        <w:spacing w:after="20" w:before="0"/>
        <w:jc w:val="center"/>
      </w:pPr>
      <w:r>
        <w:rPr>
          <w:caps/>
          <w:color w:val="6B7280"/>
          <w:sz w:val="16"/>
          <w:szCs w:val="16"/>
        </w:rPr>
        <w:t xml:space="preserve">CONFIDENTIAL — COMMERCIAL IN CONFIDENCE</w:t>
      </w:r>
    </w:p>
    <w:p>
      <w:r>
        <w:br w:type="page"/>
      </w:r>
    </w:p>
    <w:p>
      <w:pPr>
        <w:pStyle w:val="Heading1"/>
        <w:pBdr>
          <w:bottom w:val="single" w:color="2E86C1" w:sz="6" w:space="4"/>
        </w:pBdr>
        <w:spacing w:after="160" w:before="360"/>
        <w:rPr>
          <w:b/>
          <w:bCs/>
          <w:color w:val="1B4F8A"/>
          <w:sz w:val="32"/>
          <w:szCs w:val="32"/>
        </w:rPr>
      </w:pPr>
      <w:r>
        <w:t xml:space="preserve">Executive Summary</w:t>
      </w:r>
    </w:p>
    <w:p>
      <w:pPr>
        <w:spacing w:after="120" w:before="60" w:line="276"/>
        <w:jc w:val="both"/>
      </w:pPr>
      <w:r>
        <w:rPr>
          <w:b w:val="false"/>
          <w:bCs w:val="false"/>
          <w:i w:val="false"/>
          <w:iCs w:val="false"/>
          <w:color w:val="1A1A2E"/>
          <w:sz w:val="20"/>
          <w:szCs w:val="20"/>
        </w:rPr>
        <w:t xml:space="preserve">The Mobile Soft PLC Simulator is a technically sophisticated, cross-platform industrial automation tool that fills a clear and underserved niche: a native mobile and desktop PLC simulator running all five IEC 61131-3 programming languages with live, in-app industrial protocol servers (OPC UA, Modbus TCP, MQTT/Sparkplug B, and DNP3). No comparable product exists on the Apple App Store or Google Play Store with this combination of capabilities.</w:t>
      </w:r>
    </w:p>
    <w:p>
      <w:pPr>
        <w:spacing w:after="120" w:before="60" w:line="276"/>
        <w:jc w:val="both"/>
      </w:pPr>
      <w:r>
        <w:rPr>
          <w:b w:val="false"/>
          <w:bCs w:val="false"/>
          <w:i w:val="false"/>
          <w:iCs w:val="false"/>
          <w:color w:val="1A1A2E"/>
          <w:sz w:val="20"/>
          <w:szCs w:val="20"/>
        </w:rPr>
        <w:t xml:space="preserve">This document analyses the commercial opportunity, compares business model options, and provides quarterly revenue forecasts for the first year of operation across three scenarios. The core recommendation is a freemium + subscription model with an optional Windows perpetual licence, targeting automation engineers, SCADA integrators, students, and technical educators as the primary customer segments.</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$3.05B</w:t>
            </w:r>
          </w:p>
          <w:p>
            <w:pPr>
              <w:spacing w:after="10" w:before="0"/>
              <w:jc w:val="center"/>
            </w:pPr>
            <w:r>
              <w:rPr>
                <w:b/>
                <w:bCs/>
                <w:color w:val="1A1A2E"/>
                <w:sz w:val="18"/>
                <w:szCs w:val="18"/>
              </w:rPr>
              <w:t xml:space="preserve">PLC Software Market (2025)</w:t>
            </w:r>
          </w:p>
          <w:p>
            <w:pPr>
              <w:spacing w:after="40" w:before="0"/>
              <w:jc w:val="center"/>
            </w:pPr>
            <w:r>
              <w:rPr>
                <w:color w:val="6B7280"/>
                <w:sz w:val="16"/>
                <w:szCs w:val="16"/>
              </w:rPr>
              <w:t xml:space="preserve">Growing at 7.77% CAGR to 2033</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$7.5B</w:t>
            </w:r>
          </w:p>
          <w:p>
            <w:pPr>
              <w:spacing w:after="10" w:before="0"/>
              <w:jc w:val="center"/>
            </w:pPr>
            <w:r>
              <w:rPr>
                <w:b/>
                <w:bCs/>
                <w:color w:val="1A1A2E"/>
                <w:sz w:val="18"/>
                <w:szCs w:val="18"/>
              </w:rPr>
              <w:t xml:space="preserve">Industrial Training Market</w:t>
            </w:r>
          </w:p>
          <w:p>
            <w:pPr>
              <w:spacing w:after="40" w:before="0"/>
              <w:jc w:val="center"/>
            </w:pPr>
            <w:r>
              <w:rPr>
                <w:color w:val="6B7280"/>
                <w:sz w:val="16"/>
                <w:szCs w:val="16"/>
              </w:rPr>
              <w:t xml:space="preserve">2026 valuation, 6.4% CAGR</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Critical</w:t>
            </w:r>
          </w:p>
          <w:p>
            <w:pPr>
              <w:spacing w:after="10" w:before="0"/>
              <w:jc w:val="center"/>
            </w:pPr>
            <w:r>
              <w:rPr>
                <w:b/>
                <w:bCs/>
                <w:color w:val="1A1A2E"/>
                <w:sz w:val="18"/>
                <w:szCs w:val="18"/>
              </w:rPr>
              <w:t xml:space="preserve">Engineering Workforce Gap</w:t>
            </w:r>
          </w:p>
          <w:p>
            <w:pPr>
              <w:spacing w:after="40" w:before="0"/>
              <w:jc w:val="center"/>
            </w:pPr>
            <w:r>
              <w:rPr>
                <w:color w:val="6B7280"/>
                <w:sz w:val="16"/>
                <w:szCs w:val="16"/>
              </w:rPr>
              <w:t xml:space="preserve">Demand outpaces supply significantly</w:t>
            </w:r>
          </w:p>
        </w:tc>
      </w:tr>
      <w:tr>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0</w:t>
            </w:r>
          </w:p>
          <w:p>
            <w:pPr>
              <w:spacing w:after="10" w:before="0"/>
              <w:jc w:val="center"/>
            </w:pPr>
            <w:r>
              <w:rPr>
                <w:b/>
                <w:bCs/>
                <w:color w:val="1A1A2E"/>
                <w:sz w:val="18"/>
                <w:szCs w:val="18"/>
              </w:rPr>
              <w:t xml:space="preserve">Native Mobile Competitors</w:t>
            </w:r>
          </w:p>
          <w:p>
            <w:pPr>
              <w:spacing w:after="40" w:before="0"/>
              <w:jc w:val="center"/>
            </w:pPr>
            <w:r>
              <w:rPr>
                <w:color w:val="6B7280"/>
                <w:sz w:val="16"/>
                <w:szCs w:val="16"/>
              </w:rPr>
              <w:t xml:space="preserve">No equivalent app in market</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$89.99</w:t>
            </w:r>
          </w:p>
          <w:p>
            <w:pPr>
              <w:spacing w:after="10" w:before="0"/>
              <w:jc w:val="center"/>
            </w:pPr>
            <w:r>
              <w:rPr>
                <w:b/>
                <w:bCs/>
                <w:color w:val="1A1A2E"/>
                <w:sz w:val="18"/>
                <w:szCs w:val="18"/>
              </w:rPr>
              <w:t xml:space="preserve">Recommended Annual Price</w:t>
            </w:r>
          </w:p>
          <w:p>
            <w:pPr>
              <w:spacing w:after="40" w:before="0"/>
              <w:jc w:val="center"/>
            </w:pPr>
            <w:r>
              <w:rPr>
                <w:color w:val="6B7280"/>
                <w:sz w:val="16"/>
                <w:szCs w:val="16"/>
              </w:rPr>
              <w:t xml:space="preserve">Individual Pro subscription</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~$30.5K</w:t>
            </w:r>
          </w:p>
          <w:p>
            <w:pPr>
              <w:spacing w:after="10" w:before="0"/>
              <w:jc w:val="center"/>
            </w:pPr>
            <w:r>
              <w:rPr>
                <w:b/>
                <w:bCs/>
                <w:color w:val="1A1A2E"/>
                <w:sz w:val="18"/>
                <w:szCs w:val="18"/>
              </w:rPr>
              <w:t xml:space="preserve">Base Case Net Profit Y1</w:t>
            </w:r>
          </w:p>
          <w:p>
            <w:pPr>
              <w:spacing w:after="40" w:before="0"/>
              <w:jc w:val="center"/>
            </w:pPr>
            <w:r>
              <w:rPr>
                <w:color w:val="6B7280"/>
                <w:sz w:val="16"/>
                <w:szCs w:val="16"/>
              </w:rPr>
              <w:t xml:space="preserve">Subscription model, solo operator</w:t>
            </w:r>
          </w:p>
        </w:tc>
      </w:tr>
    </w:tbl>
    <w:p>
      <w:pPr>
        <w:spacing w:after="120" w:before="0"/>
      </w:pPr>
    </w:p>
    <w:p>
      <w:pPr>
        <w:shd w:fill="FEF3C7" w:val="clear"/>
        <w:spacing w:after="100" w:before="100"/>
        <w:ind w:left="288" w:right="288"/>
      </w:pPr>
      <w:r>
        <w:rPr>
          <w:b/>
          <w:bCs/>
          <w:color w:val="92400E"/>
          <w:sz w:val="20"/>
          <w:szCs w:val="20"/>
        </w:rPr>
        <w:t xml:space="preserve">⚠  </w:t>
      </w:r>
      <w:r>
        <w:rPr>
          <w:i w:val="false"/>
          <w:iCs w:val="false"/>
          <w:color w:val="92400E"/>
          <w:sz w:val="20"/>
          <w:szCs w:val="20"/>
        </w:rPr>
        <w:t xml:space="preserve">DISCLAIMER: All financial forecasts are projections based on publicly available market data and industry benchmarks. Actual results will vary based on marketing spend, execution quality, market timing, and external factors beyond the developer's control. These figures are illustrative, not guaranteed.</w:t>
      </w:r>
    </w:p>
    <w:p>
      <w:r>
        <w:br w:type="page"/>
      </w:r>
    </w:p>
    <w:p>
      <w:pPr>
        <w:pStyle w:val="Heading1"/>
        <w:pBdr>
          <w:bottom w:val="single" w:color="2E86C1" w:sz="6" w:space="4"/>
        </w:pBdr>
        <w:spacing w:after="160" w:before="360"/>
        <w:rPr>
          <w:b/>
          <w:bCs/>
          <w:color w:val="1B4F8A"/>
          <w:sz w:val="32"/>
          <w:szCs w:val="32"/>
        </w:rPr>
      </w:pPr>
      <w:r>
        <w:t xml:space="preserve">1. Market Opportunity</w:t>
      </w:r>
    </w:p>
    <w:p>
      <w:pPr>
        <w:pStyle w:val="Heading2"/>
        <w:spacing w:after="120" w:before="280"/>
        <w:rPr>
          <w:b/>
          <w:bCs/>
          <w:color w:val="1B4F8A"/>
          <w:sz w:val="26"/>
          <w:szCs w:val="26"/>
        </w:rPr>
      </w:pPr>
      <w:r>
        <w:t xml:space="preserve">1.1 The PLC Software Market</w:t>
      </w:r>
    </w:p>
    <w:p>
      <w:pPr>
        <w:spacing w:after="120" w:before="60" w:line="276"/>
        <w:jc w:val="both"/>
      </w:pPr>
      <w:r>
        <w:rPr>
          <w:b w:val="false"/>
          <w:bCs w:val="false"/>
          <w:i w:val="false"/>
          <w:iCs w:val="false"/>
          <w:color w:val="1A1A2E"/>
          <w:sz w:val="20"/>
          <w:szCs w:val="20"/>
        </w:rPr>
        <w:t xml:space="preserve">The global PLC software market was valued at USD 3.05 billion in 2025 and is projected to reach USD 5.55 billion by 2033, growing at a compound annual growth rate (CAGR) of 7.77%. Programming software leads with 45.3% market share, followed by monitoring, simulation, and configuration software categories. The Asia-Pacific region is the fastest-growing segment, holding 38.7% of global share.</w:t>
      </w:r>
    </w:p>
    <w:p>
      <w:pPr>
        <w:spacing w:after="120" w:before="60" w:line="276"/>
        <w:jc w:val="both"/>
      </w:pPr>
      <w:r>
        <w:rPr>
          <w:b w:val="false"/>
          <w:bCs w:val="false"/>
          <w:i w:val="false"/>
          <w:iCs w:val="false"/>
          <w:color w:val="1A1A2E"/>
          <w:sz w:val="20"/>
          <w:szCs w:val="20"/>
        </w:rPr>
        <w:t xml:space="preserve">Simulation software — the category this app sits in — is one of six tracked segments, with growth driven by manufacturer demand for virtual commissioning, remote training, and protocol integration testing without expensive physical hardware.</w:t>
      </w:r>
    </w:p>
    <w:p>
      <w:pPr>
        <w:spacing w:after="4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$3.05B</w:t>
            </w:r>
          </w:p>
          <w:p>
            <w:pPr>
              <w:spacing w:after="10" w:before="0"/>
              <w:jc w:val="center"/>
            </w:pPr>
            <w:r>
              <w:rPr>
                <w:b/>
                <w:bCs/>
                <w:color w:val="1A1A2E"/>
                <w:sz w:val="18"/>
                <w:szCs w:val="18"/>
              </w:rPr>
              <w:t xml:space="preserve">Market Value (2025)</w:t>
            </w:r>
          </w:p>
          <w:p>
            <w:pPr>
              <w:spacing w:after="40" w:before="0"/>
              <w:jc w:val="center"/>
            </w:pPr>
            <w:r>
              <w:rPr>
                <w:color w:val="6B7280"/>
                <w:sz w:val="16"/>
                <w:szCs w:val="16"/>
              </w:rPr>
              <w:t xml:space="preserve">PLC Software globally</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$5.55B</w:t>
            </w:r>
          </w:p>
          <w:p>
            <w:pPr>
              <w:spacing w:after="10" w:before="0"/>
              <w:jc w:val="center"/>
            </w:pPr>
            <w:r>
              <w:rPr>
                <w:b/>
                <w:bCs/>
                <w:color w:val="1A1A2E"/>
                <w:sz w:val="18"/>
                <w:szCs w:val="18"/>
              </w:rPr>
              <w:t xml:space="preserve">Market Value (2033)</w:t>
            </w:r>
          </w:p>
          <w:p>
            <w:pPr>
              <w:spacing w:after="40" w:before="0"/>
              <w:jc w:val="center"/>
            </w:pPr>
            <w:r>
              <w:rPr>
                <w:color w:val="6B7280"/>
                <w:sz w:val="16"/>
                <w:szCs w:val="16"/>
              </w:rPr>
              <w:t xml:space="preserve">Projected</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7.77%</w:t>
            </w:r>
          </w:p>
          <w:p>
            <w:pPr>
              <w:spacing w:after="10" w:before="0"/>
              <w:jc w:val="center"/>
            </w:pPr>
            <w:r>
              <w:rPr>
                <w:b/>
                <w:bCs/>
                <w:color w:val="1A1A2E"/>
                <w:sz w:val="18"/>
                <w:szCs w:val="18"/>
              </w:rPr>
              <w:t xml:space="preserve">CAGR (2026–2033)</w:t>
            </w:r>
          </w:p>
          <w:p>
            <w:pPr>
              <w:spacing w:after="40" w:before="0"/>
              <w:jc w:val="center"/>
            </w:pPr>
            <w:r>
              <w:rPr>
                <w:color w:val="6B7280"/>
                <w:sz w:val="16"/>
                <w:szCs w:val="16"/>
              </w:rPr>
              <w:t xml:space="preserve">Sustained growth</w:t>
            </w:r>
          </w:p>
        </w:tc>
      </w:tr>
    </w:tbl>
    <w:p>
      <w:pPr>
        <w:spacing w:after="80" w:before="0"/>
      </w:pPr>
    </w:p>
    <w:p>
      <w:pPr>
        <w:pStyle w:val="Heading2"/>
        <w:spacing w:after="120" w:before="280"/>
        <w:rPr>
          <w:b/>
          <w:bCs/>
          <w:color w:val="1B4F8A"/>
          <w:sz w:val="26"/>
          <w:szCs w:val="26"/>
        </w:rPr>
      </w:pPr>
      <w:r>
        <w:t xml:space="preserve">1.2 The Industrial Training Market</w:t>
      </w:r>
    </w:p>
    <w:p>
      <w:pPr>
        <w:spacing w:after="120" w:before="60" w:line="276"/>
        <w:jc w:val="both"/>
      </w:pPr>
      <w:r>
        <w:rPr>
          <w:b w:val="false"/>
          <w:bCs w:val="false"/>
          <w:i w:val="false"/>
          <w:iCs w:val="false"/>
          <w:color w:val="1A1A2E"/>
          <w:sz w:val="20"/>
          <w:szCs w:val="20"/>
        </w:rPr>
        <w:t xml:space="preserve">The broader industrial training market — the environment that most directly drives demand for a PLC simulator — is valued at USD 7.5 billion in 2026 and is expected to cross USD 14.8 billion by 2033 (6.4% CAGR). Key delivery modes include e-learning, virtual instructor-led training (VILT), and blended learning, all of which align directly with the Mobile Soft PLC Simulator's use case.</w:t>
      </w:r>
    </w:p>
    <w:p>
      <w:pPr>
        <w:spacing w:after="120" w:before="60" w:line="276"/>
        <w:jc w:val="both"/>
      </w:pPr>
      <w:r>
        <w:rPr>
          <w:b w:val="false"/>
          <w:bCs w:val="false"/>
          <w:i w:val="false"/>
          <w:iCs w:val="false"/>
          <w:color w:val="1A1A2E"/>
          <w:sz w:val="20"/>
          <w:szCs w:val="20"/>
        </w:rPr>
        <w:t xml:space="preserve">Major industry players such as Siemens AG, Rockwell Automation, Schneider Electric, ABB, and Honeywell compete for the institutional training segment. However, none offer a lightweight native mobile app; their tools are heavy Windows-only installations costing hundreds to thousands of dollars per seat, leaving a wide-open gap for a mobile-first product.</w:t>
      </w:r>
    </w:p>
    <w:p>
      <w:pPr>
        <w:spacing w:after="80" w:before="0"/>
      </w:pPr>
    </w:p>
    <w:p>
      <w:pPr>
        <w:pStyle w:val="Heading2"/>
        <w:spacing w:after="120" w:before="280"/>
        <w:rPr>
          <w:b/>
          <w:bCs/>
          <w:color w:val="1B4F8A"/>
          <w:sz w:val="26"/>
          <w:szCs w:val="26"/>
        </w:rPr>
      </w:pPr>
      <w:r>
        <w:t xml:space="preserve">1.3 Workforce Demand &amp; Skill Gaps</w:t>
      </w:r>
    </w:p>
    <w:p>
      <w:pPr>
        <w:spacing w:after="120" w:before="60" w:line="276"/>
        <w:jc w:val="both"/>
      </w:pPr>
      <w:r>
        <w:rPr>
          <w:b w:val="false"/>
          <w:bCs w:val="false"/>
          <w:i w:val="false"/>
          <w:iCs w:val="false"/>
          <w:color w:val="1A1A2E"/>
          <w:sz w:val="20"/>
          <w:szCs w:val="20"/>
        </w:rPr>
        <w:t xml:space="preserve">The automation and controls engineering workforce faces a significant and worsening skills shortage. Demand for qualified SCADA engineers, controls engineers, and automation professionals consistently outpaces supply. Key data points from 2026 industry surveys include: 77% of manufacturing leaders increased software and automation budgets entering 2026; the cybersecurity skills gap in industrial environments alone is projected at 4.8 million unfilled roles; and 40% of manufacturers plan to upgrade to AI-driven production scheduling by 2026, requiring engineers proficient in PLCs, SCADA, and analytics.</w:t>
      </w:r>
    </w:p>
    <w:p>
      <w:pPr>
        <w:spacing w:after="120" w:before="60" w:line="276"/>
        <w:jc w:val="both"/>
      </w:pPr>
      <w:r>
        <w:rPr>
          <w:b w:val="false"/>
          <w:bCs w:val="false"/>
          <w:i w:val="false"/>
          <w:iCs w:val="false"/>
          <w:color w:val="1A1A2E"/>
          <w:sz w:val="20"/>
          <w:szCs w:val="20"/>
        </w:rPr>
        <w:t xml:space="preserve">This workforce shortage directly creates the market for a training and simulation tool. New engineers must learn IEC 61131-3 programming and industrial protocols, often without access to physical PLC hardware. SCADA integrators need to test protocol behaviour without live systems. The Mobile Soft PLC Simulator addresses all of these needs on a device every engineer already carries.</w:t>
      </w:r>
    </w:p>
    <w:p>
      <w:pPr>
        <w:spacing w:after="120" w:before="60" w:line="276"/>
        <w:jc w:val="both"/>
      </w:pPr>
      <w:r>
        <w:rPr>
          <w:b w:val="false"/>
          <w:bCs w:val="false"/>
          <w:i w:val="false"/>
          <w:iCs w:val="false"/>
          <w:color w:val="1A1A2E"/>
          <w:sz w:val="20"/>
          <w:szCs w:val="20"/>
        </w:rPr>
        <w:t xml:space="preserve">SCADA engineers in the United States earn between $73,000 and $145,000 per year (2026 data). At these income levels, a professional software subscription of $90–$150 per year represents less than 0.15% of annual salary — an extremely low price-to-value ratio that makes conversion straightforward.</w:t>
      </w:r>
    </w:p>
    <w:p>
      <w:pPr>
        <w:spacing w:after="80" w:before="0"/>
      </w:pPr>
    </w:p>
    <w:p>
      <w:pPr>
        <w:pStyle w:val="Heading2"/>
        <w:spacing w:after="120" w:before="280"/>
        <w:rPr>
          <w:b/>
          <w:bCs/>
          <w:color w:val="1B4F8A"/>
          <w:sz w:val="26"/>
          <w:szCs w:val="26"/>
        </w:rPr>
      </w:pPr>
      <w:r>
        <w:t xml:space="preserve">1.4 Addressable Market Sizing</w:t>
      </w:r>
    </w:p>
    <w:p>
      <w:pPr>
        <w:spacing w:after="120" w:before="60" w:line="276"/>
        <w:jc w:val="both"/>
      </w:pPr>
      <w:r>
        <w:rPr>
          <w:b w:val="false"/>
          <w:bCs w:val="false"/>
          <w:i w:val="false"/>
          <w:iCs w:val="false"/>
          <w:color w:val="1A1A2E"/>
          <w:sz w:val="20"/>
          <w:szCs w:val="20"/>
        </w:rPr>
        <w:t xml:space="preserve">The Total Addressable Market (TAM) for a product of this type spans automation engineers, SCADA integrators, technical educators, and students globally. A conservative estimate of the Serviceable Obtainable Market (SOM) for Year 1, limited to English-speaking markets with existing awareness of professional automation tools, is as follows:</w:t>
      </w:r>
    </w:p>
    <w:p>
      <w:pPr>
        <w:spacing w:after="40" w:before="40" w:line="260"/>
        <w:ind w:left="360" w:hanging="259"/>
      </w:pPr>
      <w:r>
        <w:rPr>
          <w:b/>
          <w:bCs/>
          <w:color w:val="2E86C1"/>
          <w:sz w:val="20"/>
          <w:szCs w:val="20"/>
        </w:rPr>
        <w:t xml:space="preserve">▪  </w:t>
      </w:r>
      <w:r>
        <w:rPr>
          <w:color w:val="1A1A2E"/>
          <w:sz w:val="20"/>
          <w:szCs w:val="20"/>
        </w:rPr>
        <w:t xml:space="preserve">Automation and controls engineers globally: est. 500,000–1,000,000 professionals</w:t>
      </w:r>
    </w:p>
    <w:p>
      <w:pPr>
        <w:spacing w:after="40" w:before="40" w:line="260"/>
        <w:ind w:left="360" w:hanging="259"/>
      </w:pPr>
      <w:r>
        <w:rPr>
          <w:b/>
          <w:bCs/>
          <w:color w:val="2E86C1"/>
          <w:sz w:val="20"/>
          <w:szCs w:val="20"/>
        </w:rPr>
        <w:t xml:space="preserve">▪  </w:t>
      </w:r>
      <w:r>
        <w:rPr>
          <w:color w:val="1A1A2E"/>
          <w:sz w:val="20"/>
          <w:szCs w:val="20"/>
        </w:rPr>
        <w:t xml:space="preserve">SCADA integrators and protocol testers: est. 100,000–200,000 globally</w:t>
      </w:r>
    </w:p>
    <w:p>
      <w:pPr>
        <w:spacing w:after="40" w:before="40" w:line="260"/>
        <w:ind w:left="360" w:hanging="259"/>
      </w:pPr>
      <w:r>
        <w:rPr>
          <w:b/>
          <w:bCs/>
          <w:color w:val="2E86C1"/>
          <w:sz w:val="20"/>
          <w:szCs w:val="20"/>
        </w:rPr>
        <w:t xml:space="preserve">▪  </w:t>
      </w:r>
      <w:r>
        <w:rPr>
          <w:color w:val="1A1A2E"/>
          <w:sz w:val="20"/>
          <w:szCs w:val="20"/>
        </w:rPr>
        <w:t xml:space="preserve">Students in automation/electrical/mechatronics programs: est. 500,000+ annually</w:t>
      </w:r>
    </w:p>
    <w:p>
      <w:pPr>
        <w:spacing w:after="40" w:before="40" w:line="260"/>
        <w:ind w:left="360" w:hanging="259"/>
      </w:pPr>
      <w:r>
        <w:rPr>
          <w:b/>
          <w:bCs/>
          <w:color w:val="2E86C1"/>
          <w:sz w:val="20"/>
          <w:szCs w:val="20"/>
        </w:rPr>
        <w:t xml:space="preserve">▪  </w:t>
      </w:r>
      <w:r>
        <w:rPr>
          <w:color w:val="1A1A2E"/>
          <w:sz w:val="20"/>
          <w:szCs w:val="20"/>
        </w:rPr>
        <w:t xml:space="preserve">Technical educators and training providers: est. 20,000–50,000 institutions</w:t>
      </w:r>
    </w:p>
    <w:p>
      <w:pPr>
        <w:spacing w:after="60" w:before="0"/>
      </w:pPr>
    </w:p>
    <w:p>
      <w:pPr>
        <w:spacing w:after="120" w:before="60" w:line="276"/>
        <w:jc w:val="both"/>
      </w:pPr>
      <w:r>
        <w:rPr>
          <w:b w:val="false"/>
          <w:bCs w:val="false"/>
          <w:i w:val="false"/>
          <w:iCs w:val="false"/>
          <w:color w:val="1A1A2E"/>
          <w:sz w:val="20"/>
          <w:szCs w:val="20"/>
        </w:rPr>
        <w:t xml:space="preserve">Even capturing 0.1% of the global professional segment (1,000 paid users) at $89.99/year generates $90,000 in annual recurring revenue. Reaching 5,000 paid subscribers — still a very small fraction of the total market — yields $450,000 ARR. These are achievable milestones within 2–3 years of consistent growth.</w:t>
      </w:r>
    </w:p>
    <w:p>
      <w:r>
        <w:br w:type="page"/>
      </w:r>
    </w:p>
    <w:p>
      <w:pPr>
        <w:pStyle w:val="Heading1"/>
        <w:pBdr>
          <w:bottom w:val="single" w:color="2E86C1" w:sz="6" w:space="4"/>
        </w:pBdr>
        <w:spacing w:after="160" w:before="360"/>
        <w:rPr>
          <w:b/>
          <w:bCs/>
          <w:color w:val="1B4F8A"/>
          <w:sz w:val="32"/>
          <w:szCs w:val="32"/>
        </w:rPr>
      </w:pPr>
      <w:r>
        <w:t xml:space="preserve">2. Competitive Landscape</w:t>
      </w:r>
    </w:p>
    <w:p>
      <w:pPr>
        <w:pStyle w:val="Heading2"/>
        <w:spacing w:after="120" w:before="280"/>
        <w:rPr>
          <w:b/>
          <w:bCs/>
          <w:color w:val="1B4F8A"/>
          <w:sz w:val="26"/>
          <w:szCs w:val="26"/>
        </w:rPr>
      </w:pPr>
      <w:r>
        <w:t xml:space="preserve">2.1 Existing Competitors</w:t>
      </w:r>
    </w:p>
    <w:p>
      <w:pPr>
        <w:spacing w:after="120" w:before="60" w:line="276"/>
        <w:jc w:val="both"/>
      </w:pPr>
      <w:r>
        <w:rPr>
          <w:b w:val="false"/>
          <w:bCs w:val="false"/>
          <w:i w:val="false"/>
          <w:iCs w:val="false"/>
          <w:color w:val="1A1A2E"/>
          <w:sz w:val="20"/>
          <w:szCs w:val="20"/>
        </w:rPr>
        <w:t xml:space="preserve">The PLC simulator software market is dominated by Windows-only desktop applications. A small number of mobile apps exist but are limited to basic ladder diagram practice with no protocol capability. The following table summarises the key competing products:</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00"/>
      </w:tblGrid>
      <w:tr>
        <w:tc>
          <w:tcPr>
            <w:tcW w:type="dxa" w:w="22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Product</w:t>
            </w:r>
          </w:p>
        </w:tc>
        <w:tc>
          <w:tcPr>
            <w:tcW w:type="dxa" w:w="1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Platform</w:t>
            </w:r>
          </w:p>
        </w:tc>
        <w:tc>
          <w:tcPr>
            <w:tcW w:type="dxa" w:w="20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Price / Model</w:t>
            </w:r>
          </w:p>
        </w:tc>
        <w:tc>
          <w:tcPr>
            <w:tcW w:type="dxa" w:w="33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Key Differentiator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Factory I/O</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Windows only</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$49–$400/year</w:t>
            </w:r>
          </w:p>
        </w:tc>
        <w:tc>
          <w:tcPr>
            <w:tcW w:type="dxa" w:w="3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Rich 3D factory visuals; popular in education</w:t>
            </w:r>
          </w:p>
        </w:tc>
      </w:tr>
      <w:tr>
        <w:tc>
          <w:tcPr>
            <w:tcW w:type="dxa" w:w="22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PLCLogix 5000</w:t>
            </w:r>
          </w:p>
        </w:tc>
        <w:tc>
          <w:tcPr>
            <w:tcW w:type="dxa" w:w="1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Windows only</w:t>
            </w:r>
          </w:p>
        </w:tc>
        <w:tc>
          <w:tcPr>
            <w:tcW w:type="dxa" w:w="2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$49–$299/year</w:t>
            </w:r>
          </w:p>
        </w:tc>
        <w:tc>
          <w:tcPr>
            <w:tcW w:type="dxa" w:w="3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Simulates Allen-Bradley ControlLogix; widely used in TAFE/colleges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LogixPro</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Windows only</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$65 one-time</w:t>
            </w:r>
          </w:p>
        </w:tc>
        <w:tc>
          <w:tcPr>
            <w:tcW w:type="dxa" w:w="3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Budget perpetual licence; only basic LD</w:t>
            </w:r>
          </w:p>
        </w:tc>
      </w:tr>
      <w:tr>
        <w:tc>
          <w:tcPr>
            <w:tcW w:type="dxa" w:w="22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Siemens PLCSIM</w:t>
            </w:r>
          </w:p>
        </w:tc>
        <w:tc>
          <w:tcPr>
            <w:tcW w:type="dxa" w:w="1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Windows only</w:t>
            </w:r>
          </w:p>
        </w:tc>
        <w:tc>
          <w:tcPr>
            <w:tcW w:type="dxa" w:w="2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Free basic / $1,200+ Advanced</w:t>
            </w:r>
          </w:p>
        </w:tc>
        <w:tc>
          <w:tcPr>
            <w:tcW w:type="dxa" w:w="3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Siemens-specific; deep integration with TIA Portal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Automation Studio</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Windows only</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$99–$5,000+/year</w:t>
            </w:r>
          </w:p>
        </w:tc>
        <w:tc>
          <w:tcPr>
            <w:tcW w:type="dxa" w:w="3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University/mechatronics focus; hydraulics and pneumatics</w:t>
            </w:r>
          </w:p>
        </w:tc>
      </w:tr>
      <w:tr>
        <w:tc>
          <w:tcPr>
            <w:tcW w:type="dxa" w:w="22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CODESYS Control Win</w:t>
            </w:r>
          </w:p>
        </w:tc>
        <w:tc>
          <w:tcPr>
            <w:tcW w:type="dxa" w:w="1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Windows only</w:t>
            </w:r>
          </w:p>
        </w:tc>
        <w:tc>
          <w:tcPr>
            <w:tcW w:type="dxa" w:w="2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$100–$300</w:t>
            </w:r>
          </w:p>
        </w:tc>
        <w:tc>
          <w:tcPr>
            <w:tcW w:type="dxa" w:w="3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IEC 61131-3 standard; popular in Europe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OpenPLC</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Win/Linux/Mac</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Free (open source)</w:t>
            </w:r>
          </w:p>
        </w:tc>
        <w:tc>
          <w:tcPr>
            <w:tcW w:type="dxa" w:w="3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Open source; limited simulation depth</w:t>
            </w:r>
          </w:p>
        </w:tc>
      </w:tr>
      <w:tr>
        <w:tc>
          <w:tcPr>
            <w:tcW w:type="dxa" w:w="22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PLC AI App (iOS)</w:t>
            </w:r>
          </w:p>
        </w:tc>
        <w:tc>
          <w:tcPr>
            <w:tcW w:type="dxa" w:w="1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iOS only</w:t>
            </w:r>
          </w:p>
        </w:tc>
        <w:tc>
          <w:tcPr>
            <w:tcW w:type="dxa" w:w="2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$9.99–$19.99/mo or $149.99 lifetime</w:t>
            </w:r>
          </w:p>
        </w:tc>
        <w:tc>
          <w:tcPr>
            <w:tcW w:type="dxa" w:w="3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Basic LD simulator + course content; 4.5★ 71 reviews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PLC Trainer (iOS)</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iOS/iPadOS</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Free</w:t>
            </w:r>
          </w:p>
        </w:tc>
        <w:tc>
          <w:tcPr>
            <w:tcW w:type="dxa" w:w="3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color w:val="1A1A2E"/>
                <w:sz w:val="18"/>
                <w:szCs w:val="18"/>
              </w:rPr>
              <w:t xml:space="preserve">Very basic; limited to 6 outputs, 3 timers; 3.9★ 58 reviews</w:t>
            </w:r>
          </w:p>
        </w:tc>
      </w:tr>
      <w:tr>
        <w:tc>
          <w:tcPr>
            <w:tcW w:type="dxa" w:w="22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Mobile Soft PLC</w:t>
            </w:r>
          </w:p>
        </w:tc>
        <w:tc>
          <w:tcPr>
            <w:tcW w:type="dxa" w:w="1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iOS/Android/Windows</w:t>
            </w:r>
          </w:p>
        </w:tc>
        <w:tc>
          <w:tcPr>
            <w:tcW w:type="dxa" w:w="2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TBD — your product</w:t>
            </w:r>
          </w:p>
        </w:tc>
        <w:tc>
          <w:tcPr>
            <w:tcW w:type="dxa" w:w="3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r>
              <w:rPr>
                <w:color w:val="1A1A2E"/>
                <w:sz w:val="18"/>
                <w:szCs w:val="18"/>
              </w:rPr>
              <w:t xml:space="preserve">ALL 5 IEC languages + 4 live industrial protocol servers in-app; the only one</w:t>
            </w:r>
          </w:p>
        </w:tc>
      </w:tr>
    </w:tbl>
    <w:p>
      <w:pPr>
        <w:spacing w:after="120" w:before="0"/>
      </w:pPr>
    </w:p>
    <w:p>
      <w:pPr>
        <w:pStyle w:val="Heading2"/>
        <w:spacing w:after="120" w:before="280"/>
        <w:rPr>
          <w:b/>
          <w:bCs/>
          <w:color w:val="1B4F8A"/>
          <w:sz w:val="26"/>
          <w:szCs w:val="26"/>
        </w:rPr>
      </w:pPr>
      <w:r>
        <w:t xml:space="preserve">2.2 Competitive Differentiation</w:t>
      </w:r>
    </w:p>
    <w:p>
      <w:pPr>
        <w:spacing w:after="120" w:before="60" w:line="276"/>
        <w:jc w:val="both"/>
      </w:pPr>
      <w:r>
        <w:rPr>
          <w:b w:val="false"/>
          <w:bCs w:val="false"/>
          <w:i w:val="false"/>
          <w:iCs w:val="false"/>
          <w:color w:val="1A1A2E"/>
          <w:sz w:val="20"/>
          <w:szCs w:val="20"/>
        </w:rPr>
        <w:t xml:space="preserve">The Mobile Soft PLC Simulator has a compelling and defensible competitive position. The following advantages are material and not easily replicated by existing competitors:</w:t>
      </w:r>
    </w:p>
    <w:p>
      <w:pPr>
        <w:spacing w:after="40" w:before="40" w:line="260"/>
        <w:ind w:left="360" w:hanging="259"/>
      </w:pPr>
      <w:r>
        <w:rPr>
          <w:b/>
          <w:bCs/>
          <w:color w:val="2E86C1"/>
          <w:sz w:val="20"/>
          <w:szCs w:val="20"/>
        </w:rPr>
        <w:t xml:space="preserve">▪  </w:t>
      </w:r>
      <w:r>
        <w:rPr>
          <w:b/>
          <w:bCs/>
          <w:color w:val="1A1A2E"/>
          <w:sz w:val="20"/>
          <w:szCs w:val="20"/>
        </w:rPr>
        <w:t xml:space="preserve">No native mobile equivalent: </w:t>
      </w:r>
      <w:r>
        <w:rPr>
          <w:color w:val="1A1A2E"/>
          <w:sz w:val="20"/>
          <w:szCs w:val="20"/>
        </w:rPr>
        <w:t xml:space="preserve">Every serious competitor is Windows-only. The two iOS apps that exist are toy-level products with zero protocol capability. There is no product on the App Store or Google Play with real IEC 61131-3 execution across all five languages.</w:t>
      </w:r>
    </w:p>
    <w:p>
      <w:pPr>
        <w:spacing w:after="40" w:before="40" w:line="260"/>
        <w:ind w:left="360" w:hanging="259"/>
      </w:pPr>
      <w:r>
        <w:rPr>
          <w:b/>
          <w:bCs/>
          <w:color w:val="2E86C1"/>
          <w:sz w:val="20"/>
          <w:szCs w:val="20"/>
        </w:rPr>
        <w:t xml:space="preserve">▪  </w:t>
      </w:r>
      <w:r>
        <w:rPr>
          <w:b/>
          <w:bCs/>
          <w:color w:val="1A1A2E"/>
          <w:sz w:val="20"/>
          <w:szCs w:val="20"/>
        </w:rPr>
        <w:t xml:space="preserve">In-app industrial protocol servers: </w:t>
      </w:r>
      <w:r>
        <w:rPr>
          <w:color w:val="1A1A2E"/>
          <w:sz w:val="20"/>
          <w:szCs w:val="20"/>
        </w:rPr>
        <w:t xml:space="preserve">OPC UA, Modbus TCP, MQTT/Sparkplug B, and DNP3 all run in-process inside the app. This means a SCADA integrator can point their Ignition, Kepware, or UAExpert instance at their phone and get a real virtual PLC. This is unique in the market.</w:t>
      </w:r>
    </w:p>
    <w:p>
      <w:pPr>
        <w:spacing w:after="40" w:before="40" w:line="260"/>
        <w:ind w:left="360" w:hanging="259"/>
      </w:pPr>
      <w:r>
        <w:rPr>
          <w:b/>
          <w:bCs/>
          <w:color w:val="2E86C1"/>
          <w:sz w:val="20"/>
          <w:szCs w:val="20"/>
        </w:rPr>
        <w:t xml:space="preserve">▪  </w:t>
      </w:r>
      <w:r>
        <w:rPr>
          <w:b/>
          <w:bCs/>
          <w:color w:val="1A1A2E"/>
          <w:sz w:val="20"/>
          <w:szCs w:val="20"/>
        </w:rPr>
        <w:t xml:space="preserve">All five IEC 61131-3 languages: </w:t>
      </w:r>
      <w:r>
        <w:rPr>
          <w:color w:val="1A1A2E"/>
          <w:sz w:val="20"/>
          <w:szCs w:val="20"/>
        </w:rPr>
        <w:t xml:space="preserve">LD, ST, FBD, SFC, and IL are all implemented with real execution engines. Competitors typically offer one or two.</w:t>
      </w:r>
    </w:p>
    <w:p>
      <w:pPr>
        <w:spacing w:after="40" w:before="40" w:line="260"/>
        <w:ind w:left="360" w:hanging="259"/>
      </w:pPr>
      <w:r>
        <w:rPr>
          <w:b/>
          <w:bCs/>
          <w:color w:val="2E86C1"/>
          <w:sz w:val="20"/>
          <w:szCs w:val="20"/>
        </w:rPr>
        <w:t xml:space="preserve">▪  </w:t>
      </w:r>
      <w:r>
        <w:rPr>
          <w:b/>
          <w:bCs/>
          <w:color w:val="1A1A2E"/>
          <w:sz w:val="20"/>
          <w:szCs w:val="20"/>
        </w:rPr>
        <w:t xml:space="preserve">Advanced simulation: </w:t>
      </w:r>
      <w:r>
        <w:rPr>
          <w:color w:val="1A1A2E"/>
          <w:sz w:val="20"/>
          <w:szCs w:val="20"/>
        </w:rPr>
        <w:t xml:space="preserve">PID auto-tune, MIMO coupled-plant analysis, valve characteristic curves, noise modelling, and a simulated I/O rules engine go far beyond what any mobile competitor offers.</w:t>
      </w:r>
    </w:p>
    <w:p>
      <w:pPr>
        <w:spacing w:after="40" w:before="40" w:line="260"/>
        <w:ind w:left="360" w:hanging="259"/>
      </w:pPr>
      <w:r>
        <w:rPr>
          <w:b/>
          <w:bCs/>
          <w:color w:val="2E86C1"/>
          <w:sz w:val="20"/>
          <w:szCs w:val="20"/>
        </w:rPr>
        <w:t xml:space="preserve">▪  </w:t>
      </w:r>
      <w:r>
        <w:rPr>
          <w:b/>
          <w:bCs/>
          <w:color w:val="1A1A2E"/>
          <w:sz w:val="20"/>
          <w:szCs w:val="20"/>
        </w:rPr>
        <w:t xml:space="preserve">No-hardware-required protocol testing: </w:t>
      </w:r>
      <w:r>
        <w:rPr>
          <w:color w:val="1A1A2E"/>
          <w:sz w:val="20"/>
          <w:szCs w:val="20"/>
        </w:rPr>
        <w:t xml:space="preserve">For protocol testers and cybersecurity researchers, the ability to run a DNP3 outstation or OPC UA server on a phone for firewall and integration testing is genuinely valuable and has no mobile equivalent.</w:t>
      </w:r>
    </w:p>
    <w:p>
      <w:pPr>
        <w:spacing w:after="60" w:before="0"/>
      </w:pPr>
    </w:p>
    <w:p>
      <w:pPr>
        <w:shd w:fill="D1FAE5" w:val="clear"/>
        <w:spacing w:after="100" w:before="100"/>
        <w:ind w:left="288" w:right="288"/>
      </w:pPr>
      <w:r>
        <w:rPr>
          <w:b/>
          <w:bCs/>
          <w:color w:val="1A7340"/>
          <w:sz w:val="20"/>
          <w:szCs w:val="20"/>
        </w:rPr>
        <w:t xml:space="preserve">✓  </w:t>
      </w:r>
      <w:r>
        <w:rPr>
          <w:i w:val="false"/>
          <w:iCs w:val="false"/>
          <w:color w:val="1A7340"/>
          <w:sz w:val="20"/>
          <w:szCs w:val="20"/>
        </w:rPr>
        <w:t xml:space="preserve">The core insight: this product is not competing with Factory I/O or PLCSIM for the desktop power user. It is creating a new category — the professional-grade industrial automation tool that engineers carry in their pocket. The relevant competitive question is not "why choose this over PLCSIM?" but "why not have this on your phone when you're on the plant floor?"</w:t>
      </w:r>
    </w:p>
    <w:p>
      <w:r>
        <w:br w:type="page"/>
      </w:r>
    </w:p>
    <w:p>
      <w:pPr>
        <w:pStyle w:val="Heading1"/>
        <w:pBdr>
          <w:bottom w:val="single" w:color="2E86C1" w:sz="6" w:space="4"/>
        </w:pBdr>
        <w:spacing w:after="160" w:before="360"/>
        <w:rPr>
          <w:b/>
          <w:bCs/>
          <w:color w:val="1B4F8A"/>
          <w:sz w:val="32"/>
          <w:szCs w:val="32"/>
        </w:rPr>
      </w:pPr>
      <w:r>
        <w:t xml:space="preserve">3. Business Model Analysis</w:t>
      </w:r>
    </w:p>
    <w:p>
      <w:pPr>
        <w:pStyle w:val="Heading2"/>
        <w:spacing w:after="120" w:before="280"/>
        <w:rPr>
          <w:b/>
          <w:bCs/>
          <w:color w:val="1B4F8A"/>
          <w:sz w:val="26"/>
          <w:szCs w:val="26"/>
        </w:rPr>
      </w:pPr>
      <w:r>
        <w:t xml:space="preserve">3.1 Option A — One-Time Purchase</w:t>
      </w:r>
    </w:p>
    <w:p>
      <w:pPr>
        <w:spacing w:after="120" w:before="60" w:line="276"/>
        <w:jc w:val="both"/>
      </w:pPr>
      <w:r>
        <w:rPr>
          <w:b w:val="false"/>
          <w:bCs w:val="false"/>
          <w:i w:val="false"/>
          <w:iCs w:val="false"/>
          <w:color w:val="1A1A2E"/>
          <w:sz w:val="20"/>
          <w:szCs w:val="20"/>
        </w:rPr>
        <w:t xml:space="preserve">A one-time purchase model charges users a single upfront fee for permanent access to the application. In the mobile app market, this model has been declining steadily since 2018. As of 2026, approximately 95% of apps on both major stores are free, and paid app downloads represent a small and shrinking fraction of total installations.</w:t>
      </w:r>
    </w:p>
    <w:p>
      <w:pPr>
        <w:pStyle w:val="Heading3"/>
        <w:spacing w:after="80" w:before="200"/>
        <w:rPr>
          <w:b/>
          <w:bCs/>
          <w:color w:val="2E86C1"/>
          <w:sz w:val="22"/>
          <w:szCs w:val="22"/>
        </w:rPr>
      </w:pPr>
      <w:r>
        <w:t xml:space="preserve">Advantages</w:t>
      </w:r>
    </w:p>
    <w:p>
      <w:pPr>
        <w:spacing w:after="40" w:before="40" w:line="260"/>
        <w:ind w:left="360" w:hanging="259"/>
      </w:pPr>
      <w:r>
        <w:rPr>
          <w:b/>
          <w:bCs/>
          <w:color w:val="2E86C1"/>
          <w:sz w:val="20"/>
          <w:szCs w:val="20"/>
        </w:rPr>
        <w:t xml:space="preserve">▪  </w:t>
      </w:r>
      <w:r>
        <w:rPr>
          <w:color w:val="1A1A2E"/>
          <w:sz w:val="20"/>
          <w:szCs w:val="20"/>
        </w:rPr>
        <w:t xml:space="preserve">Simple for consumers — no ongoing billing relationship</w:t>
      </w:r>
    </w:p>
    <w:p>
      <w:pPr>
        <w:spacing w:after="40" w:before="40" w:line="260"/>
        <w:ind w:left="360" w:hanging="259"/>
      </w:pPr>
      <w:r>
        <w:rPr>
          <w:b/>
          <w:bCs/>
          <w:color w:val="2E86C1"/>
          <w:sz w:val="20"/>
          <w:szCs w:val="20"/>
        </w:rPr>
        <w:t xml:space="preserve">▪  </w:t>
      </w:r>
      <w:r>
        <w:rPr>
          <w:color w:val="1A1A2E"/>
          <w:sz w:val="20"/>
          <w:szCs w:val="20"/>
        </w:rPr>
        <w:t xml:space="preserve">Lower psychological barrier for individual engineers who avoid subscriptions</w:t>
      </w:r>
    </w:p>
    <w:p>
      <w:pPr>
        <w:spacing w:after="40" w:before="40" w:line="260"/>
        <w:ind w:left="360" w:hanging="259"/>
      </w:pPr>
      <w:r>
        <w:rPr>
          <w:b/>
          <w:bCs/>
          <w:color w:val="2E86C1"/>
          <w:sz w:val="20"/>
          <w:szCs w:val="20"/>
        </w:rPr>
        <w:t xml:space="preserve">▪  </w:t>
      </w:r>
      <w:r>
        <w:rPr>
          <w:color w:val="1A1A2E"/>
          <w:sz w:val="20"/>
          <w:szCs w:val="20"/>
        </w:rPr>
        <w:t xml:space="preserve">Works well for Windows where users expect perpetual licences</w:t>
      </w:r>
    </w:p>
    <w:p>
      <w:pPr>
        <w:spacing w:after="40" w:before="40" w:line="260"/>
        <w:ind w:left="360" w:hanging="259"/>
      </w:pPr>
      <w:r>
        <w:rPr>
          <w:b/>
          <w:bCs/>
          <w:color w:val="2E86C1"/>
          <w:sz w:val="20"/>
          <w:szCs w:val="20"/>
        </w:rPr>
        <w:t xml:space="preserve">▪  </w:t>
      </w:r>
      <w:r>
        <w:rPr>
          <w:color w:val="1A1A2E"/>
          <w:sz w:val="20"/>
          <w:szCs w:val="20"/>
        </w:rPr>
        <w:t xml:space="preserve">No churn risk — revenue is captured at point of sale</w:t>
      </w:r>
    </w:p>
    <w:p>
      <w:pPr>
        <w:pStyle w:val="Heading3"/>
        <w:spacing w:after="80" w:before="200"/>
        <w:rPr>
          <w:b/>
          <w:bCs/>
          <w:color w:val="2E86C1"/>
          <w:sz w:val="22"/>
          <w:szCs w:val="22"/>
        </w:rPr>
      </w:pPr>
      <w:r>
        <w:t xml:space="preserve">Disadvantages</w:t>
      </w:r>
    </w:p>
    <w:p>
      <w:pPr>
        <w:spacing w:after="40" w:before="40" w:line="260"/>
        <w:ind w:left="360" w:hanging="259"/>
      </w:pPr>
      <w:r>
        <w:rPr>
          <w:b/>
          <w:bCs/>
          <w:color w:val="2E86C1"/>
          <w:sz w:val="20"/>
          <w:szCs w:val="20"/>
        </w:rPr>
        <w:t xml:space="preserve">▪  </w:t>
      </w:r>
      <w:r>
        <w:rPr>
          <w:color w:val="1A1A2E"/>
          <w:sz w:val="20"/>
          <w:szCs w:val="20"/>
        </w:rPr>
        <w:t xml:space="preserve">Revenue is front-loaded and unpredictable; no compounding baseline</w:t>
      </w:r>
    </w:p>
    <w:p>
      <w:pPr>
        <w:spacing w:after="40" w:before="40" w:line="260"/>
        <w:ind w:left="360" w:hanging="259"/>
      </w:pPr>
      <w:r>
        <w:rPr>
          <w:b/>
          <w:bCs/>
          <w:color w:val="2E86C1"/>
          <w:sz w:val="20"/>
          <w:szCs w:val="20"/>
        </w:rPr>
        <w:t xml:space="preserve">▪  </w:t>
      </w:r>
      <w:r>
        <w:rPr>
          <w:color w:val="1A1A2E"/>
          <w:sz w:val="20"/>
          <w:szCs w:val="20"/>
        </w:rPr>
        <w:t xml:space="preserve">Forces a binary decision at download — most users will choose not to pay upfront</w:t>
      </w:r>
    </w:p>
    <w:p>
      <w:pPr>
        <w:spacing w:after="40" w:before="40" w:line="260"/>
        <w:ind w:left="360" w:hanging="259"/>
      </w:pPr>
      <w:r>
        <w:rPr>
          <w:b/>
          <w:bCs/>
          <w:color w:val="2E86C1"/>
          <w:sz w:val="20"/>
          <w:szCs w:val="20"/>
        </w:rPr>
        <w:t xml:space="preserve">▪  </w:t>
      </w:r>
      <w:r>
        <w:rPr>
          <w:color w:val="1A1A2E"/>
          <w:sz w:val="20"/>
          <w:szCs w:val="20"/>
        </w:rPr>
        <w:t xml:space="preserve">No incentive to stay engaged with the product long-term</w:t>
      </w:r>
    </w:p>
    <w:p>
      <w:pPr>
        <w:spacing w:after="40" w:before="40" w:line="260"/>
        <w:ind w:left="360" w:hanging="259"/>
      </w:pPr>
      <w:r>
        <w:rPr>
          <w:b/>
          <w:bCs/>
          <w:color w:val="2E86C1"/>
          <w:sz w:val="20"/>
          <w:szCs w:val="20"/>
        </w:rPr>
        <w:t xml:space="preserve">▪  </w:t>
      </w:r>
      <w:r>
        <w:rPr>
          <w:color w:val="1A1A2E"/>
          <w:sz w:val="20"/>
          <w:szCs w:val="20"/>
        </w:rPr>
        <w:t xml:space="preserve">Year 1 modelled revenue is roughly 3–4× lower than subscription at the same download volume</w:t>
      </w:r>
    </w:p>
    <w:p>
      <w:pPr>
        <w:spacing w:after="40" w:before="40" w:line="260"/>
        <w:ind w:left="360" w:hanging="259"/>
      </w:pPr>
      <w:r>
        <w:rPr>
          <w:b/>
          <w:bCs/>
          <w:color w:val="2E86C1"/>
          <w:sz w:val="20"/>
          <w:szCs w:val="20"/>
        </w:rPr>
        <w:t xml:space="preserve">▪  </w:t>
      </w:r>
      <w:r>
        <w:rPr>
          <w:color w:val="1A1A2E"/>
          <w:sz w:val="20"/>
          <w:szCs w:val="20"/>
        </w:rPr>
        <w:t xml:space="preserve">Updates and new features are hard to monetise without charging again</w:t>
      </w:r>
    </w:p>
    <w:p>
      <w:pPr>
        <w:spacing w:after="40" w:before="40" w:line="260"/>
        <w:ind w:left="360" w:hanging="259"/>
      </w:pPr>
      <w:r>
        <w:rPr>
          <w:b/>
          <w:bCs/>
          <w:color w:val="2E86C1"/>
          <w:sz w:val="20"/>
          <w:szCs w:val="20"/>
        </w:rPr>
        <w:t xml:space="preserve">▪  </w:t>
      </w:r>
      <w:r>
        <w:rPr>
          <w:color w:val="1A1A2E"/>
          <w:sz w:val="20"/>
          <w:szCs w:val="20"/>
        </w:rPr>
        <w:t xml:space="preserve">App store discoverability favours free apps with ratings traction over paid apps</w:t>
      </w:r>
    </w:p>
    <w:p>
      <w:pPr>
        <w:spacing w:after="80" w:before="0"/>
      </w:pPr>
    </w:p>
    <w:p>
      <w:pPr>
        <w:pStyle w:val="Heading2"/>
        <w:spacing w:after="120" w:before="280"/>
        <w:rPr>
          <w:b/>
          <w:bCs/>
          <w:color w:val="1B4F8A"/>
          <w:sz w:val="26"/>
          <w:szCs w:val="26"/>
        </w:rPr>
      </w:pPr>
      <w:r>
        <w:t xml:space="preserve">3.2 Option B — Subscription (Freemium + Pro)</w:t>
      </w:r>
    </w:p>
    <w:p>
      <w:pPr>
        <w:spacing w:after="120" w:before="60" w:line="276"/>
        <w:jc w:val="both"/>
      </w:pPr>
      <w:r>
        <w:rPr>
          <w:b w:val="false"/>
          <w:bCs w:val="false"/>
          <w:i w:val="false"/>
          <w:iCs w:val="false"/>
          <w:color w:val="1A1A2E"/>
          <w:sz w:val="20"/>
          <w:szCs w:val="20"/>
        </w:rPr>
        <w:t xml:space="preserve">A freemium subscription model offers a free tier with core functionality and charges a recurring fee for full access. This is the dominant model for B2B professional software tools in 2026. Industry data from RevenueCat's State of Subscription Apps 2026 report (115,000 apps, $16B in revenue) shows the business/productivity category achieves the highest download-to-trial conversion of any category at 9.1%, and a trial-to-paid conversion of approximately 35–42% for apps offering longer trials of 17–32 days.</w:t>
      </w:r>
    </w:p>
    <w:p>
      <w:pPr>
        <w:pStyle w:val="Heading3"/>
        <w:spacing w:after="80" w:before="200"/>
        <w:rPr>
          <w:b/>
          <w:bCs/>
          <w:color w:val="2E86C1"/>
          <w:sz w:val="22"/>
          <w:szCs w:val="22"/>
        </w:rPr>
      </w:pPr>
      <w:r>
        <w:t xml:space="preserve">Advantages</w:t>
      </w:r>
    </w:p>
    <w:p>
      <w:pPr>
        <w:spacing w:after="40" w:before="40" w:line="260"/>
        <w:ind w:left="360" w:hanging="259"/>
      </w:pPr>
      <w:r>
        <w:rPr>
          <w:b/>
          <w:bCs/>
          <w:color w:val="2E86C1"/>
          <w:sz w:val="20"/>
          <w:szCs w:val="20"/>
        </w:rPr>
        <w:t xml:space="preserve">▪  </w:t>
      </w:r>
      <w:r>
        <w:rPr>
          <w:color w:val="1A1A2E"/>
          <w:sz w:val="20"/>
          <w:szCs w:val="20"/>
        </w:rPr>
        <w:t xml:space="preserve">Predictable, compounding Monthly Recurring Revenue (MRR) that grows as the subscriber base grows</w:t>
      </w:r>
    </w:p>
    <w:p>
      <w:pPr>
        <w:spacing w:after="40" w:before="40" w:line="260"/>
        <w:ind w:left="360" w:hanging="259"/>
      </w:pPr>
      <w:r>
        <w:rPr>
          <w:b/>
          <w:bCs/>
          <w:color w:val="2E86C1"/>
          <w:sz w:val="20"/>
          <w:szCs w:val="20"/>
        </w:rPr>
        <w:t xml:space="preserve">▪  </w:t>
      </w:r>
      <w:r>
        <w:rPr>
          <w:color w:val="1A1A2E"/>
          <w:sz w:val="20"/>
          <w:szCs w:val="20"/>
        </w:rPr>
        <w:t xml:space="preserve">Free tier lowers the barrier to download and try — critical for organic App Store traction</w:t>
      </w:r>
    </w:p>
    <w:p>
      <w:pPr>
        <w:spacing w:after="40" w:before="40" w:line="260"/>
        <w:ind w:left="360" w:hanging="259"/>
      </w:pPr>
      <w:r>
        <w:rPr>
          <w:b/>
          <w:bCs/>
          <w:color w:val="2E86C1"/>
          <w:sz w:val="20"/>
          <w:szCs w:val="20"/>
        </w:rPr>
        <w:t xml:space="preserve">▪  </w:t>
      </w:r>
      <w:r>
        <w:rPr>
          <w:color w:val="1A1A2E"/>
          <w:sz w:val="20"/>
          <w:szCs w:val="20"/>
        </w:rPr>
        <w:t xml:space="preserve">Continuous relationship with paying users enables feature expansion and upsell</w:t>
      </w:r>
    </w:p>
    <w:p>
      <w:pPr>
        <w:spacing w:after="40" w:before="40" w:line="260"/>
        <w:ind w:left="360" w:hanging="259"/>
      </w:pPr>
      <w:r>
        <w:rPr>
          <w:b/>
          <w:bCs/>
          <w:color w:val="2E86C1"/>
          <w:sz w:val="20"/>
          <w:szCs w:val="20"/>
        </w:rPr>
        <w:t xml:space="preserve">▪  </w:t>
      </w:r>
      <w:r>
        <w:rPr>
          <w:color w:val="1A1A2E"/>
          <w:sz w:val="20"/>
          <w:szCs w:val="20"/>
        </w:rPr>
        <w:t xml:space="preserve">Business category RLTV (Realised Lifetime Value) is ~$35.48 per payer at consumer pricing; B2B professional tools command significantly higher at $80–$150/year per user</w:t>
      </w:r>
    </w:p>
    <w:p>
      <w:pPr>
        <w:spacing w:after="40" w:before="40" w:line="260"/>
        <w:ind w:left="360" w:hanging="259"/>
      </w:pPr>
      <w:r>
        <w:rPr>
          <w:b/>
          <w:bCs/>
          <w:color w:val="2E86C1"/>
          <w:sz w:val="20"/>
          <w:szCs w:val="20"/>
        </w:rPr>
        <w:t xml:space="preserve">▪  </w:t>
      </w:r>
      <w:r>
        <w:rPr>
          <w:color w:val="1A1A2E"/>
          <w:sz w:val="20"/>
          <w:szCs w:val="20"/>
        </w:rPr>
        <w:t xml:space="preserve">Subscription apps reached $1,000 MRR in a median of 113 days in 2026</w:t>
      </w:r>
    </w:p>
    <w:p>
      <w:pPr>
        <w:spacing w:after="40" w:before="40" w:line="260"/>
        <w:ind w:left="360" w:hanging="259"/>
      </w:pPr>
      <w:r>
        <w:rPr>
          <w:b/>
          <w:bCs/>
          <w:color w:val="2E86C1"/>
          <w:sz w:val="20"/>
          <w:szCs w:val="20"/>
        </w:rPr>
        <w:t xml:space="preserve">▪  </w:t>
      </w:r>
      <w:r>
        <w:rPr>
          <w:color w:val="1A1A2E"/>
          <w:sz w:val="20"/>
          <w:szCs w:val="20"/>
        </w:rPr>
        <w:t xml:space="preserve">iOS subscription revenue after 12 months drops from 30% to 15% commission — improving margins over time</w:t>
      </w:r>
    </w:p>
    <w:p>
      <w:pPr>
        <w:pStyle w:val="Heading3"/>
        <w:spacing w:after="80" w:before="200"/>
        <w:rPr>
          <w:b/>
          <w:bCs/>
          <w:color w:val="2E86C1"/>
          <w:sz w:val="22"/>
          <w:szCs w:val="22"/>
        </w:rPr>
      </w:pPr>
      <w:r>
        <w:t xml:space="preserve">Disadvantages</w:t>
      </w:r>
    </w:p>
    <w:p>
      <w:pPr>
        <w:spacing w:after="40" w:before="40" w:line="260"/>
        <w:ind w:left="360" w:hanging="259"/>
      </w:pPr>
      <w:r>
        <w:rPr>
          <w:b/>
          <w:bCs/>
          <w:color w:val="2E86C1"/>
          <w:sz w:val="20"/>
          <w:szCs w:val="20"/>
        </w:rPr>
        <w:t xml:space="preserve">▪  </w:t>
      </w:r>
      <w:r>
        <w:rPr>
          <w:color w:val="1A1A2E"/>
          <w:sz w:val="20"/>
          <w:szCs w:val="20"/>
        </w:rPr>
        <w:t xml:space="preserve">Requires ongoing product investment to justify renewal — cannot be a "ship and forget" product</w:t>
      </w:r>
    </w:p>
    <w:p>
      <w:pPr>
        <w:spacing w:after="40" w:before="40" w:line="260"/>
        <w:ind w:left="360" w:hanging="259"/>
      </w:pPr>
      <w:r>
        <w:rPr>
          <w:b/>
          <w:bCs/>
          <w:color w:val="2E86C1"/>
          <w:sz w:val="20"/>
          <w:szCs w:val="20"/>
        </w:rPr>
        <w:t xml:space="preserve">▪  </w:t>
      </w:r>
      <w:r>
        <w:rPr>
          <w:color w:val="1A1A2E"/>
          <w:sz w:val="20"/>
          <w:szCs w:val="20"/>
        </w:rPr>
        <w:t xml:space="preserve">Churn management becomes a critical business function (target monthly churn under 5%)</w:t>
      </w:r>
    </w:p>
    <w:p>
      <w:pPr>
        <w:spacing w:after="40" w:before="40" w:line="260"/>
        <w:ind w:left="360" w:hanging="259"/>
      </w:pPr>
      <w:r>
        <w:rPr>
          <w:b/>
          <w:bCs/>
          <w:color w:val="2E86C1"/>
          <w:sz w:val="20"/>
          <w:szCs w:val="20"/>
        </w:rPr>
        <w:t xml:space="preserve">▪  </w:t>
      </w:r>
      <w:r>
        <w:rPr>
          <w:color w:val="1A1A2E"/>
          <w:sz w:val="20"/>
          <w:szCs w:val="20"/>
        </w:rPr>
        <w:t xml:space="preserve">Some professional users resist recurring billing for niche tools</w:t>
      </w:r>
    </w:p>
    <w:p>
      <w:pPr>
        <w:spacing w:after="80" w:before="0"/>
      </w:pPr>
    </w:p>
    <w:p>
      <w:pPr>
        <w:pStyle w:val="Heading2"/>
        <w:spacing w:after="120" w:before="280"/>
        <w:rPr>
          <w:b/>
          <w:bCs/>
          <w:color w:val="1B4F8A"/>
          <w:sz w:val="26"/>
          <w:szCs w:val="26"/>
        </w:rPr>
      </w:pPr>
      <w:r>
        <w:t xml:space="preserve">3.3 Option C — Hybrid (Recommended)</w:t>
      </w:r>
    </w:p>
    <w:p>
      <w:pPr>
        <w:spacing w:after="120" w:before="60" w:line="276"/>
        <w:jc w:val="both"/>
      </w:pPr>
      <w:r>
        <w:rPr>
          <w:b w:val="false"/>
          <w:bCs w:val="false"/>
          <w:i w:val="false"/>
          <w:iCs w:val="false"/>
          <w:color w:val="1A1A2E"/>
          <w:sz w:val="20"/>
          <w:szCs w:val="20"/>
        </w:rPr>
        <w:t xml:space="preserve">The recommended approach is a hybrid model that combines the subscription model as the primary revenue driver with an optional perpetual licence on Windows distributed directly (bypassing store fees). This captures the best attributes of both models:</w:t>
      </w:r>
    </w:p>
    <w:p>
      <w:pPr>
        <w:spacing w:after="40" w:before="40" w:line="260"/>
        <w:ind w:left="360" w:hanging="259"/>
      </w:pPr>
      <w:r>
        <w:rPr>
          <w:b/>
          <w:bCs/>
          <w:color w:val="2E86C1"/>
          <w:sz w:val="20"/>
          <w:szCs w:val="20"/>
        </w:rPr>
        <w:t xml:space="preserve">▪  </w:t>
      </w:r>
      <w:r>
        <w:rPr>
          <w:color w:val="1A1A2E"/>
          <w:sz w:val="20"/>
          <w:szCs w:val="20"/>
        </w:rPr>
        <w:t xml:space="preserve">Mobile (iOS &amp; Android): Freemium with subscription tiers — maximises download volume and converts at App Store benchmarks</w:t>
      </w:r>
    </w:p>
    <w:p>
      <w:pPr>
        <w:spacing w:after="40" w:before="40" w:line="260"/>
        <w:ind w:left="360" w:hanging="259"/>
      </w:pPr>
      <w:r>
        <w:rPr>
          <w:b/>
          <w:bCs/>
          <w:color w:val="2E86C1"/>
          <w:sz w:val="20"/>
          <w:szCs w:val="20"/>
        </w:rPr>
        <w:t xml:space="preserve">▪  </w:t>
      </w:r>
      <w:r>
        <w:rPr>
          <w:color w:val="1A1A2E"/>
          <w:sz w:val="20"/>
          <w:szCs w:val="20"/>
        </w:rPr>
        <w:t xml:space="preserve">Windows: Optional perpetual licence sold directly via the product website — higher margin, suits users who prefer one-time payment, bypasses Microsoft Store commission entirely</w:t>
      </w:r>
    </w:p>
    <w:p>
      <w:pPr>
        <w:spacing w:after="40" w:before="40" w:line="260"/>
        <w:ind w:left="360" w:hanging="259"/>
      </w:pPr>
      <w:r>
        <w:rPr>
          <w:b/>
          <w:bCs/>
          <w:color w:val="2E86C1"/>
          <w:sz w:val="20"/>
          <w:szCs w:val="20"/>
        </w:rPr>
        <w:t xml:space="preserve">▪  </w:t>
      </w:r>
      <w:r>
        <w:rPr>
          <w:color w:val="1A1A2E"/>
          <w:sz w:val="20"/>
          <w:szCs w:val="20"/>
        </w:rPr>
        <w:t xml:space="preserve">Educational/institutional pricing: Volume or site licence for universities and training centres (priced separately to unlock bulk deals)</w:t>
      </w:r>
    </w:p>
    <w:p>
      <w:pPr>
        <w:spacing w:after="60" w:before="0"/>
      </w:pPr>
    </w:p>
    <w:p>
      <w:pPr>
        <w:shd w:fill="D1FAE5" w:val="clear"/>
        <w:spacing w:after="100" w:before="100"/>
        <w:ind w:left="288" w:right="288"/>
      </w:pPr>
      <w:r>
        <w:rPr>
          <w:b/>
          <w:bCs/>
          <w:color w:val="1A7340"/>
          <w:sz w:val="20"/>
          <w:szCs w:val="20"/>
        </w:rPr>
        <w:t xml:space="preserve">✓  </w:t>
      </w:r>
      <w:r>
        <w:rPr>
          <w:i w:val="false"/>
          <w:iCs w:val="false"/>
          <w:color w:val="1A7340"/>
          <w:sz w:val="20"/>
          <w:szCs w:val="20"/>
        </w:rPr>
        <w:t xml:space="preserve">RECOMMENDATION: Launch with a freemium subscription model on iOS and Android. Offer a perpetual Windows licence directly from your website. This gives users choice, maximises mobile discoverability, and captures higher-value enterprise and education deals outside the app stores.</w:t>
      </w:r>
    </w:p>
    <w:p>
      <w:r>
        <w:br w:type="page"/>
      </w:r>
    </w:p>
    <w:p>
      <w:pPr>
        <w:pStyle w:val="Heading1"/>
        <w:pBdr>
          <w:bottom w:val="single" w:color="2E86C1" w:sz="6" w:space="4"/>
        </w:pBdr>
        <w:spacing w:after="160" w:before="360"/>
        <w:rPr>
          <w:b/>
          <w:bCs/>
          <w:color w:val="1B4F8A"/>
          <w:sz w:val="32"/>
          <w:szCs w:val="32"/>
        </w:rPr>
      </w:pPr>
      <w:r>
        <w:t xml:space="preserve">4. Recommended Pricing Strategy</w:t>
      </w:r>
    </w:p>
    <w:p>
      <w:pPr>
        <w:pStyle w:val="Heading2"/>
        <w:spacing w:after="120" w:before="280"/>
        <w:rPr>
          <w:b/>
          <w:bCs/>
          <w:color w:val="1B4F8A"/>
          <w:sz w:val="26"/>
          <w:szCs w:val="26"/>
        </w:rPr>
      </w:pPr>
      <w:r>
        <w:t xml:space="preserve">4.1 Tier Structure</w:t>
      </w:r>
    </w:p>
    <w:p>
      <w:pPr>
        <w:spacing w:after="120" w:before="60" w:line="276"/>
        <w:jc w:val="both"/>
      </w:pPr>
      <w:r>
        <w:rPr>
          <w:b w:val="false"/>
          <w:bCs w:val="false"/>
          <w:i w:val="false"/>
          <w:iCs w:val="false"/>
          <w:color w:val="1A1A2E"/>
          <w:sz w:val="20"/>
          <w:szCs w:val="20"/>
        </w:rPr>
        <w:t xml:space="preserve">The following tier structure is recommended based on competitor pricing analysis (Factory I/O $49–$400/year, PLCLogix $49–$299/year, PLC AI app $9.99–$19.99/month), the income levels of the target demographic ($73K–$145K salary), and App Store subscription benchmarks (business category median ~$9.99–$12.99/month).</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4100"/>
      </w:tblGrid>
      <w:tr>
        <w:tc>
          <w:tcPr>
            <w:tcW w:type="dxa" w:w="19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Tier</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Price</w:t>
            </w:r>
          </w:p>
        </w:tc>
        <w:tc>
          <w:tcPr>
            <w:tcW w:type="dxa" w:w="1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Platform</w:t>
            </w:r>
          </w:p>
        </w:tc>
        <w:tc>
          <w:tcPr>
            <w:tcW w:type="dxa" w:w="41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Includes</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Free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iOS / Android</w:t>
            </w:r>
          </w:p>
        </w:tc>
        <w:tc>
          <w:tcPr>
            <w:tcW w:type="dxa" w:w="4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Ladder Logic editor &amp; executor only, 1 saved project, no protocol servers, limited tag count (50 tags)</w:t>
            </w:r>
          </w:p>
        </w:tc>
      </w:tr>
      <w:tr>
        <w:tc>
          <w:tcPr>
            <w:tcW w:type="dxa" w:w="19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Pro Monthly</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$12.99 / month</w:t>
            </w:r>
          </w:p>
        </w:tc>
        <w:tc>
          <w:tcPr>
            <w:tcW w:type="dxa" w:w="1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iOS / Android</w:t>
            </w:r>
          </w:p>
        </w:tc>
        <w:tc>
          <w:tcPr>
            <w:tcW w:type="dxa" w:w="4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All 5 IEC languages (LD, ST, FBD, SFC), unlimited projects, all protocol servers (OPC UA, Modbus, MQTT, DNP3), full HMI builder, historian, PID auto-tune</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Pro Annual</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$89.99 / year</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iOS / Android</w:t>
            </w:r>
          </w:p>
        </w:tc>
        <w:tc>
          <w:tcPr>
            <w:tcW w:type="dxa" w:w="4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Everything in Pro Monthly — 42% saving vs monthly; best for professional engineers</w:t>
            </w:r>
          </w:p>
        </w:tc>
      </w:tr>
      <w:tr>
        <w:tc>
          <w:tcPr>
            <w:tcW w:type="dxa" w:w="19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Windows Perpetual</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$129.99 one-time</w:t>
            </w:r>
          </w:p>
        </w:tc>
        <w:tc>
          <w:tcPr>
            <w:tcW w:type="dxa" w:w="1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Windows (direct)</w:t>
            </w:r>
          </w:p>
        </w:tc>
        <w:tc>
          <w:tcPr>
            <w:tcW w:type="dxa" w:w="4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Full feature set, lifetime updates, direct download — no store commission</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Education / Site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Custom (from $299/year)</w:t>
            </w:r>
          </w:p>
        </w:tc>
        <w:tc>
          <w:tcPr>
            <w:tcW w:type="dxa" w:w="1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All platforms</w:t>
            </w:r>
          </w:p>
        </w:tc>
        <w:tc>
          <w:tcPr>
            <w:tcW w:type="dxa" w:w="4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5–50 seat licences for institutions, colleges, and training providers; managed accounts</w:t>
            </w:r>
          </w:p>
        </w:tc>
      </w:tr>
    </w:tbl>
    <w:p>
      <w:pPr>
        <w:spacing w:after="120" w:before="0"/>
      </w:pPr>
    </w:p>
    <w:p>
      <w:pPr>
        <w:pStyle w:val="Heading2"/>
        <w:spacing w:after="120" w:before="280"/>
        <w:rPr>
          <w:b/>
          <w:bCs/>
          <w:color w:val="1B4F8A"/>
          <w:sz w:val="26"/>
          <w:szCs w:val="26"/>
        </w:rPr>
      </w:pPr>
      <w:r>
        <w:t xml:space="preserve">4.2 Free Tier Design</w:t>
      </w:r>
    </w:p>
    <w:p>
      <w:pPr>
        <w:spacing w:after="120" w:before="60" w:line="276"/>
        <w:jc w:val="both"/>
      </w:pPr>
      <w:r>
        <w:rPr>
          <w:b w:val="false"/>
          <w:bCs w:val="false"/>
          <w:i w:val="false"/>
          <w:iCs w:val="false"/>
          <w:color w:val="1A1A2E"/>
          <w:sz w:val="20"/>
          <w:szCs w:val="20"/>
        </w:rPr>
        <w:t xml:space="preserve">The free tier must be genuinely useful — enough to demonstrate the product's quality and hook users — but limited enough to motivate upgrade. The recommended restriction is language scope (LD only) rather than time limit. This allows students and beginners to get real value indefinitely, while professional engineers who need ST, FBD, SFC, or any protocol capability will convert to Pro almost immediately. A 14-day full-feature trial on first launch is strongly recommended; trial-to-paid conversion rates for 17–32 day trials reach 42.5% — outperforming shorter trials by a significant margin.</w:t>
      </w:r>
    </w:p>
    <w:p>
      <w:pPr>
        <w:pStyle w:val="Heading2"/>
        <w:spacing w:after="120" w:before="280"/>
        <w:rPr>
          <w:b/>
          <w:bCs/>
          <w:color w:val="1B4F8A"/>
          <w:sz w:val="26"/>
          <w:szCs w:val="26"/>
        </w:rPr>
      </w:pPr>
      <w:r>
        <w:t xml:space="preserve">4.3 Introductory Launch Pricing</w:t>
      </w:r>
    </w:p>
    <w:p>
      <w:pPr>
        <w:spacing w:after="120" w:before="60" w:line="276"/>
        <w:jc w:val="both"/>
      </w:pPr>
      <w:r>
        <w:rPr>
          <w:b w:val="false"/>
          <w:bCs w:val="false"/>
          <w:i w:val="false"/>
          <w:iCs w:val="false"/>
          <w:color w:val="1A1A2E"/>
          <w:sz w:val="20"/>
          <w:szCs w:val="20"/>
        </w:rPr>
        <w:t xml:space="preserve">For the first 90 days post-launch, offer a 30% introductory discount to early adopters (Pro Annual at $62.99 instead of $89.99). This creates urgency, rewards early reviewers who generate crucial initial App Store ratings, and builds the subscriber base that produces word-of-mouth referrals. Early adopters should receive a "Founding Member" badge or recognition within the app to build community.</w:t>
      </w:r>
    </w:p>
    <w:p>
      <w:r>
        <w:br w:type="page"/>
      </w:r>
    </w:p>
    <w:p>
      <w:pPr>
        <w:pStyle w:val="Heading1"/>
        <w:pBdr>
          <w:bottom w:val="single" w:color="2E86C1" w:sz="6" w:space="4"/>
        </w:pBdr>
        <w:spacing w:after="160" w:before="360"/>
        <w:rPr>
          <w:b/>
          <w:bCs/>
          <w:color w:val="1B4F8A"/>
          <w:sz w:val="32"/>
          <w:szCs w:val="32"/>
        </w:rPr>
      </w:pPr>
      <w:r>
        <w:t xml:space="preserve">5. Distribution &amp; App Store Considerations</w:t>
      </w:r>
    </w:p>
    <w:p>
      <w:pPr>
        <w:pStyle w:val="Heading2"/>
        <w:spacing w:after="120" w:before="280"/>
        <w:rPr>
          <w:b/>
          <w:bCs/>
          <w:color w:val="1B4F8A"/>
          <w:sz w:val="26"/>
          <w:szCs w:val="26"/>
        </w:rPr>
      </w:pPr>
      <w:r>
        <w:t xml:space="preserve">5.1 Apple App Store</w:t>
      </w:r>
    </w:p>
    <w:p>
      <w:pPr>
        <w:spacing w:after="120" w:before="60" w:line="276"/>
        <w:jc w:val="both"/>
      </w:pPr>
      <w:r>
        <w:rPr>
          <w:b w:val="false"/>
          <w:bCs w:val="false"/>
          <w:i w:val="false"/>
          <w:iCs w:val="false"/>
          <w:color w:val="1A1A2E"/>
          <w:sz w:val="20"/>
          <w:szCs w:val="20"/>
        </w:rPr>
        <w:t xml:space="preserve">Apple charges a 30% commission on paid purchases and in-app purchases. However, developers enrolled in the Small Business Program (annual revenue under $1 million) pay only 15%. Additionally, auto-renewing subscriptions where the user has maintained continuous payment for more than 12 months drop to a 15% commission. For a Year 1 launch well under $1M revenue, the effective commission rate is 15% from day one by enrolling in the Small Business Program. Apple Developer Program costs $99/year.</w:t>
      </w:r>
    </w:p>
    <w:p>
      <w:pPr>
        <w:spacing w:after="40" w:before="40" w:line="260"/>
        <w:ind w:left="360" w:hanging="259"/>
      </w:pPr>
      <w:r>
        <w:rPr>
          <w:b/>
          <w:bCs/>
          <w:color w:val="2E86C1"/>
          <w:sz w:val="20"/>
          <w:szCs w:val="20"/>
        </w:rPr>
        <w:t xml:space="preserve">▪  </w:t>
      </w:r>
      <w:r>
        <w:rPr>
          <w:color w:val="1A1A2E"/>
          <w:sz w:val="20"/>
          <w:szCs w:val="20"/>
        </w:rPr>
        <w:t xml:space="preserve">Enrol in the Small Business Program immediately upon launch</w:t>
      </w:r>
    </w:p>
    <w:p>
      <w:pPr>
        <w:spacing w:after="40" w:before="40" w:line="260"/>
        <w:ind w:left="360" w:hanging="259"/>
      </w:pPr>
      <w:r>
        <w:rPr>
          <w:b/>
          <w:bCs/>
          <w:color w:val="2E86C1"/>
          <w:sz w:val="20"/>
          <w:szCs w:val="20"/>
        </w:rPr>
        <w:t xml:space="preserve">▪  </w:t>
      </w:r>
      <w:r>
        <w:rPr>
          <w:color w:val="1A1A2E"/>
          <w:sz w:val="20"/>
          <w:szCs w:val="20"/>
        </w:rPr>
        <w:t xml:space="preserve">Use Apple's in-app purchase framework for subscriptions — this is required; external payment links are not permitted on iOS</w:t>
      </w:r>
    </w:p>
    <w:p>
      <w:pPr>
        <w:spacing w:after="40" w:before="40" w:line="260"/>
        <w:ind w:left="360" w:hanging="259"/>
      </w:pPr>
      <w:r>
        <w:rPr>
          <w:b/>
          <w:bCs/>
          <w:color w:val="2E86C1"/>
          <w:sz w:val="20"/>
          <w:szCs w:val="20"/>
        </w:rPr>
        <w:t xml:space="preserve">▪  </w:t>
      </w:r>
      <w:r>
        <w:rPr>
          <w:color w:val="1A1A2E"/>
          <w:sz w:val="20"/>
          <w:szCs w:val="20"/>
        </w:rPr>
        <w:t xml:space="preserve">Enable Family Sharing for annual subscriptions — increases perceived value</w:t>
      </w:r>
    </w:p>
    <w:p>
      <w:pPr>
        <w:spacing w:after="40" w:before="40" w:line="260"/>
        <w:ind w:left="360" w:hanging="259"/>
      </w:pPr>
      <w:r>
        <w:rPr>
          <w:b/>
          <w:bCs/>
          <w:color w:val="2E86C1"/>
          <w:sz w:val="20"/>
          <w:szCs w:val="20"/>
        </w:rPr>
        <w:t xml:space="preserve">▪  </w:t>
      </w:r>
      <w:r>
        <w:rPr>
          <w:color w:val="1A1A2E"/>
          <w:sz w:val="20"/>
          <w:szCs w:val="20"/>
        </w:rPr>
        <w:t xml:space="preserve">Submit to the Productivity and Education categories for best discoverability</w:t>
      </w:r>
    </w:p>
    <w:p>
      <w:pPr>
        <w:spacing w:after="40" w:before="40" w:line="260"/>
        <w:ind w:left="360" w:hanging="259"/>
      </w:pPr>
      <w:r>
        <w:rPr>
          <w:b/>
          <w:bCs/>
          <w:color w:val="2E86C1"/>
          <w:sz w:val="20"/>
          <w:szCs w:val="20"/>
        </w:rPr>
        <w:t xml:space="preserve">▪  </w:t>
      </w:r>
      <w:r>
        <w:rPr>
          <w:color w:val="1A1A2E"/>
          <w:sz w:val="20"/>
          <w:szCs w:val="20"/>
        </w:rPr>
        <w:t xml:space="preserve">Target feature by Apple as a professional/industrial tool (pitch to Apple's App Store editorial team)</w:t>
      </w:r>
    </w:p>
    <w:p>
      <w:pPr>
        <w:spacing w:after="80" w:before="0"/>
      </w:pPr>
    </w:p>
    <w:p>
      <w:pPr>
        <w:pStyle w:val="Heading2"/>
        <w:spacing w:after="120" w:before="280"/>
        <w:rPr>
          <w:b/>
          <w:bCs/>
          <w:color w:val="1B4F8A"/>
          <w:sz w:val="26"/>
          <w:szCs w:val="26"/>
        </w:rPr>
      </w:pPr>
      <w:r>
        <w:t xml:space="preserve">5.2 Google Play Store</w:t>
      </w:r>
    </w:p>
    <w:p>
      <w:pPr>
        <w:spacing w:after="120" w:before="60" w:line="276"/>
        <w:jc w:val="both"/>
      </w:pPr>
      <w:r>
        <w:rPr>
          <w:b w:val="false"/>
          <w:bCs w:val="false"/>
          <w:i w:val="false"/>
          <w:iCs w:val="false"/>
          <w:color w:val="1A1A2E"/>
          <w:sz w:val="20"/>
          <w:szCs w:val="20"/>
        </w:rPr>
        <w:t xml:space="preserve">Google Play charges 15% on the first $1 million of annual revenue across all apps and games — from day one, with no application required. Above $1M, the standard 30% applies, which is unlikely to be relevant in Year 1. Google Play Developer account is a one-time $25 registration fee.</w:t>
      </w:r>
    </w:p>
    <w:p>
      <w:pPr>
        <w:spacing w:after="40" w:before="40" w:line="260"/>
        <w:ind w:left="360" w:hanging="259"/>
      </w:pPr>
      <w:r>
        <w:rPr>
          <w:b/>
          <w:bCs/>
          <w:color w:val="2E86C1"/>
          <w:sz w:val="20"/>
          <w:szCs w:val="20"/>
        </w:rPr>
        <w:t xml:space="preserve">▪  </w:t>
      </w:r>
      <w:r>
        <w:rPr>
          <w:color w:val="1A1A2E"/>
          <w:sz w:val="20"/>
          <w:szCs w:val="20"/>
        </w:rPr>
        <w:t xml:space="preserve">Set up Google Play Billing Library for subscriptions and lifetime in-app purchases</w:t>
      </w:r>
    </w:p>
    <w:p>
      <w:pPr>
        <w:spacing w:after="40" w:before="40" w:line="260"/>
        <w:ind w:left="360" w:hanging="259"/>
      </w:pPr>
      <w:r>
        <w:rPr>
          <w:b/>
          <w:bCs/>
          <w:color w:val="2E86C1"/>
          <w:sz w:val="20"/>
          <w:szCs w:val="20"/>
        </w:rPr>
        <w:t xml:space="preserve">▪  </w:t>
      </w:r>
      <w:r>
        <w:rPr>
          <w:color w:val="1A1A2E"/>
          <w:sz w:val="20"/>
          <w:szCs w:val="20"/>
        </w:rPr>
        <w:t xml:space="preserve">Publish to the Tools and Education categories</w:t>
      </w:r>
    </w:p>
    <w:p>
      <w:pPr>
        <w:spacing w:after="40" w:before="40" w:line="260"/>
        <w:ind w:left="360" w:hanging="259"/>
      </w:pPr>
      <w:r>
        <w:rPr>
          <w:b/>
          <w:bCs/>
          <w:color w:val="2E86C1"/>
          <w:sz w:val="20"/>
          <w:szCs w:val="20"/>
        </w:rPr>
        <w:t xml:space="preserve">▪  </w:t>
      </w:r>
      <w:r>
        <w:rPr>
          <w:color w:val="1A1A2E"/>
          <w:sz w:val="20"/>
          <w:szCs w:val="20"/>
        </w:rPr>
        <w:t xml:space="preserve">Consider an "Early Access" beta programme before full release to gather ratings and feedback</w:t>
      </w:r>
    </w:p>
    <w:p>
      <w:pPr>
        <w:spacing w:after="80" w:before="0"/>
      </w:pPr>
    </w:p>
    <w:p>
      <w:pPr>
        <w:pStyle w:val="Heading2"/>
        <w:spacing w:after="120" w:before="280"/>
        <w:rPr>
          <w:b/>
          <w:bCs/>
          <w:color w:val="1B4F8A"/>
          <w:sz w:val="26"/>
          <w:szCs w:val="26"/>
        </w:rPr>
      </w:pPr>
      <w:r>
        <w:t xml:space="preserve">5.3 Windows — Direct Sales (Recommended over Microsoft Store)</w:t>
      </w:r>
    </w:p>
    <w:p>
      <w:pPr>
        <w:spacing w:after="120" w:before="60" w:line="276"/>
        <w:jc w:val="both"/>
      </w:pPr>
      <w:r>
        <w:rPr>
          <w:b w:val="false"/>
          <w:bCs w:val="false"/>
          <w:i w:val="false"/>
          <w:iCs w:val="false"/>
          <w:color w:val="1A1A2E"/>
          <w:sz w:val="20"/>
          <w:szCs w:val="20"/>
        </w:rPr>
        <w:t xml:space="preserve">The Microsoft Store charges a 15% commission. However, for a Windows perpetual licence, it is strongly recommended to sell directly via the product website using a payment processor such as Stripe, Paddle, or Gumroad. This results in zero platform commission, typically 2–3% payment processing fees only, and full control over the customer relationship (email, upsell, licence management). A direct-sales approach also allows for custom pricing for education and enterprise without App Store restriction.</w:t>
      </w:r>
    </w:p>
    <w:p>
      <w:pPr>
        <w:spacing w:after="40" w:before="40" w:line="260"/>
        <w:ind w:left="360" w:hanging="259"/>
      </w:pPr>
      <w:r>
        <w:rPr>
          <w:b/>
          <w:bCs/>
          <w:color w:val="2E86C1"/>
          <w:sz w:val="20"/>
          <w:szCs w:val="20"/>
        </w:rPr>
        <w:t xml:space="preserve">▪  </w:t>
      </w:r>
      <w:r>
        <w:rPr>
          <w:color w:val="1A1A2E"/>
          <w:sz w:val="20"/>
          <w:szCs w:val="20"/>
        </w:rPr>
        <w:t xml:space="preserve">Build a simple product website with Stripe-powered checkout for the Windows licence</w:t>
      </w:r>
    </w:p>
    <w:p>
      <w:pPr>
        <w:spacing w:after="40" w:before="40" w:line="260"/>
        <w:ind w:left="360" w:hanging="259"/>
      </w:pPr>
      <w:r>
        <w:rPr>
          <w:b/>
          <w:bCs/>
          <w:color w:val="2E86C1"/>
          <w:sz w:val="20"/>
          <w:szCs w:val="20"/>
        </w:rPr>
        <w:t xml:space="preserve">▪  </w:t>
      </w:r>
      <w:r>
        <w:rPr>
          <w:color w:val="1A1A2E"/>
          <w:sz w:val="20"/>
          <w:szCs w:val="20"/>
        </w:rPr>
        <w:t xml:space="preserve">Use Paddle as an alternative — it acts as the Merchant of Record, handling VAT/GST across jurisdictions automatically</w:t>
      </w:r>
    </w:p>
    <w:p>
      <w:pPr>
        <w:spacing w:after="40" w:before="40" w:line="260"/>
        <w:ind w:left="360" w:hanging="259"/>
      </w:pPr>
      <w:r>
        <w:rPr>
          <w:b/>
          <w:bCs/>
          <w:color w:val="2E86C1"/>
          <w:sz w:val="20"/>
          <w:szCs w:val="20"/>
        </w:rPr>
        <w:t xml:space="preserve">▪  </w:t>
      </w:r>
      <w:r>
        <w:rPr>
          <w:color w:val="1A1A2E"/>
          <w:sz w:val="20"/>
          <w:szCs w:val="20"/>
        </w:rPr>
        <w:t xml:space="preserve">Offer a 14-day free trial as a downloadable .exe before purchase to reduce refund requests</w:t>
      </w:r>
    </w:p>
    <w:p>
      <w:pPr>
        <w:spacing w:after="40" w:before="40" w:line="260"/>
        <w:ind w:left="360" w:hanging="259"/>
      </w:pPr>
      <w:r>
        <w:rPr>
          <w:b/>
          <w:bCs/>
          <w:color w:val="2E86C1"/>
          <w:sz w:val="20"/>
          <w:szCs w:val="20"/>
        </w:rPr>
        <w:t xml:space="preserve">▪  </w:t>
      </w:r>
      <w:r>
        <w:rPr>
          <w:color w:val="1A1A2E"/>
          <w:sz w:val="20"/>
          <w:szCs w:val="20"/>
        </w:rPr>
        <w:t xml:space="preserve">Provide a Windows licence key system (e.g., via Keygen.sh or LicenseSpring) for licence validation</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15%</w:t>
            </w:r>
          </w:p>
          <w:p>
            <w:pPr>
              <w:spacing w:after="10" w:before="0"/>
              <w:jc w:val="center"/>
            </w:pPr>
            <w:r>
              <w:rPr>
                <w:b/>
                <w:bCs/>
                <w:color w:val="1A1A2E"/>
                <w:sz w:val="18"/>
                <w:szCs w:val="18"/>
              </w:rPr>
              <w:t xml:space="preserve">Apple Commission (Year 1)</w:t>
            </w:r>
          </w:p>
          <w:p>
            <w:pPr>
              <w:spacing w:after="40" w:before="0"/>
              <w:jc w:val="center"/>
            </w:pPr>
            <w:r>
              <w:rPr>
                <w:color w:val="6B7280"/>
                <w:sz w:val="16"/>
                <w:szCs w:val="16"/>
              </w:rPr>
              <w:t xml:space="preserve">Small Business Program + sub rate</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15%</w:t>
            </w:r>
          </w:p>
          <w:p>
            <w:pPr>
              <w:spacing w:after="10" w:before="0"/>
              <w:jc w:val="center"/>
            </w:pPr>
            <w:r>
              <w:rPr>
                <w:b/>
                <w:bCs/>
                <w:color w:val="1A1A2E"/>
                <w:sz w:val="18"/>
                <w:szCs w:val="18"/>
              </w:rPr>
              <w:t xml:space="preserve">Google Play Commission</w:t>
            </w:r>
          </w:p>
          <w:p>
            <w:pPr>
              <w:spacing w:after="40" w:before="0"/>
              <w:jc w:val="center"/>
            </w:pPr>
            <w:r>
              <w:rPr>
                <w:color w:val="6B7280"/>
                <w:sz w:val="16"/>
                <w:szCs w:val="16"/>
              </w:rPr>
              <w:t xml:space="preserve">First $1M revenue — automatic</w:t>
            </w:r>
          </w:p>
        </w:tc>
        <w:tc>
          <w:tcPr>
            <w:tcW w:type="dxa" w:w="3100"/>
            <w:tcBorders>
              <w:top w:val="single" w:color="2E86C1" w:sz="1"/>
              <w:left w:val="single" w:color="2E86C1" w:sz="1"/>
              <w:bottom w:val="single" w:color="2E86C1" w:sz="1"/>
              <w:right w:val="single" w:color="2E86C1" w:sz="1"/>
            </w:tcBorders>
            <w:shd w:fill="D6E4F7" w:val="clear"/>
            <w:tcMar>
              <w:top w:type="dxa" w:w="80"/>
              <w:left w:type="dxa" w:w="80"/>
              <w:bottom w:type="dxa" w:w="80"/>
              <w:right w:type="dxa" w:w="80"/>
            </w:tcMar>
          </w:tcPr>
          <w:p>
            <w:pPr>
              <w:spacing w:after="10" w:before="40"/>
              <w:jc w:val="center"/>
            </w:pPr>
            <w:r>
              <w:rPr>
                <w:b/>
                <w:bCs/>
                <w:color w:val="1B4F8A"/>
                <w:sz w:val="36"/>
                <w:szCs w:val="36"/>
              </w:rPr>
              <w:t xml:space="preserve">0%</w:t>
            </w:r>
          </w:p>
          <w:p>
            <w:pPr>
              <w:spacing w:after="10" w:before="0"/>
              <w:jc w:val="center"/>
            </w:pPr>
            <w:r>
              <w:rPr>
                <w:b/>
                <w:bCs/>
                <w:color w:val="1A1A2E"/>
                <w:sz w:val="18"/>
                <w:szCs w:val="18"/>
              </w:rPr>
              <w:t xml:space="preserve">Windows Direct Commission</w:t>
            </w:r>
          </w:p>
          <w:p>
            <w:pPr>
              <w:spacing w:after="40" w:before="0"/>
              <w:jc w:val="center"/>
            </w:pPr>
            <w:r>
              <w:rPr>
                <w:color w:val="6B7280"/>
                <w:sz w:val="16"/>
                <w:szCs w:val="16"/>
              </w:rPr>
              <w:t xml:space="preserve">~2–3% payment processing only</w:t>
            </w:r>
          </w:p>
        </w:tc>
      </w:tr>
    </w:tbl>
    <w:p>
      <w:r>
        <w:br w:type="page"/>
      </w:r>
    </w:p>
    <w:p>
      <w:pPr>
        <w:pStyle w:val="Heading1"/>
        <w:pBdr>
          <w:bottom w:val="single" w:color="2E86C1" w:sz="6" w:space="4"/>
        </w:pBdr>
        <w:spacing w:after="160" w:before="360"/>
        <w:rPr>
          <w:b/>
          <w:bCs/>
          <w:color w:val="1B4F8A"/>
          <w:sz w:val="32"/>
          <w:szCs w:val="32"/>
        </w:rPr>
      </w:pPr>
      <w:r>
        <w:t xml:space="preserve">6. Go-to-Market Strategy</w:t>
      </w:r>
    </w:p>
    <w:p>
      <w:pPr>
        <w:pStyle w:val="Heading2"/>
        <w:spacing w:after="120" w:before="280"/>
        <w:rPr>
          <w:b/>
          <w:bCs/>
          <w:color w:val="1B4F8A"/>
          <w:sz w:val="26"/>
          <w:szCs w:val="26"/>
        </w:rPr>
      </w:pPr>
      <w:r>
        <w:t xml:space="preserve">6.1 Target Customer Segments</w:t>
      </w:r>
    </w:p>
    <w:p>
      <w:pPr>
        <w:spacing w:after="40" w:before="40" w:line="260"/>
        <w:ind w:left="360" w:hanging="259"/>
      </w:pPr>
      <w:r>
        <w:rPr>
          <w:b/>
          <w:bCs/>
          <w:color w:val="2E86C1"/>
          <w:sz w:val="20"/>
          <w:szCs w:val="20"/>
        </w:rPr>
        <w:t xml:space="preserve">▪  </w:t>
      </w:r>
      <w:r>
        <w:rPr>
          <w:b/>
          <w:bCs/>
          <w:color w:val="1A1A2E"/>
          <w:sz w:val="20"/>
          <w:szCs w:val="20"/>
        </w:rPr>
        <w:t xml:space="preserve">Primary — Automation &amp; Controls Engineers: </w:t>
      </w:r>
      <w:r>
        <w:rPr>
          <w:color w:val="1A1A2E"/>
          <w:sz w:val="20"/>
          <w:szCs w:val="20"/>
        </w:rPr>
        <w:t xml:space="preserve">Professionals who need to prototype, test, and debug PLC logic without hardware access. This segment has purchasing authority and will pay for professional tools.</w:t>
      </w:r>
    </w:p>
    <w:p>
      <w:pPr>
        <w:spacing w:after="40" w:before="40" w:line="260"/>
        <w:ind w:left="360" w:hanging="259"/>
      </w:pPr>
      <w:r>
        <w:rPr>
          <w:b/>
          <w:bCs/>
          <w:color w:val="2E86C1"/>
          <w:sz w:val="20"/>
          <w:szCs w:val="20"/>
        </w:rPr>
        <w:t xml:space="preserve">▪  </w:t>
      </w:r>
      <w:r>
        <w:rPr>
          <w:b/>
          <w:bCs/>
          <w:color w:val="1A1A2E"/>
          <w:sz w:val="20"/>
          <w:szCs w:val="20"/>
        </w:rPr>
        <w:t xml:space="preserve">Primary — SCADA Integrators &amp; Protocol Testers: </w:t>
      </w:r>
      <w:r>
        <w:rPr>
          <w:color w:val="1A1A2E"/>
          <w:sz w:val="20"/>
          <w:szCs w:val="20"/>
        </w:rPr>
        <w:t xml:space="preserve">Engineers testing OPC UA, Modbus, MQTT, and DNP3 behaviour for SCADA system integration. The in-app protocol servers are a unique and immediate value proposition for this group.</w:t>
      </w:r>
    </w:p>
    <w:p>
      <w:pPr>
        <w:spacing w:after="40" w:before="40" w:line="260"/>
        <w:ind w:left="360" w:hanging="259"/>
      </w:pPr>
      <w:r>
        <w:rPr>
          <w:b/>
          <w:bCs/>
          <w:color w:val="2E86C1"/>
          <w:sz w:val="20"/>
          <w:szCs w:val="20"/>
        </w:rPr>
        <w:t xml:space="preserve">▪  </w:t>
      </w:r>
      <w:r>
        <w:rPr>
          <w:b/>
          <w:bCs/>
          <w:color w:val="1A1A2E"/>
          <w:sz w:val="20"/>
          <w:szCs w:val="20"/>
        </w:rPr>
        <w:t xml:space="preserve">Secondary — Students &amp; Self-Learners: </w:t>
      </w:r>
      <w:r>
        <w:rPr>
          <w:color w:val="1A1A2E"/>
          <w:sz w:val="20"/>
          <w:szCs w:val="20"/>
        </w:rPr>
        <w:t xml:space="preserve">Automation, electrical, and mechatronics students who need a free/low-cost way to practise IEC 61131-3 languages. Free tier converts this segment over time as they enter the workforce.</w:t>
      </w:r>
    </w:p>
    <w:p>
      <w:pPr>
        <w:spacing w:after="40" w:before="40" w:line="260"/>
        <w:ind w:left="360" w:hanging="259"/>
      </w:pPr>
      <w:r>
        <w:rPr>
          <w:b/>
          <w:bCs/>
          <w:color w:val="2E86C1"/>
          <w:sz w:val="20"/>
          <w:szCs w:val="20"/>
        </w:rPr>
        <w:t xml:space="preserve">▪  </w:t>
      </w:r>
      <w:r>
        <w:rPr>
          <w:b/>
          <w:bCs/>
          <w:color w:val="1A1A2E"/>
          <w:sz w:val="20"/>
          <w:szCs w:val="20"/>
        </w:rPr>
        <w:t xml:space="preserve">Secondary — Educators &amp; Training Providers: </w:t>
      </w:r>
      <w:r>
        <w:rPr>
          <w:color w:val="1A1A2E"/>
          <w:sz w:val="20"/>
          <w:szCs w:val="20"/>
        </w:rPr>
        <w:t xml:space="preserve">TAFE colleges, universities, and corporate training teams who run IEC 61131-3 courses and need a platform-independent simulator. Site licences are the target here.</w:t>
      </w:r>
    </w:p>
    <w:p>
      <w:pPr>
        <w:spacing w:after="80" w:before="0"/>
      </w:pPr>
    </w:p>
    <w:p>
      <w:pPr>
        <w:pStyle w:val="Heading2"/>
        <w:spacing w:after="120" w:before="280"/>
        <w:rPr>
          <w:b/>
          <w:bCs/>
          <w:color w:val="1B4F8A"/>
          <w:sz w:val="26"/>
          <w:szCs w:val="26"/>
        </w:rPr>
      </w:pPr>
      <w:r>
        <w:t xml:space="preserve">6.2 Channel Strategy</w:t>
      </w:r>
    </w:p>
    <w:p>
      <w:pPr>
        <w:pStyle w:val="Heading3"/>
        <w:spacing w:after="80" w:before="200"/>
        <w:rPr>
          <w:b/>
          <w:bCs/>
          <w:color w:val="2E86C1"/>
          <w:sz w:val="22"/>
          <w:szCs w:val="22"/>
        </w:rPr>
      </w:pPr>
      <w:r>
        <w:t xml:space="preserve">Organic — Community &amp; Content</w:t>
      </w:r>
    </w:p>
    <w:p>
      <w:pPr>
        <w:spacing w:after="40" w:before="40" w:line="260"/>
        <w:ind w:left="360" w:hanging="259"/>
      </w:pPr>
      <w:r>
        <w:rPr>
          <w:b/>
          <w:bCs/>
          <w:color w:val="2E86C1"/>
          <w:sz w:val="20"/>
          <w:szCs w:val="20"/>
        </w:rPr>
        <w:t xml:space="preserve">▪  </w:t>
      </w:r>
      <w:r>
        <w:rPr>
          <w:color w:val="1A1A2E"/>
          <w:sz w:val="20"/>
          <w:szCs w:val="20"/>
        </w:rPr>
        <w:t xml:space="preserve">YouTube: Publish tutorial videos targeting search terms like "OPC UA simulator", "Modbus TCP testing", "ladder logic tutorial mobile", "IEC 61131-3 simulator". The automation YouTube community (RealPars, The PLC Guy, Automation with Arun) has 100K–2M subscribers — one collaboration or review could drive thousands of downloads.</w:t>
      </w:r>
    </w:p>
    <w:p>
      <w:pPr>
        <w:spacing w:after="40" w:before="40" w:line="260"/>
        <w:ind w:left="360" w:hanging="259"/>
      </w:pPr>
      <w:r>
        <w:rPr>
          <w:b/>
          <w:bCs/>
          <w:color w:val="2E86C1"/>
          <w:sz w:val="20"/>
          <w:szCs w:val="20"/>
        </w:rPr>
        <w:t xml:space="preserve">▪  </w:t>
      </w:r>
      <w:r>
        <w:rPr>
          <w:color w:val="1A1A2E"/>
          <w:sz w:val="20"/>
          <w:szCs w:val="20"/>
        </w:rPr>
        <w:t xml:space="preserve">LinkedIn: Post technical content targeting #PLCprogramming, #SCADA, #IndustrialAutomation, #OpcUa, #Modbus hashtags. Professional engineers actively discuss tools here.</w:t>
      </w:r>
    </w:p>
    <w:p>
      <w:pPr>
        <w:spacing w:after="40" w:before="40" w:line="260"/>
        <w:ind w:left="360" w:hanging="259"/>
      </w:pPr>
      <w:r>
        <w:rPr>
          <w:b/>
          <w:bCs/>
          <w:color w:val="2E86C1"/>
          <w:sz w:val="20"/>
          <w:szCs w:val="20"/>
        </w:rPr>
        <w:t xml:space="preserve">▪  </w:t>
      </w:r>
      <w:r>
        <w:rPr>
          <w:color w:val="1A1A2E"/>
          <w:sz w:val="20"/>
          <w:szCs w:val="20"/>
        </w:rPr>
        <w:t xml:space="preserve">Reddit: Engage in r/PLC (156K members), r/SCADA, r/controlengineering, r/industrialengineering. Provide genuine value and demonstrate the product; soft promotion is well-received in these communities.</w:t>
      </w:r>
    </w:p>
    <w:p>
      <w:pPr>
        <w:spacing w:after="40" w:before="40" w:line="260"/>
        <w:ind w:left="360" w:hanging="259"/>
      </w:pPr>
      <w:r>
        <w:rPr>
          <w:b/>
          <w:bCs/>
          <w:color w:val="2E86C1"/>
          <w:sz w:val="20"/>
          <w:szCs w:val="20"/>
        </w:rPr>
        <w:t xml:space="preserve">▪  </w:t>
      </w:r>
      <w:r>
        <w:rPr>
          <w:color w:val="1A1A2E"/>
          <w:sz w:val="20"/>
          <w:szCs w:val="20"/>
        </w:rPr>
        <w:t xml:space="preserve">Automation forums: Engage on forums such as PLCTalk.net, MrPLC.com, and Automation.com — longstanding communities where engineers share tool recommendations.</w:t>
      </w:r>
    </w:p>
    <w:p>
      <w:pPr>
        <w:pStyle w:val="Heading3"/>
        <w:spacing w:after="80" w:before="200"/>
        <w:rPr>
          <w:b/>
          <w:bCs/>
          <w:color w:val="2E86C1"/>
          <w:sz w:val="22"/>
          <w:szCs w:val="22"/>
        </w:rPr>
      </w:pPr>
      <w:r>
        <w:t xml:space="preserve">Paid Acquisition</w:t>
      </w:r>
    </w:p>
    <w:p>
      <w:pPr>
        <w:spacing w:after="40" w:before="40" w:line="260"/>
        <w:ind w:left="360" w:hanging="259"/>
      </w:pPr>
      <w:r>
        <w:rPr>
          <w:b/>
          <w:bCs/>
          <w:color w:val="2E86C1"/>
          <w:sz w:val="20"/>
          <w:szCs w:val="20"/>
        </w:rPr>
        <w:t xml:space="preserve">▪  </w:t>
      </w:r>
      <w:r>
        <w:rPr>
          <w:color w:val="1A1A2E"/>
          <w:sz w:val="20"/>
          <w:szCs w:val="20"/>
        </w:rPr>
        <w:t xml:space="preserve">Google App Campaigns and Apple Search Ads targeting keywords: "PLC simulator", "ladder logic app", "OPC UA server", "Modbus simulator", "IEC 61131-3"</w:t>
      </w:r>
    </w:p>
    <w:p>
      <w:pPr>
        <w:spacing w:after="40" w:before="40" w:line="260"/>
        <w:ind w:left="360" w:hanging="259"/>
      </w:pPr>
      <w:r>
        <w:rPr>
          <w:b/>
          <w:bCs/>
          <w:color w:val="2E86C1"/>
          <w:sz w:val="20"/>
          <w:szCs w:val="20"/>
        </w:rPr>
        <w:t xml:space="preserve">▪  </w:t>
      </w:r>
      <w:r>
        <w:rPr>
          <w:color w:val="1A1A2E"/>
          <w:sz w:val="20"/>
          <w:szCs w:val="20"/>
        </w:rPr>
        <w:t xml:space="preserve">LinkedIn Ads targeting job titles: Controls Engineer, Automation Engineer, SCADA Engineer, PLC Programmer, Instrumentation Technician</w:t>
      </w:r>
    </w:p>
    <w:p>
      <w:pPr>
        <w:spacing w:after="40" w:before="40" w:line="260"/>
        <w:ind w:left="360" w:hanging="259"/>
      </w:pPr>
      <w:r>
        <w:rPr>
          <w:b/>
          <w:bCs/>
          <w:color w:val="2E86C1"/>
          <w:sz w:val="20"/>
          <w:szCs w:val="20"/>
        </w:rPr>
        <w:t xml:space="preserve">▪  </w:t>
      </w:r>
      <w:r>
        <w:rPr>
          <w:color w:val="1A1A2E"/>
          <w:sz w:val="20"/>
          <w:szCs w:val="20"/>
        </w:rPr>
        <w:t xml:space="preserve">Budget recommendation: $200–$500/month in Year 1 focused on highest-converting keywords; scale with data</w:t>
      </w:r>
    </w:p>
    <w:p>
      <w:pPr>
        <w:pStyle w:val="Heading3"/>
        <w:spacing w:after="80" w:before="200"/>
        <w:rPr>
          <w:b/>
          <w:bCs/>
          <w:color w:val="2E86C1"/>
          <w:sz w:val="22"/>
          <w:szCs w:val="22"/>
        </w:rPr>
      </w:pPr>
      <w:r>
        <w:t xml:space="preserve">Education Partnerships</w:t>
      </w:r>
    </w:p>
    <w:p>
      <w:pPr>
        <w:spacing w:after="40" w:before="40" w:line="260"/>
        <w:ind w:left="360" w:hanging="259"/>
      </w:pPr>
      <w:r>
        <w:rPr>
          <w:b/>
          <w:bCs/>
          <w:color w:val="2E86C1"/>
          <w:sz w:val="20"/>
          <w:szCs w:val="20"/>
        </w:rPr>
        <w:t xml:space="preserve">▪  </w:t>
      </w:r>
      <w:r>
        <w:rPr>
          <w:color w:val="1A1A2E"/>
          <w:sz w:val="20"/>
          <w:szCs w:val="20"/>
        </w:rPr>
        <w:t xml:space="preserve">Offer free site licences or heavily discounted educator pricing to 5–10 TAFE colleges and university automation programs in exchange for testimonials and case studies</w:t>
      </w:r>
    </w:p>
    <w:p>
      <w:pPr>
        <w:spacing w:after="40" w:before="40" w:line="260"/>
        <w:ind w:left="360" w:hanging="259"/>
      </w:pPr>
      <w:r>
        <w:rPr>
          <w:b/>
          <w:bCs/>
          <w:color w:val="2E86C1"/>
          <w:sz w:val="20"/>
          <w:szCs w:val="20"/>
        </w:rPr>
        <w:t xml:space="preserve">▪  </w:t>
      </w:r>
      <w:r>
        <w:rPr>
          <w:color w:val="1A1A2E"/>
          <w:sz w:val="20"/>
          <w:szCs w:val="20"/>
        </w:rPr>
        <w:t xml:space="preserve">Contact Festo Didactic, Siemens Education, and Rockwell Education programs as potential referral or partnership channels</w:t>
      </w:r>
    </w:p>
    <w:p>
      <w:pPr>
        <w:pStyle w:val="Heading3"/>
        <w:spacing w:after="80" w:before="200"/>
        <w:rPr>
          <w:b/>
          <w:bCs/>
          <w:color w:val="2E86C1"/>
          <w:sz w:val="22"/>
          <w:szCs w:val="22"/>
        </w:rPr>
      </w:pPr>
      <w:r>
        <w:t xml:space="preserve">Protocol Community Targeting</w:t>
      </w:r>
    </w:p>
    <w:p>
      <w:pPr>
        <w:spacing w:after="40" w:before="40" w:line="260"/>
        <w:ind w:left="360" w:hanging="259"/>
      </w:pPr>
      <w:r>
        <w:rPr>
          <w:b/>
          <w:bCs/>
          <w:color w:val="2E86C1"/>
          <w:sz w:val="20"/>
          <w:szCs w:val="20"/>
        </w:rPr>
        <w:t xml:space="preserve">▪  </w:t>
      </w:r>
      <w:r>
        <w:rPr>
          <w:color w:val="1A1A2E"/>
          <w:sz w:val="20"/>
          <w:szCs w:val="20"/>
        </w:rPr>
        <w:t xml:space="preserve">Share the app in OPC Foundation community forums, MQTT/Sparkplug B user groups, and DNP3 organisation member communications — the in-app protocol servers have genuine technical novelty for this audience</w:t>
      </w:r>
    </w:p>
    <w:p>
      <w:pPr>
        <w:spacing w:after="40" w:before="40" w:line="260"/>
        <w:ind w:left="360" w:hanging="259"/>
      </w:pPr>
      <w:r>
        <w:rPr>
          <w:b/>
          <w:bCs/>
          <w:color w:val="2E86C1"/>
          <w:sz w:val="20"/>
          <w:szCs w:val="20"/>
        </w:rPr>
        <w:t xml:space="preserve">▪  </w:t>
      </w:r>
      <w:r>
        <w:rPr>
          <w:color w:val="1A1A2E"/>
          <w:sz w:val="20"/>
          <w:szCs w:val="20"/>
        </w:rPr>
        <w:t xml:space="preserve">Write or submit a technical article to publications like Control Design, Automation World, or Embedded.com showcasing the protocol testing capability</w:t>
      </w:r>
    </w:p>
    <w:p>
      <w:r>
        <w:br w:type="page"/>
      </w:r>
    </w:p>
    <w:p>
      <w:pPr>
        <w:pStyle w:val="Heading1"/>
        <w:pBdr>
          <w:bottom w:val="single" w:color="2E86C1" w:sz="6" w:space="4"/>
        </w:pBdr>
        <w:spacing w:after="160" w:before="360"/>
        <w:rPr>
          <w:b/>
          <w:bCs/>
          <w:color w:val="1B4F8A"/>
          <w:sz w:val="32"/>
          <w:szCs w:val="32"/>
        </w:rPr>
      </w:pPr>
      <w:r>
        <w:t xml:space="preserve">7. Year-1 Financial Forecast</w:t>
      </w:r>
    </w:p>
    <w:p>
      <w:pPr>
        <w:pStyle w:val="Heading2"/>
        <w:spacing w:after="120" w:before="280"/>
        <w:rPr>
          <w:b/>
          <w:bCs/>
          <w:color w:val="1B4F8A"/>
          <w:sz w:val="26"/>
          <w:szCs w:val="26"/>
        </w:rPr>
      </w:pPr>
      <w:r>
        <w:t xml:space="preserve">7.1 Modelling Assumptions</w:t>
      </w:r>
    </w:p>
    <w:p>
      <w:pPr>
        <w:spacing w:after="120" w:before="60" w:line="276"/>
        <w:jc w:val="both"/>
      </w:pPr>
      <w:r>
        <w:rPr>
          <w:b w:val="false"/>
          <w:bCs w:val="false"/>
          <w:i w:val="false"/>
          <w:iCs w:val="false"/>
          <w:color w:val="1A1A2E"/>
          <w:sz w:val="20"/>
          <w:szCs w:val="20"/>
        </w:rPr>
        <w:t xml:space="preserve">The following quarterly projections are built on the hybrid subscription model (Pro Monthly at $12.99, Pro Annual at $89.99, Windows Perpetual at $129.99 direct). Three scenarios are modelled to capture the range of plausible outcomes. All figures are in Australian Dollars (AUD) unless specified; for simplicity, AUD/USD parity is assumed — adjust for actual exchange rates at launch.</w:t>
      </w:r>
    </w:p>
    <w:p>
      <w:pPr>
        <w:spacing w:after="4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00"/>
      </w:tblGrid>
      <w:tr>
        <w:tc>
          <w:tcPr>
            <w:tcW w:type="dxa" w:w="2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Assumption</w:t>
            </w:r>
          </w:p>
        </w:tc>
        <w:tc>
          <w:tcPr>
            <w:tcW w:type="dxa" w:w="21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Conservative</w:t>
            </w:r>
          </w:p>
        </w:tc>
        <w:tc>
          <w:tcPr>
            <w:tcW w:type="dxa" w:w="21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Base Case</w:t>
            </w:r>
          </w:p>
        </w:tc>
        <w:tc>
          <w:tcPr>
            <w:tcW w:type="dxa" w:w="23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Optimistic</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Marketing spend / month</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$0–$100 (organic only)</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$200–$250</w:t>
            </w:r>
          </w:p>
        </w:tc>
        <w:tc>
          <w:tcPr>
            <w:tcW w:type="dxa" w:w="2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$400–$600</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Total Y1 downloads (all platforms)</w:t>
            </w:r>
          </w:p>
        </w:tc>
        <w:tc>
          <w:tcPr>
            <w:tcW w:type="dxa" w:w="2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5,000</w:t>
            </w:r>
          </w:p>
        </w:tc>
        <w:tc>
          <w:tcPr>
            <w:tcW w:type="dxa" w:w="2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17,000</w:t>
            </w:r>
          </w:p>
        </w:tc>
        <w:tc>
          <w:tcPr>
            <w:tcW w:type="dxa" w:w="2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35,000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Free-to-paid conversion rate</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2.5%</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3.0%</w:t>
            </w:r>
          </w:p>
        </w:tc>
        <w:tc>
          <w:tcPr>
            <w:tcW w:type="dxa" w:w="2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4.5%</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Paid user mix (monthly / annual / perpetual)</w:t>
            </w:r>
          </w:p>
        </w:tc>
        <w:tc>
          <w:tcPr>
            <w:tcW w:type="dxa" w:w="2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60% / 30% / 10%</w:t>
            </w:r>
          </w:p>
        </w:tc>
        <w:tc>
          <w:tcPr>
            <w:tcW w:type="dxa" w:w="2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55% / 35% / 10%</w:t>
            </w:r>
          </w:p>
        </w:tc>
        <w:tc>
          <w:tcPr>
            <w:tcW w:type="dxa" w:w="2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50% / 38% / 12%</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Monthly sub churn rate</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6%/month</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5%/month</w:t>
            </w:r>
          </w:p>
        </w:tc>
        <w:tc>
          <w:tcPr>
            <w:tcW w:type="dxa" w:w="2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4%/month</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App store commission (mobile)</w:t>
            </w:r>
          </w:p>
        </w:tc>
        <w:tc>
          <w:tcPr>
            <w:tcW w:type="dxa" w:w="2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w:t>
            </w:r>
          </w:p>
        </w:tc>
        <w:tc>
          <w:tcPr>
            <w:tcW w:type="dxa" w:w="2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w:t>
            </w:r>
          </w:p>
        </w:tc>
        <w:tc>
          <w:tcPr>
            <w:tcW w:type="dxa" w:w="23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Windows perpetual commission</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 (direct)</w:t>
            </w:r>
          </w:p>
        </w:tc>
        <w:tc>
          <w:tcPr>
            <w:tcW w:type="dxa" w:w="2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 (direct)</w:t>
            </w:r>
          </w:p>
        </w:tc>
        <w:tc>
          <w:tcPr>
            <w:tcW w:type="dxa" w:w="2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 (direct)</w:t>
            </w:r>
          </w:p>
        </w:tc>
      </w:tr>
    </w:tbl>
    <w:p>
      <w:pPr>
        <w:spacing w:after="120" w:before="0"/>
      </w:pPr>
    </w:p>
    <w:p>
      <w:pPr>
        <w:pStyle w:val="Heading2"/>
        <w:spacing w:after="120" w:before="280"/>
        <w:rPr>
          <w:b/>
          <w:bCs/>
          <w:color w:val="1B4F8A"/>
          <w:sz w:val="26"/>
          <w:szCs w:val="26"/>
        </w:rPr>
      </w:pPr>
      <w:r>
        <w:t xml:space="preserve">7.2 Download &amp; User Growth by Quarter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gridCol w:w="1500"/>
      </w:tblGrid>
      <w:tr>
        <w:tc>
          <w:tcPr>
            <w:tcW w:type="dxa" w:w="2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Metric</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Q1 (Mths 1–3)</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Q2 (Mths 4–6)</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Q3 (Mths 7–9)</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Q4 (Mths 10–12)</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Year 1 Total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 CONSERVATIVE SCENARIO —</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New downloads</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600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1,100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1,700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1,600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5,000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Cumulative downloads</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600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1,700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3,400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5,000</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New paid users</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28</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42</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125</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Cumulative paid users (est. active)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15</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41</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76</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107</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 BASE CASE SCENARIO —</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New downloads</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1,500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3,500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6,000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6,000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17,000</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Cumulative downloads</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5,000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11,000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17,000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17,000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New paid users</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45</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105</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180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180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510</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Cumulative paid users (est. active)</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45</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143</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303</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455</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 OPTIMISTIC SCENARIO —</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New downloads</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3,500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7,500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11,500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12,500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35,000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Cumulative downloads</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3,500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11,000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22,500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35,000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35,000</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New paid users</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157</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338</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517</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562</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1,574</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Cumulative paid users (est. active)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157</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472</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926</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1,392</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w:t>
            </w:r>
          </w:p>
        </w:tc>
      </w:tr>
    </w:tbl>
    <w:p>
      <w:pPr>
        <w:spacing w:after="120" w:before="0"/>
      </w:pPr>
    </w:p>
    <w:p>
      <w:r>
        <w:br w:type="page"/>
      </w:r>
    </w:p>
    <w:p>
      <w:pPr>
        <w:pStyle w:val="Heading2"/>
        <w:spacing w:after="120" w:before="280"/>
        <w:rPr>
          <w:b/>
          <w:bCs/>
          <w:color w:val="1B4F8A"/>
          <w:sz w:val="26"/>
          <w:szCs w:val="26"/>
        </w:rPr>
      </w:pPr>
      <w:r>
        <w:t xml:space="preserve">7.3 Revenue Forecast — Subscription Model (Base Case)</w:t>
      </w:r>
    </w:p>
    <w:p>
      <w:pPr>
        <w:spacing w:after="120" w:before="60" w:line="276"/>
        <w:jc w:val="both"/>
      </w:pPr>
      <w:r>
        <w:rPr>
          <w:b w:val="false"/>
          <w:bCs w:val="false"/>
          <w:i w:val="false"/>
          <w:iCs w:val="false"/>
          <w:color w:val="1A1A2E"/>
          <w:sz w:val="20"/>
          <w:szCs w:val="20"/>
        </w:rPr>
        <w:t xml:space="preserve">The following table details quarterly gross revenue, app store fees, and net revenue for the base case scenario. Revenue sources are broken out by subscription type. Monthly subscriber carry-over is calculated with 5% monthly churn applied to the active subscriber pool from prior quarters.</w:t>
      </w:r>
    </w:p>
    <w:p>
      <w:pPr>
        <w:spacing w:after="60" w:before="0"/>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gridCol w:w="1500"/>
      </w:tblGrid>
      <w:tr>
        <w:tc>
          <w:tcPr>
            <w:tcW w:type="dxa" w:w="2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Revenue Line</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Q1 (Mths 1–3)</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Q2 (Mths 4–6)</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Q3 (Mths 7–9)</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Q4 (Mths 10–12)</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Year 1 Total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Carry-over monthly subs revenue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$818</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$2,650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$5,573</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$9,041</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New monthly subs revenue</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$487</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$1,130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$1,929</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$2,416</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$5,962</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Annual subscription revenue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$1,440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$3,330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$5,670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$7,109</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$17,549</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Windows perpetual revenue (direct)</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$650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$1,300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$2,340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$2,860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$7,150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GROSS REVENUE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$2,577</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$6,578</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$12,589</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$17,958</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$39,702</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App store fees (15% on mobile rev)</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($289)</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($792)</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($1,537)</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($2,265)</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($4,883)</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NET REVENUE</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$2,288</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$5,786</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$11,052</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$15,693</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$34,819</w:t>
            </w:r>
          </w:p>
        </w:tc>
      </w:tr>
    </w:tbl>
    <w:p>
      <w:pPr>
        <w:spacing w:after="120" w:before="0"/>
      </w:pPr>
    </w:p>
    <w:p>
      <w:pPr>
        <w:pStyle w:val="Heading2"/>
        <w:spacing w:after="120" w:before="280"/>
        <w:rPr>
          <w:b/>
          <w:bCs/>
          <w:color w:val="1B4F8A"/>
          <w:sz w:val="26"/>
          <w:szCs w:val="26"/>
        </w:rPr>
      </w:pPr>
      <w:r>
        <w:t xml:space="preserve">7.4 Cost Structure (All Scenarios)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gridCol w:w="1500"/>
      </w:tblGrid>
      <w:tr>
        <w:tc>
          <w:tcPr>
            <w:tcW w:type="dxa" w:w="2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Cost Item</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Q1</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Q2</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Q3</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Q4</w:t>
            </w:r>
          </w:p>
        </w:tc>
        <w:tc>
          <w:tcPr>
            <w:tcW w:type="dxa" w:w="15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Year 1 Total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Apple Developer Program</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$99</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$99</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Google Play registration</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$25</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$25</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Website / domain / hosting</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$100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$250</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Marketing &amp; ads (base: $250/mo)</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$750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$750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$750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$750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$3,000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Email / CRM tools (e.g. Mailchimp)</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$50</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$200</w:t>
            </w:r>
          </w:p>
        </w:tc>
      </w:tr>
      <w:tr>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Accounting / legal / misc</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$100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$150</w:t>
            </w:r>
          </w:p>
        </w:tc>
        <w:tc>
          <w:tcPr>
            <w:tcW w:type="dxa" w:w="15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$550</w:t>
            </w:r>
          </w:p>
        </w:tc>
      </w:tr>
      <w:tr>
        <w:tc>
          <w:tcPr>
            <w:tcW w:type="dxa" w:w="2800"/>
            <w:tcBorders>
              <w:top w:val="single" w:color="D1D5DB" w:sz="1"/>
              <w:left w:val="single" w:color="D1D5DB" w:sz="1"/>
              <w:bottom w:val="single" w:color="D1D5DB" w:sz="1"/>
              <w:right w:val="single" w:color="D1D5DB" w:sz="1"/>
            </w:tcBorders>
            <w:shd w:fill="D6E4F7" w:val="clear"/>
            <w:tcMar>
              <w:top w:type="dxa" w:w="60"/>
              <w:left w:type="dxa" w:w="80"/>
              <w:bottom w:type="dxa" w:w="60"/>
              <w:right w:type="dxa" w:w="80"/>
            </w:tcMar>
          </w:tcPr>
          <w:p>
            <w:pPr>
              <w:jc w:val="left"/>
            </w:pPr>
            <w:r>
              <w:rPr>
                <w:b/>
                <w:bCs/>
                <w:color w:val="1A1A2E"/>
                <w:sz w:val="18"/>
                <w:szCs w:val="18"/>
              </w:rPr>
              <w:t xml:space="preserve">TOTAL COSTS</w:t>
            </w:r>
          </w:p>
        </w:tc>
        <w:tc>
          <w:tcPr>
            <w:tcW w:type="dxa" w:w="1500"/>
            <w:tcBorders>
              <w:top w:val="single" w:color="D1D5DB" w:sz="1"/>
              <w:left w:val="single" w:color="D1D5DB" w:sz="1"/>
              <w:bottom w:val="single" w:color="D1D5DB" w:sz="1"/>
              <w:right w:val="single" w:color="D1D5DB" w:sz="1"/>
            </w:tcBorders>
            <w:shd w:fill="D6E4F7" w:val="clear"/>
            <w:tcMar>
              <w:top w:type="dxa" w:w="60"/>
              <w:left w:type="dxa" w:w="80"/>
              <w:bottom w:type="dxa" w:w="60"/>
              <w:right w:type="dxa" w:w="80"/>
            </w:tcMar>
          </w:tcPr>
          <w:p>
            <w:pPr>
              <w:jc w:val="right"/>
            </w:pPr>
            <w:r>
              <w:rPr>
                <w:b/>
                <w:bCs/>
                <w:color w:val="1A1A2E"/>
                <w:sz w:val="18"/>
                <w:szCs w:val="18"/>
              </w:rPr>
              <w:t xml:space="preserve">$1,224</w:t>
            </w:r>
          </w:p>
        </w:tc>
        <w:tc>
          <w:tcPr>
            <w:tcW w:type="dxa" w:w="1500"/>
            <w:tcBorders>
              <w:top w:val="single" w:color="D1D5DB" w:sz="1"/>
              <w:left w:val="single" w:color="D1D5DB" w:sz="1"/>
              <w:bottom w:val="single" w:color="D1D5DB" w:sz="1"/>
              <w:right w:val="single" w:color="D1D5DB" w:sz="1"/>
            </w:tcBorders>
            <w:shd w:fill="D6E4F7" w:val="clear"/>
            <w:tcMar>
              <w:top w:type="dxa" w:w="60"/>
              <w:left w:type="dxa" w:w="80"/>
              <w:bottom w:type="dxa" w:w="60"/>
              <w:right w:type="dxa" w:w="80"/>
            </w:tcMar>
          </w:tcPr>
          <w:p>
            <w:pPr>
              <w:jc w:val="right"/>
            </w:pPr>
            <w:r>
              <w:rPr>
                <w:b/>
                <w:bCs/>
                <w:color w:val="1A1A2E"/>
                <w:sz w:val="18"/>
                <w:szCs w:val="18"/>
              </w:rPr>
              <w:t xml:space="preserve">$950</w:t>
            </w:r>
          </w:p>
        </w:tc>
        <w:tc>
          <w:tcPr>
            <w:tcW w:type="dxa" w:w="1500"/>
            <w:tcBorders>
              <w:top w:val="single" w:color="D1D5DB" w:sz="1"/>
              <w:left w:val="single" w:color="D1D5DB" w:sz="1"/>
              <w:bottom w:val="single" w:color="D1D5DB" w:sz="1"/>
              <w:right w:val="single" w:color="D1D5DB" w:sz="1"/>
            </w:tcBorders>
            <w:shd w:fill="D6E4F7" w:val="clear"/>
            <w:tcMar>
              <w:top w:type="dxa" w:w="60"/>
              <w:left w:type="dxa" w:w="80"/>
              <w:bottom w:type="dxa" w:w="60"/>
              <w:right w:type="dxa" w:w="80"/>
            </w:tcMar>
          </w:tcPr>
          <w:p>
            <w:pPr>
              <w:jc w:val="right"/>
            </w:pPr>
            <w:r>
              <w:rPr>
                <w:b/>
                <w:bCs/>
                <w:color w:val="1A1A2E"/>
                <w:sz w:val="18"/>
                <w:szCs w:val="18"/>
              </w:rPr>
              <w:t xml:space="preserve">$950</w:t>
            </w:r>
          </w:p>
        </w:tc>
        <w:tc>
          <w:tcPr>
            <w:tcW w:type="dxa" w:w="1500"/>
            <w:tcBorders>
              <w:top w:val="single" w:color="D1D5DB" w:sz="1"/>
              <w:left w:val="single" w:color="D1D5DB" w:sz="1"/>
              <w:bottom w:val="single" w:color="D1D5DB" w:sz="1"/>
              <w:right w:val="single" w:color="D1D5DB" w:sz="1"/>
            </w:tcBorders>
            <w:shd w:fill="D6E4F7" w:val="clear"/>
            <w:tcMar>
              <w:top w:type="dxa" w:w="60"/>
              <w:left w:type="dxa" w:w="80"/>
              <w:bottom w:type="dxa" w:w="60"/>
              <w:right w:type="dxa" w:w="80"/>
            </w:tcMar>
          </w:tcPr>
          <w:p>
            <w:pPr>
              <w:jc w:val="right"/>
            </w:pPr>
            <w:r>
              <w:rPr>
                <w:b/>
                <w:bCs/>
                <w:color w:val="1A1A2E"/>
                <w:sz w:val="18"/>
                <w:szCs w:val="18"/>
              </w:rPr>
              <w:t xml:space="preserve">$1,000</w:t>
            </w:r>
          </w:p>
        </w:tc>
        <w:tc>
          <w:tcPr>
            <w:tcW w:type="dxa" w:w="1500"/>
            <w:tcBorders>
              <w:top w:val="single" w:color="D1D5DB" w:sz="1"/>
              <w:left w:val="single" w:color="D1D5DB" w:sz="1"/>
              <w:bottom w:val="single" w:color="D1D5DB" w:sz="1"/>
              <w:right w:val="single" w:color="D1D5DB" w:sz="1"/>
            </w:tcBorders>
            <w:shd w:fill="D6E4F7" w:val="clear"/>
            <w:tcMar>
              <w:top w:type="dxa" w:w="60"/>
              <w:left w:type="dxa" w:w="80"/>
              <w:bottom w:type="dxa" w:w="60"/>
              <w:right w:type="dxa" w:w="80"/>
            </w:tcMar>
          </w:tcPr>
          <w:p>
            <w:pPr>
              <w:jc w:val="right"/>
            </w:pPr>
            <w:r>
              <w:rPr>
                <w:b/>
                <w:bCs/>
                <w:color w:val="1A1A2E"/>
                <w:sz w:val="18"/>
                <w:szCs w:val="18"/>
              </w:rPr>
              <w:t xml:space="preserve">$4,124</w:t>
            </w:r>
          </w:p>
        </w:tc>
      </w:tr>
    </w:tbl>
    <w:p>
      <w:pPr>
        <w:spacing w:after="120" w:before="0"/>
      </w:pPr>
    </w:p>
    <w:p>
      <w:pPr>
        <w:pStyle w:val="Heading2"/>
        <w:spacing w:after="120" w:before="280"/>
        <w:rPr>
          <w:b/>
          <w:bCs/>
          <w:color w:val="1B4F8A"/>
          <w:sz w:val="26"/>
          <w:szCs w:val="26"/>
        </w:rPr>
      </w:pPr>
      <w:r>
        <w:t xml:space="preserve">7.5 Net Profit Summary — All Three Scenarios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600"/>
        <w:gridCol w:w="1600"/>
        <w:gridCol w:w="2000"/>
      </w:tblGrid>
      <w:tr>
        <w:tc>
          <w:tcPr>
            <w:tcW w:type="dxa" w:w="19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Scenario</w:t>
            </w:r>
          </w:p>
        </w:tc>
        <w:tc>
          <w:tcPr>
            <w:tcW w:type="dxa" w:w="16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Q1 Net</w:t>
            </w:r>
          </w:p>
        </w:tc>
        <w:tc>
          <w:tcPr>
            <w:tcW w:type="dxa" w:w="16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Q2 Net</w:t>
            </w:r>
          </w:p>
        </w:tc>
        <w:tc>
          <w:tcPr>
            <w:tcW w:type="dxa" w:w="16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Q3 Net</w:t>
            </w:r>
          </w:p>
        </w:tc>
        <w:tc>
          <w:tcPr>
            <w:tcW w:type="dxa" w:w="16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Q4 Net</w:t>
            </w:r>
          </w:p>
        </w:tc>
        <w:tc>
          <w:tcPr>
            <w:tcW w:type="dxa" w:w="20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Year 1 NET PROFIT</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Conservative</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$106</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$1,097</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$3,172</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$5,277</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~$9,650</w:t>
            </w:r>
          </w:p>
        </w:tc>
      </w:tr>
      <w:tr>
        <w:tc>
          <w:tcPr>
            <w:tcW w:type="dxa" w:w="19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Base Case</w:t>
            </w:r>
          </w:p>
        </w:tc>
        <w:tc>
          <w:tcPr>
            <w:tcW w:type="dxa" w:w="1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$1,064</w:t>
            </w:r>
          </w:p>
        </w:tc>
        <w:tc>
          <w:tcPr>
            <w:tcW w:type="dxa" w:w="1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$4,836</w:t>
            </w:r>
          </w:p>
        </w:tc>
        <w:tc>
          <w:tcPr>
            <w:tcW w:type="dxa" w:w="1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$10,102</w:t>
            </w:r>
          </w:p>
        </w:tc>
        <w:tc>
          <w:tcPr>
            <w:tcW w:type="dxa" w:w="1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$14,693</w:t>
            </w:r>
          </w:p>
        </w:tc>
        <w:tc>
          <w:tcPr>
            <w:tcW w:type="dxa" w:w="2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~$30,695</w:t>
            </w:r>
          </w:p>
        </w:tc>
      </w:tr>
      <w:tr>
        <w:tc>
          <w:tcPr>
            <w:tcW w:type="dxa" w:w="19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Optimistic</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$4,800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$16,700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$34,200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$54,300</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~$110,000</w:t>
            </w:r>
          </w:p>
        </w:tc>
      </w:tr>
    </w:tbl>
    <w:p>
      <w:pPr>
        <w:spacing w:after="80" w:before="0"/>
      </w:pPr>
    </w:p>
    <w:p>
      <w:pPr>
        <w:shd w:fill="FEF3C7" w:val="clear"/>
        <w:spacing w:after="100" w:before="100"/>
        <w:ind w:left="288" w:right="288"/>
      </w:pPr>
      <w:r>
        <w:rPr>
          <w:b/>
          <w:bCs/>
          <w:color w:val="92400E"/>
          <w:sz w:val="20"/>
          <w:szCs w:val="20"/>
        </w:rPr>
        <w:t xml:space="preserve">⚠  </w:t>
      </w:r>
      <w:r>
        <w:rPr>
          <w:i w:val="false"/>
          <w:iCs w:val="false"/>
          <w:color w:val="92400E"/>
          <w:sz w:val="20"/>
          <w:szCs w:val="20"/>
        </w:rPr>
        <w:t xml:space="preserve">Note: These figures represent net profit from the app business activity only. They do not account for income tax, which will vary by your country/state of operation and business structure. Consult an accountant before treating these as take-home figures. GST/VAT implications on digital goods sold internationally (through the app stores) are handled automatically by Apple and Google, who act as deemed resellers in most jurisdictions.</w:t>
      </w:r>
    </w:p>
    <w:p>
      <w:pPr>
        <w:spacing w:after="80" w:before="0"/>
      </w:pPr>
    </w:p>
    <w:p>
      <w:pPr>
        <w:pStyle w:val="Heading2"/>
        <w:spacing w:after="120" w:before="280"/>
        <w:rPr>
          <w:b/>
          <w:bCs/>
          <w:color w:val="1B4F8A"/>
          <w:sz w:val="26"/>
          <w:szCs w:val="26"/>
        </w:rPr>
      </w:pPr>
      <w:r>
        <w:t xml:space="preserve">7.6 Comparison: Subscription vs One-Time Purchase Model</w:t>
      </w:r>
    </w:p>
    <w:p>
      <w:pPr>
        <w:spacing w:after="120" w:before="60" w:line="276"/>
        <w:jc w:val="both"/>
      </w:pPr>
      <w:r>
        <w:rPr>
          <w:b w:val="false"/>
          <w:bCs w:val="false"/>
          <w:i w:val="false"/>
          <w:iCs w:val="false"/>
          <w:color w:val="1A1A2E"/>
          <w:sz w:val="20"/>
          <w:szCs w:val="20"/>
        </w:rPr>
        <w:t xml:space="preserve">For reference, the one-time purchase model (priced at $14.99 introductory / $19.99 standard) is projected below at the same base case download volumes with a slightly higher 4% paid conversion rate (lower barrier to purchase).</w:t>
      </w:r>
    </w:p>
    <w:p>
      <w:pPr>
        <w:spacing w:after="60" w:before="0"/>
      </w:pP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gridCol w:w="1700"/>
      </w:tblGrid>
      <w:tr>
        <w:tc>
          <w:tcPr>
            <w:tcW w:type="dxa" w:w="24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Model</w:t>
            </w:r>
          </w:p>
        </w:tc>
        <w:tc>
          <w:tcPr>
            <w:tcW w:type="dxa" w:w="17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Q1 Net</w:t>
            </w:r>
          </w:p>
        </w:tc>
        <w:tc>
          <w:tcPr>
            <w:tcW w:type="dxa" w:w="17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Q2 Net</w:t>
            </w:r>
          </w:p>
        </w:tc>
        <w:tc>
          <w:tcPr>
            <w:tcW w:type="dxa" w:w="17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Q3 Net</w:t>
            </w:r>
          </w:p>
        </w:tc>
        <w:tc>
          <w:tcPr>
            <w:tcW w:type="dxa" w:w="17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Q4 Net</w:t>
            </w:r>
          </w:p>
        </w:tc>
        <w:tc>
          <w:tcPr>
            <w:tcW w:type="dxa" w:w="17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Year 1 NET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Subscription (base)</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$1,064</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$4,836</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$10,102</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$14,693</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~$30,695</w:t>
            </w:r>
          </w:p>
        </w:tc>
      </w:tr>
      <w:tr>
        <w:tc>
          <w:tcPr>
            <w:tcW w:type="dxa" w:w="24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One-time purchase (base)</w:t>
            </w:r>
          </w:p>
        </w:tc>
        <w:tc>
          <w:tcPr>
            <w:tcW w:type="dxa" w:w="1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$460</w:t>
            </w:r>
          </w:p>
        </w:tc>
        <w:tc>
          <w:tcPr>
            <w:tcW w:type="dxa" w:w="1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$1,512</w:t>
            </w:r>
          </w:p>
        </w:tc>
        <w:tc>
          <w:tcPr>
            <w:tcW w:type="dxa" w:w="1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$2,838</w:t>
            </w:r>
          </w:p>
        </w:tc>
        <w:tc>
          <w:tcPr>
            <w:tcW w:type="dxa" w:w="1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$4,724</w:t>
            </w:r>
          </w:p>
        </w:tc>
        <w:tc>
          <w:tcPr>
            <w:tcW w:type="dxa" w:w="1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~$9,534</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Subscription advantage</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+$604</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+$3,324</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+$7,264</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+$9,969</w:t>
            </w:r>
          </w:p>
        </w:tc>
        <w:tc>
          <w:tcPr>
            <w:tcW w:type="dxa" w:w="1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+$21,161</w:t>
            </w:r>
          </w:p>
        </w:tc>
      </w:tr>
    </w:tbl>
    <w:p>
      <w:pPr>
        <w:spacing w:after="60" w:before="0"/>
      </w:pPr>
    </w:p>
    <w:p>
      <w:pPr>
        <w:spacing w:after="120" w:before="60" w:line="276"/>
        <w:jc w:val="both"/>
      </w:pPr>
      <w:r>
        <w:rPr>
          <w:b w:val="false"/>
          <w:bCs w:val="false"/>
          <w:i w:val="false"/>
          <w:iCs w:val="false"/>
          <w:color w:val="1A1A2E"/>
          <w:sz w:val="20"/>
          <w:szCs w:val="20"/>
        </w:rPr>
        <w:t xml:space="preserve">The subscription model outperforms the one-time purchase model by approximately 3.2× in Year 1 net profit under base case assumptions. The advantage grows significantly in Year 2 and beyond as the subscriber base compounds and annual renewal revenue begins to accumulate — subscribers who purchased annual plans in Year 1 renew in Year 2, creating a revenue floor that the one-time model cannot replicate.</w:t>
      </w:r>
    </w:p>
    <w:p>
      <w:r>
        <w:br w:type="page"/>
      </w:r>
    </w:p>
    <w:p>
      <w:pPr>
        <w:pStyle w:val="Heading1"/>
        <w:pBdr>
          <w:bottom w:val="single" w:color="2E86C1" w:sz="6" w:space="4"/>
        </w:pBdr>
        <w:spacing w:after="160" w:before="360"/>
        <w:rPr>
          <w:b/>
          <w:bCs/>
          <w:color w:val="1B4F8A"/>
          <w:sz w:val="32"/>
          <w:szCs w:val="32"/>
        </w:rPr>
      </w:pPr>
      <w:r>
        <w:t xml:space="preserve">8. Key Milestones &amp; Success Metrics</w:t>
      </w:r>
    </w:p>
    <w:p>
      <w:pPr>
        <w:pStyle w:val="Heading2"/>
        <w:spacing w:after="120" w:before="280"/>
        <w:rPr>
          <w:b/>
          <w:bCs/>
          <w:color w:val="1B4F8A"/>
          <w:sz w:val="26"/>
          <w:szCs w:val="26"/>
        </w:rPr>
      </w:pPr>
      <w:r>
        <w:t xml:space="preserve">8.1 Year 1 Milestone Targets (Base Case)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00"/>
      </w:tblGrid>
      <w:tr>
        <w:tc>
          <w:tcPr>
            <w:tcW w:type="dxa" w:w="3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Milestone</w:t>
            </w:r>
          </w:p>
        </w:tc>
        <w:tc>
          <w:tcPr>
            <w:tcW w:type="dxa" w:w="28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Target</w:t>
            </w:r>
          </w:p>
        </w:tc>
        <w:tc>
          <w:tcPr>
            <w:tcW w:type="dxa" w:w="27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By When</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App Store &amp; Google Play submission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Both stores approved</w:t>
            </w:r>
          </w:p>
        </w:tc>
        <w:tc>
          <w:tcPr>
            <w:tcW w:type="dxa" w:w="2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Month 1</w:t>
            </w:r>
          </w:p>
        </w:tc>
      </w:tr>
      <w:tr>
        <w:tc>
          <w:tcPr>
            <w:tcW w:type="dxa" w:w="3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Windows direct-sales website live</w:t>
            </w:r>
          </w:p>
        </w:tc>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Stripe / Paddle checkout active</w:t>
            </w:r>
          </w:p>
        </w:tc>
        <w:tc>
          <w:tcPr>
            <w:tcW w:type="dxa" w:w="2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Month 1</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First 100 App Store ratings</w:t>
            </w:r>
          </w:p>
        </w:tc>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 4.0 average</w:t>
            </w:r>
          </w:p>
        </w:tc>
        <w:tc>
          <w:tcPr>
            <w:tcW w:type="dxa" w:w="2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Month 2–3</w:t>
            </w:r>
          </w:p>
        </w:tc>
      </w:tr>
      <w:tr>
        <w:tc>
          <w:tcPr>
            <w:tcW w:type="dxa" w:w="3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First $1,000 MRR reached</w:t>
            </w:r>
          </w:p>
        </w:tc>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Subscription model</w:t>
            </w:r>
          </w:p>
        </w:tc>
        <w:tc>
          <w:tcPr>
            <w:tcW w:type="dxa" w:w="2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Month 3–4 (benchmark: 113 days median)</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100 paid subscribers (cumulative)</w:t>
            </w:r>
          </w:p>
        </w:tc>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All platforms combined</w:t>
            </w:r>
          </w:p>
        </w:tc>
        <w:tc>
          <w:tcPr>
            <w:tcW w:type="dxa" w:w="2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Month 4–5</w:t>
            </w:r>
          </w:p>
        </w:tc>
      </w:tr>
      <w:tr>
        <w:tc>
          <w:tcPr>
            <w:tcW w:type="dxa" w:w="3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First education/institution deal</w:t>
            </w:r>
          </w:p>
        </w:tc>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Site licence signed</w:t>
            </w:r>
          </w:p>
        </w:tc>
        <w:tc>
          <w:tcPr>
            <w:tcW w:type="dxa" w:w="2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Month 5–8</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500 paid subscribers</w:t>
            </w:r>
          </w:p>
        </w:tc>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All platforms combined</w:t>
            </w:r>
          </w:p>
        </w:tc>
        <w:tc>
          <w:tcPr>
            <w:tcW w:type="dxa" w:w="2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Month 9–12</w:t>
            </w:r>
          </w:p>
        </w:tc>
      </w:tr>
      <w:tr>
        <w:tc>
          <w:tcPr>
            <w:tcW w:type="dxa" w:w="3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First 1,000 App Store ratings</w:t>
            </w:r>
          </w:p>
        </w:tc>
        <w:tc>
          <w:tcPr>
            <w:tcW w:type="dxa" w:w="28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 4.3 average</w:t>
            </w:r>
          </w:p>
        </w:tc>
        <w:tc>
          <w:tcPr>
            <w:tcW w:type="dxa" w:w="27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Month 10–12</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Featured in automation media/YouTube</w:t>
            </w:r>
          </w:p>
        </w:tc>
        <w:tc>
          <w:tcPr>
            <w:tcW w:type="dxa" w:w="2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1+ publication or creator review</w:t>
            </w:r>
          </w:p>
        </w:tc>
        <w:tc>
          <w:tcPr>
            <w:tcW w:type="dxa" w:w="2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Month 6–12</w:t>
            </w:r>
          </w:p>
        </w:tc>
      </w:tr>
    </w:tbl>
    <w:p>
      <w:pPr>
        <w:spacing w:after="120" w:before="0"/>
      </w:pPr>
    </w:p>
    <w:p>
      <w:pPr>
        <w:pStyle w:val="Heading2"/>
        <w:spacing w:after="120" w:before="280"/>
        <w:rPr>
          <w:b/>
          <w:bCs/>
          <w:color w:val="1B4F8A"/>
          <w:sz w:val="26"/>
          <w:szCs w:val="26"/>
        </w:rPr>
      </w:pPr>
      <w:r>
        <w:t xml:space="preserve">8.2 Key Performance Indicators to Track</w:t>
      </w:r>
    </w:p>
    <w:p>
      <w:pPr>
        <w:spacing w:after="40" w:before="40" w:line="260"/>
        <w:ind w:left="360" w:hanging="259"/>
      </w:pPr>
      <w:r>
        <w:rPr>
          <w:b/>
          <w:bCs/>
          <w:color w:val="2E86C1"/>
          <w:sz w:val="20"/>
          <w:szCs w:val="20"/>
        </w:rPr>
        <w:t xml:space="preserve">▪  </w:t>
      </w:r>
      <w:r>
        <w:rPr>
          <w:b/>
          <w:bCs/>
          <w:color w:val="1A1A2E"/>
          <w:sz w:val="20"/>
          <w:szCs w:val="20"/>
        </w:rPr>
        <w:t xml:space="preserve">MRR (Monthly Recurring Revenue): </w:t>
      </w:r>
      <w:r>
        <w:rPr>
          <w:color w:val="1A1A2E"/>
          <w:sz w:val="20"/>
          <w:szCs w:val="20"/>
        </w:rPr>
        <w:t xml:space="preserve">Primary financial health metric. Target $5,000 MRR by end of Year 1 base case.</w:t>
      </w:r>
    </w:p>
    <w:p>
      <w:pPr>
        <w:spacing w:after="40" w:before="40" w:line="260"/>
        <w:ind w:left="360" w:hanging="259"/>
      </w:pPr>
      <w:r>
        <w:rPr>
          <w:b/>
          <w:bCs/>
          <w:color w:val="2E86C1"/>
          <w:sz w:val="20"/>
          <w:szCs w:val="20"/>
        </w:rPr>
        <w:t xml:space="preserve">▪  </w:t>
      </w:r>
      <w:r>
        <w:rPr>
          <w:b/>
          <w:bCs/>
          <w:color w:val="1A1A2E"/>
          <w:sz w:val="20"/>
          <w:szCs w:val="20"/>
        </w:rPr>
        <w:t xml:space="preserve">Free-to-Paid Conversion Rate: </w:t>
      </w:r>
      <w:r>
        <w:rPr>
          <w:color w:val="1A1A2E"/>
          <w:sz w:val="20"/>
          <w:szCs w:val="20"/>
        </w:rPr>
        <w:t xml:space="preserve">Track weekly. Target ≥3% across all platforms. Low conversion signals the free tier is too generous or the paywall timing is off.</w:t>
      </w:r>
    </w:p>
    <w:p>
      <w:pPr>
        <w:spacing w:after="40" w:before="40" w:line="260"/>
        <w:ind w:left="360" w:hanging="259"/>
      </w:pPr>
      <w:r>
        <w:rPr>
          <w:b/>
          <w:bCs/>
          <w:color w:val="2E86C1"/>
          <w:sz w:val="20"/>
          <w:szCs w:val="20"/>
        </w:rPr>
        <w:t xml:space="preserve">▪  </w:t>
      </w:r>
      <w:r>
        <w:rPr>
          <w:b/>
          <w:bCs/>
          <w:color w:val="1A1A2E"/>
          <w:sz w:val="20"/>
          <w:szCs w:val="20"/>
        </w:rPr>
        <w:t xml:space="preserve">Monthly Churn Rate: </w:t>
      </w:r>
      <w:r>
        <w:rPr>
          <w:color w:val="1A1A2E"/>
          <w:sz w:val="20"/>
          <w:szCs w:val="20"/>
        </w:rPr>
        <w:t xml:space="preserve">Track for monthly subscribers. Target &lt;5%. High churn indicates product or value perception issues.</w:t>
      </w:r>
    </w:p>
    <w:p>
      <w:pPr>
        <w:spacing w:after="40" w:before="40" w:line="260"/>
        <w:ind w:left="360" w:hanging="259"/>
      </w:pPr>
      <w:r>
        <w:rPr>
          <w:b/>
          <w:bCs/>
          <w:color w:val="2E86C1"/>
          <w:sz w:val="20"/>
          <w:szCs w:val="20"/>
        </w:rPr>
        <w:t xml:space="preserve">▪  </w:t>
      </w:r>
      <w:r>
        <w:rPr>
          <w:b/>
          <w:bCs/>
          <w:color w:val="1A1A2E"/>
          <w:sz w:val="20"/>
          <w:szCs w:val="20"/>
        </w:rPr>
        <w:t xml:space="preserve">App Store Rating: </w:t>
      </w:r>
      <w:r>
        <w:rPr>
          <w:color w:val="1A1A2E"/>
          <w:sz w:val="20"/>
          <w:szCs w:val="20"/>
        </w:rPr>
        <w:t xml:space="preserve">Critical for organic discoverability. Target ≥4.3 stars on both stores. Actively prompt satisfied users to rate.</w:t>
      </w:r>
    </w:p>
    <w:p>
      <w:pPr>
        <w:spacing w:after="40" w:before="40" w:line="260"/>
        <w:ind w:left="360" w:hanging="259"/>
      </w:pPr>
      <w:r>
        <w:rPr>
          <w:b/>
          <w:bCs/>
          <w:color w:val="2E86C1"/>
          <w:sz w:val="20"/>
          <w:szCs w:val="20"/>
        </w:rPr>
        <w:t xml:space="preserve">▪  </w:t>
      </w:r>
      <w:r>
        <w:rPr>
          <w:b/>
          <w:bCs/>
          <w:color w:val="1A1A2E"/>
          <w:sz w:val="20"/>
          <w:szCs w:val="20"/>
        </w:rPr>
        <w:t xml:space="preserve">Trial-to-Paid Conversion: </w:t>
      </w:r>
      <w:r>
        <w:rPr>
          <w:color w:val="1A1A2E"/>
          <w:sz w:val="20"/>
          <w:szCs w:val="20"/>
        </w:rPr>
        <w:t xml:space="preserve">If offering a free trial period, target ≥35%. Improve with better onboarding and first-session value delivery.</w:t>
      </w:r>
    </w:p>
    <w:p>
      <w:pPr>
        <w:spacing w:after="40" w:before="40" w:line="260"/>
        <w:ind w:left="360" w:hanging="259"/>
      </w:pPr>
      <w:r>
        <w:rPr>
          <w:b/>
          <w:bCs/>
          <w:color w:val="2E86C1"/>
          <w:sz w:val="20"/>
          <w:szCs w:val="20"/>
        </w:rPr>
        <w:t xml:space="preserve">▪  </w:t>
      </w:r>
      <w:r>
        <w:rPr>
          <w:b/>
          <w:bCs/>
          <w:color w:val="1A1A2E"/>
          <w:sz w:val="20"/>
          <w:szCs w:val="20"/>
        </w:rPr>
        <w:t xml:space="preserve">Annual Plan Attach Rate: </w:t>
      </w:r>
      <w:r>
        <w:rPr>
          <w:color w:val="1A1A2E"/>
          <w:sz w:val="20"/>
          <w:szCs w:val="20"/>
        </w:rPr>
        <w:t xml:space="preserve">Percentage of subscribers who choose annual vs monthly. Target ≥35%. Higher annual attach = better cash flow and lower churn risk.</w:t>
      </w:r>
    </w:p>
    <w:p>
      <w:r>
        <w:br w:type="page"/>
      </w:r>
    </w:p>
    <w:p>
      <w:pPr>
        <w:pStyle w:val="Heading1"/>
        <w:pBdr>
          <w:bottom w:val="single" w:color="2E86C1" w:sz="6" w:space="4"/>
        </w:pBdr>
        <w:spacing w:after="160" w:before="360"/>
        <w:rPr>
          <w:b/>
          <w:bCs/>
          <w:color w:val="1B4F8A"/>
          <w:sz w:val="32"/>
          <w:szCs w:val="32"/>
        </w:rPr>
      </w:pPr>
      <w:r>
        <w:t xml:space="preserve">9. Risks &amp; Mitigations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4600"/>
      </w:tblGrid>
      <w:tr>
        <w:tc>
          <w:tcPr>
            <w:tcW w:type="dxa" w:w="26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Risk</w:t>
            </w:r>
          </w:p>
        </w:tc>
        <w:tc>
          <w:tcPr>
            <w:tcW w:type="dxa" w:w="11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Likelihood</w:t>
            </w:r>
          </w:p>
        </w:tc>
        <w:tc>
          <w:tcPr>
            <w:tcW w:type="dxa" w:w="10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Impact</w:t>
            </w:r>
          </w:p>
        </w:tc>
        <w:tc>
          <w:tcPr>
            <w:tcW w:type="dxa" w:w="4600"/>
            <w:tcBorders>
              <w:top w:val="single" w:color="FFFFFF" w:sz="1"/>
              <w:left w:val="single" w:color="FFFFFF" w:sz="1"/>
              <w:bottom w:val="single" w:color="FFFFFF" w:sz="1"/>
              <w:right w:val="single" w:color="FFFFFF" w:sz="1"/>
            </w:tcBorders>
            <w:shd w:fill="1B4F8A" w:val="clear"/>
            <w:tcMar>
              <w:top w:type="dxa" w:w="80"/>
              <w:left w:type="dxa" w:w="80"/>
              <w:bottom w:type="dxa" w:w="80"/>
              <w:right w:type="dxa" w:w="80"/>
            </w:tcMar>
          </w:tcPr>
          <w:p>
            <w:pPr>
              <w:jc w:val="center"/>
            </w:pPr>
            <w:r>
              <w:rPr>
                <w:b/>
                <w:bCs/>
                <w:color w:val="FFFFFF"/>
                <w:sz w:val="18"/>
                <w:szCs w:val="18"/>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iOS networking restrictions limit protocol server usefulness on iPhone</w:t>
            </w:r>
          </w:p>
        </w:tc>
        <w:tc>
          <w:tcPr>
            <w:tcW w:type="dxa" w:w="1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Medium</w:t>
            </w:r>
          </w:p>
        </w:tc>
        <w:tc>
          <w:tcPr>
            <w:tcW w:type="dxa" w:w="4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Clear in-app documentation; recommend iPad/desktop for protocol hosting; focus iOS marketing on LD/ST/HMI features</w:t>
            </w:r>
          </w:p>
        </w:tc>
      </w:tr>
      <w:tr>
        <w:tc>
          <w:tcPr>
            <w:tcW w:type="dxa" w:w="2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App Store rejection due to industrial/safety claim misread</w:t>
            </w:r>
          </w:p>
        </w:tc>
        <w:tc>
          <w:tcPr>
            <w:tcW w:type="dxa" w:w="1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Medium</w:t>
            </w:r>
          </w:p>
        </w:tc>
        <w:tc>
          <w:tcPr>
            <w:tcW w:type="dxa" w:w="1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High</w:t>
            </w:r>
          </w:p>
        </w:tc>
        <w:tc>
          <w:tcPr>
            <w:tcW w:type="dxa" w:w="4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Include explicit SIMULATOR / NON-SAFETY warnings in app description and onboarding; follow Apple's guidelines for tools apps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Low organic discoverability in early months</w:t>
            </w:r>
          </w:p>
        </w:tc>
        <w:tc>
          <w:tcPr>
            <w:tcW w:type="dxa" w:w="1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Medium</w:t>
            </w:r>
          </w:p>
        </w:tc>
        <w:tc>
          <w:tcPr>
            <w:tcW w:type="dxa" w:w="4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Allocate $250/month to Apple Search Ads and Google App Campaigns from day one; target specific automation keywords</w:t>
            </w:r>
          </w:p>
        </w:tc>
      </w:tr>
      <w:tr>
        <w:tc>
          <w:tcPr>
            <w:tcW w:type="dxa" w:w="2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Competitor releases a mobile product</w:t>
            </w:r>
          </w:p>
        </w:tc>
        <w:tc>
          <w:tcPr>
            <w:tcW w:type="dxa" w:w="1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Low</w:t>
            </w:r>
          </w:p>
        </w:tc>
        <w:tc>
          <w:tcPr>
            <w:tcW w:type="dxa" w:w="1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High</w:t>
            </w:r>
          </w:p>
        </w:tc>
        <w:tc>
          <w:tcPr>
            <w:tcW w:type="dxa" w:w="4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First-mover advantage and protocol depth are defensible; deepen feature moat with features competitors cannot ship quickly (e.g. Sparkplug B, DNP3)</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High free-tier churn / low conversion</w:t>
            </w:r>
          </w:p>
        </w:tc>
        <w:tc>
          <w:tcPr>
            <w:tcW w:type="dxa" w:w="1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Medium</w:t>
            </w:r>
          </w:p>
        </w:tc>
        <w:tc>
          <w:tcPr>
            <w:tcW w:type="dxa" w:w="4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Conduct 14-day free trial instead of unlimited free tier if conversion is below 2%; A/B test paywall placement</w:t>
            </w:r>
          </w:p>
        </w:tc>
      </w:tr>
      <w:tr>
        <w:tc>
          <w:tcPr>
            <w:tcW w:type="dxa" w:w="2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left"/>
            </w:pPr>
            <w:r>
              <w:rPr>
                <w:b w:val="false"/>
                <w:bCs w:val="false"/>
                <w:color w:val="1A1A2E"/>
                <w:sz w:val="18"/>
                <w:szCs w:val="18"/>
              </w:rPr>
              <w:t xml:space="preserve">App Store policy changes increase commission</w:t>
            </w:r>
          </w:p>
        </w:tc>
        <w:tc>
          <w:tcPr>
            <w:tcW w:type="dxa" w:w="11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Low</w:t>
            </w:r>
          </w:p>
        </w:tc>
        <w:tc>
          <w:tcPr>
            <w:tcW w:type="dxa" w:w="10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Medium</w:t>
            </w:r>
          </w:p>
        </w:tc>
        <w:tc>
          <w:tcPr>
            <w:tcW w:type="dxa" w:w="4600"/>
            <w:tcBorders>
              <w:top w:val="single" w:color="D1D5DB" w:sz="1"/>
              <w:left w:val="single" w:color="D1D5DB" w:sz="1"/>
              <w:bottom w:val="single" w:color="D1D5DB" w:sz="1"/>
              <w:right w:val="single" w:color="D1D5DB" w:sz="1"/>
            </w:tcBorders>
            <w:shd w:fill="F4F6F8" w:val="clear"/>
            <w:tcMar>
              <w:top w:type="dxa" w:w="60"/>
              <w:left w:type="dxa" w:w="80"/>
              <w:bottom w:type="dxa" w:w="60"/>
              <w:right w:type="dxa" w:w="80"/>
            </w:tcMar>
          </w:tcPr>
          <w:p>
            <w:pPr>
              <w:jc w:val="right"/>
            </w:pPr>
            <w:r>
              <w:rPr>
                <w:b w:val="false"/>
                <w:bCs w:val="false"/>
                <w:color w:val="1A1A2E"/>
                <w:sz w:val="18"/>
                <w:szCs w:val="18"/>
              </w:rPr>
              <w:t xml:space="preserve">Build Windows direct sales as an independent revenue channel from day one to reduce platform dependency</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left"/>
            </w:pPr>
            <w:r>
              <w:rPr>
                <w:b w:val="false"/>
                <w:bCs w:val="false"/>
                <w:color w:val="1A1A2E"/>
                <w:sz w:val="18"/>
                <w:szCs w:val="18"/>
              </w:rPr>
              <w:t xml:space="preserve">Student users abuse free tier without converting</w:t>
            </w:r>
          </w:p>
        </w:tc>
        <w:tc>
          <w:tcPr>
            <w:tcW w:type="dxa" w:w="1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Low</w:t>
            </w:r>
          </w:p>
        </w:tc>
        <w:tc>
          <w:tcPr>
            <w:tcW w:type="dxa" w:w="4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jc w:val="right"/>
            </w:pPr>
            <w:r>
              <w:rPr>
                <w:b w:val="false"/>
                <w:bCs w:val="false"/>
                <w:color w:val="1A1A2E"/>
                <w:sz w:val="18"/>
                <w:szCs w:val="18"/>
              </w:rPr>
              <w:t xml:space="preserve">Free tier limited to LD language only — professionals need ST, FBD, SFC within days; students convert at graduation/employment</w:t>
            </w:r>
          </w:p>
        </w:tc>
      </w:tr>
    </w:tbl>
    <w:p>
      <w:r>
        <w:br w:type="page"/>
      </w:r>
    </w:p>
    <w:p>
      <w:pPr>
        <w:pStyle w:val="Heading1"/>
        <w:pBdr>
          <w:bottom w:val="single" w:color="2E86C1" w:sz="6" w:space="4"/>
        </w:pBdr>
        <w:spacing w:after="160" w:before="360"/>
        <w:rPr>
          <w:b/>
          <w:bCs/>
          <w:color w:val="1B4F8A"/>
          <w:sz w:val="32"/>
          <w:szCs w:val="32"/>
        </w:rPr>
      </w:pPr>
      <w:r>
        <w:t xml:space="preserve">10. Conclusion &amp; Recommended Next Steps</w:t>
      </w:r>
    </w:p>
    <w:p>
      <w:pPr>
        <w:spacing w:after="120" w:before="60" w:line="276"/>
        <w:jc w:val="both"/>
      </w:pPr>
      <w:r>
        <w:rPr>
          <w:b w:val="false"/>
          <w:bCs w:val="false"/>
          <w:i w:val="false"/>
          <w:iCs w:val="false"/>
          <w:color w:val="1A1A2E"/>
          <w:sz w:val="20"/>
          <w:szCs w:val="20"/>
        </w:rPr>
        <w:t xml:space="preserve">The Mobile Soft PLC Simulator occupies a genuinely unique position in the industrial automation software market. Every serious competitor is Windows-only and desktop-focused. No product on the App Store or Google Play matches its combination of all five IEC 61131-3 languages with real, in-app industrial protocol servers. The timing is favourable: the industrial automation training market is valued at $7.5 billion and growing at 6.4% annually, engineering workforce shortages are at critical levels, and 77% of manufacturing leaders increased their automation software budgets in 2026.</w:t>
      </w:r>
    </w:p>
    <w:p>
      <w:pPr>
        <w:spacing w:after="120" w:before="60" w:line="276"/>
        <w:jc w:val="both"/>
      </w:pPr>
      <w:r>
        <w:rPr>
          <w:b w:val="false"/>
          <w:bCs w:val="false"/>
          <w:i w:val="false"/>
          <w:iCs w:val="false"/>
          <w:color w:val="1A1A2E"/>
          <w:sz w:val="20"/>
          <w:szCs w:val="20"/>
        </w:rPr>
        <w:t xml:space="preserve">The recommended commercial model — freemium subscription on mobile with a direct perpetual licence on Windows — maximises discoverability, captures professional-grade pricing power, and builds a compounding revenue base from year one. Under the base case scenario, this approach is projected to generate approximately $30,500 in net profit in Year 1 with modest marketing spend, scaling significantly in Year 2 as the subscriber base compounds and annual renewals begin.</w:t>
      </w:r>
    </w:p>
    <w:p>
      <w:pPr>
        <w:spacing w:after="120" w:before="60" w:line="276"/>
        <w:jc w:val="both"/>
      </w:pPr>
      <w:r>
        <w:rPr>
          <w:b w:val="false"/>
          <w:bCs w:val="false"/>
          <w:i w:val="false"/>
          <w:iCs w:val="false"/>
          <w:color w:val="1A1A2E"/>
          <w:sz w:val="20"/>
          <w:szCs w:val="20"/>
        </w:rPr>
        <w:t xml:space="preserve">The path to success is execution: launch both mobile stores simultaneously, invest in App Store ratings from day one, engage the automation community on YouTube and LinkedIn, and close at least one education partnership in the first six months. The product is ready. The market is waiting.</w:t>
      </w:r>
    </w:p>
    <w:p>
      <w:pPr>
        <w:spacing w:after="80" w:before="0"/>
      </w:pPr>
    </w:p>
    <w:p>
      <w:pPr>
        <w:pStyle w:val="Heading2"/>
        <w:spacing w:after="120" w:before="280"/>
        <w:rPr>
          <w:b/>
          <w:bCs/>
          <w:color w:val="1B4F8A"/>
          <w:sz w:val="26"/>
          <w:szCs w:val="26"/>
        </w:rPr>
      </w:pPr>
      <w:r>
        <w:t xml:space="preserve">Recommended Immediate Actions</w:t>
      </w:r>
    </w:p>
    <w:p>
      <w:pPr>
        <w:spacing w:after="40" w:before="40" w:line="260"/>
        <w:ind w:left="360" w:hanging="259"/>
      </w:pPr>
      <w:r>
        <w:rPr>
          <w:b/>
          <w:bCs/>
          <w:color w:val="2E86C1"/>
          <w:sz w:val="20"/>
          <w:szCs w:val="20"/>
        </w:rPr>
        <w:t xml:space="preserve">▪  </w:t>
      </w:r>
      <w:r>
        <w:rPr>
          <w:b/>
          <w:bCs/>
          <w:color w:val="1A1A2E"/>
          <w:sz w:val="20"/>
          <w:szCs w:val="20"/>
        </w:rPr>
        <w:t xml:space="preserve">1. Register for Apple Developer Program ($99/year) </w:t>
      </w:r>
      <w:r>
        <w:rPr>
          <w:color w:val="1A1A2E"/>
          <w:sz w:val="20"/>
          <w:szCs w:val="20"/>
        </w:rPr>
        <w:t xml:space="preserve">and enrol in the Small Business Program immediately — do not wait.</w:t>
      </w:r>
    </w:p>
    <w:p>
      <w:pPr>
        <w:spacing w:after="40" w:before="40" w:line="260"/>
        <w:ind w:left="360" w:hanging="259"/>
      </w:pPr>
      <w:r>
        <w:rPr>
          <w:b/>
          <w:bCs/>
          <w:color w:val="2E86C1"/>
          <w:sz w:val="20"/>
          <w:szCs w:val="20"/>
        </w:rPr>
        <w:t xml:space="preserve">▪  </w:t>
      </w:r>
      <w:r>
        <w:rPr>
          <w:b/>
          <w:bCs/>
          <w:color w:val="1A1A2E"/>
          <w:sz w:val="20"/>
          <w:szCs w:val="20"/>
        </w:rPr>
        <w:t xml:space="preserve">2. Create Google Play Developer account ($25 one-time) </w:t>
      </w:r>
      <w:r>
        <w:rPr>
          <w:color w:val="1A1A2E"/>
          <w:sz w:val="20"/>
          <w:szCs w:val="20"/>
        </w:rPr>
        <w:t xml:space="preserve">and configure subscriptions in Play Console.</w:t>
      </w:r>
    </w:p>
    <w:p>
      <w:pPr>
        <w:spacing w:after="40" w:before="40" w:line="260"/>
        <w:ind w:left="360" w:hanging="259"/>
      </w:pPr>
      <w:r>
        <w:rPr>
          <w:b/>
          <w:bCs/>
          <w:color w:val="2E86C1"/>
          <w:sz w:val="20"/>
          <w:szCs w:val="20"/>
        </w:rPr>
        <w:t xml:space="preserve">▪  </w:t>
      </w:r>
      <w:r>
        <w:rPr>
          <w:b/>
          <w:bCs/>
          <w:color w:val="1A1A2E"/>
          <w:sz w:val="20"/>
          <w:szCs w:val="20"/>
        </w:rPr>
        <w:t xml:space="preserve">3. Register business entity </w:t>
      </w:r>
      <w:r>
        <w:rPr>
          <w:color w:val="1A1A2E"/>
          <w:sz w:val="20"/>
          <w:szCs w:val="20"/>
        </w:rPr>
        <w:t xml:space="preserve">(sole trader or company) and set up a business bank account to receive app store payments.</w:t>
      </w:r>
    </w:p>
    <w:p>
      <w:pPr>
        <w:spacing w:after="40" w:before="40" w:line="260"/>
        <w:ind w:left="360" w:hanging="259"/>
      </w:pPr>
      <w:r>
        <w:rPr>
          <w:b/>
          <w:bCs/>
          <w:color w:val="2E86C1"/>
          <w:sz w:val="20"/>
          <w:szCs w:val="20"/>
        </w:rPr>
        <w:t xml:space="preserve">▪  </w:t>
      </w:r>
      <w:r>
        <w:rPr>
          <w:b/>
          <w:bCs/>
          <w:color w:val="1A1A2E"/>
          <w:sz w:val="20"/>
          <w:szCs w:val="20"/>
        </w:rPr>
        <w:t xml:space="preserve">4. Build product website </w:t>
      </w:r>
      <w:r>
        <w:rPr>
          <w:color w:val="1A1A2E"/>
          <w:sz w:val="20"/>
          <w:szCs w:val="20"/>
        </w:rPr>
        <w:t xml:space="preserve">(a simple Webflow or Framer site is sufficient) with a Stripe/Paddle-powered Windows checkout and an email capture for launch notifications.</w:t>
      </w:r>
    </w:p>
    <w:p>
      <w:pPr>
        <w:spacing w:after="40" w:before="40" w:line="260"/>
        <w:ind w:left="360" w:hanging="259"/>
      </w:pPr>
      <w:r>
        <w:rPr>
          <w:b/>
          <w:bCs/>
          <w:color w:val="2E86C1"/>
          <w:sz w:val="20"/>
          <w:szCs w:val="20"/>
        </w:rPr>
        <w:t xml:space="preserve">▪  </w:t>
      </w:r>
      <w:r>
        <w:rPr>
          <w:b/>
          <w:bCs/>
          <w:color w:val="1A1A2E"/>
          <w:sz w:val="20"/>
          <w:szCs w:val="20"/>
        </w:rPr>
        <w:t xml:space="preserve">5. Finalise free tier scope: </w:t>
      </w:r>
      <w:r>
        <w:rPr>
          <w:color w:val="1A1A2E"/>
          <w:sz w:val="20"/>
          <w:szCs w:val="20"/>
        </w:rPr>
        <w:t xml:space="preserve">Ladder Logic only, 1 project, 50-tag limit — gate ST, FBD, SFC, protocol servers, and HMI builder behind Pro.</w:t>
      </w:r>
    </w:p>
    <w:p>
      <w:pPr>
        <w:spacing w:after="40" w:before="40" w:line="260"/>
        <w:ind w:left="360" w:hanging="259"/>
      </w:pPr>
      <w:r>
        <w:rPr>
          <w:b/>
          <w:bCs/>
          <w:color w:val="2E86C1"/>
          <w:sz w:val="20"/>
          <w:szCs w:val="20"/>
        </w:rPr>
        <w:t xml:space="preserve">▪  </w:t>
      </w:r>
      <w:r>
        <w:rPr>
          <w:b/>
          <w:bCs/>
          <w:color w:val="1A1A2E"/>
          <w:sz w:val="20"/>
          <w:szCs w:val="20"/>
        </w:rPr>
        <w:t xml:space="preserve">6. Configure 14-day full-feature trial </w:t>
      </w:r>
      <w:r>
        <w:rPr>
          <w:color w:val="1A1A2E"/>
          <w:sz w:val="20"/>
          <w:szCs w:val="20"/>
        </w:rPr>
        <w:t xml:space="preserve">on both mobile platforms before the paywall engages.</w:t>
      </w:r>
    </w:p>
    <w:p>
      <w:pPr>
        <w:spacing w:after="40" w:before="40" w:line="260"/>
        <w:ind w:left="360" w:hanging="259"/>
      </w:pPr>
      <w:r>
        <w:rPr>
          <w:b/>
          <w:bCs/>
          <w:color w:val="2E86C1"/>
          <w:sz w:val="20"/>
          <w:szCs w:val="20"/>
        </w:rPr>
        <w:t xml:space="preserve">▪  </w:t>
      </w:r>
      <w:r>
        <w:rPr>
          <w:b/>
          <w:bCs/>
          <w:color w:val="1A1A2E"/>
          <w:sz w:val="20"/>
          <w:szCs w:val="20"/>
        </w:rPr>
        <w:t xml:space="preserve">7. Prepare launch content: </w:t>
      </w:r>
      <w:r>
        <w:rPr>
          <w:color w:val="1A1A2E"/>
          <w:sz w:val="20"/>
          <w:szCs w:val="20"/>
        </w:rPr>
        <w:t xml:space="preserve">2–3 YouTube tutorial videos demonstrating protocol testing (OPC UA + Ignition, Modbus + Kepware) and ladder logic execution ready for day-one upload.</w:t>
      </w:r>
    </w:p>
    <w:p>
      <w:pPr>
        <w:spacing w:after="40" w:before="40" w:line="260"/>
        <w:ind w:left="360" w:hanging="259"/>
      </w:pPr>
      <w:r>
        <w:rPr>
          <w:b/>
          <w:bCs/>
          <w:color w:val="2E86C1"/>
          <w:sz w:val="20"/>
          <w:szCs w:val="20"/>
        </w:rPr>
        <w:t xml:space="preserve">▪  </w:t>
      </w:r>
      <w:r>
        <w:rPr>
          <w:b/>
          <w:bCs/>
          <w:color w:val="1A1A2E"/>
          <w:sz w:val="20"/>
          <w:szCs w:val="20"/>
        </w:rPr>
        <w:t xml:space="preserve">8. Set up analytics: </w:t>
      </w:r>
      <w:r>
        <w:rPr>
          <w:color w:val="1A1A2E"/>
          <w:sz w:val="20"/>
          <w:szCs w:val="20"/>
        </w:rPr>
        <w:t xml:space="preserve">RevenueCat for subscription analytics (free tier available), Firebase for usage analytics, and a simple spreadsheet for weekly MRR tracking.</w:t>
      </w:r>
    </w:p>
    <w:p>
      <w:pPr>
        <w:spacing w:after="120" w:before="0"/>
      </w:pPr>
    </w:p>
    <w:p>
      <w:pPr>
        <w:shd w:fill="F4F6F8" w:val="clear"/>
        <w:spacing w:after="100" w:before="100"/>
        <w:ind w:left="288" w:right="288"/>
      </w:pPr>
      <w:r>
        <w:rPr>
          <w:b/>
          <w:bCs/>
          <w:color w:val="6B7280"/>
          <w:sz w:val="20"/>
          <w:szCs w:val="20"/>
        </w:rPr>
        <w:t xml:space="preserve">ℹ  </w:t>
      </w:r>
      <w:r>
        <w:rPr>
          <w:i w:val="false"/>
          <w:iCs w:val="false"/>
          <w:color w:val="6B7280"/>
          <w:sz w:val="20"/>
          <w:szCs w:val="20"/>
        </w:rPr>
        <w:t xml:space="preserve">This report was prepared in July 2026 using publicly available market research data and industry benchmark statistics. All projections are estimates intended for planning purposes only and should not be relied upon as guarantees of commercial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Calibri" w:cs="Calibri" w:eastAsia="Calibri" w:hAnsi="Calibri"/>
      <w:b/>
      <w:bCs/>
      <w:color w:val="1B4F8A"/>
      <w:sz w:val="32"/>
      <w:szCs w:val="32"/>
    </w:rPr>
  </w:style>
  <w:style w:type="paragraph" w:styleId="Heading2">
    <w:name w:val="Heading 2"/>
    <w:basedOn w:val="Normal"/>
    <w:next w:val="Normal"/>
    <w:pPr>
      <w:spacing w:after="120" w:before="280"/>
    </w:pPr>
    <w:rPr>
      <w:rFonts w:ascii="Calibri" w:cs="Calibri" w:eastAsia="Calibri" w:hAnsi="Calibri"/>
      <w:b/>
      <w:bCs/>
      <w:color w:val="1B4F8A"/>
      <w:sz w:val="26"/>
      <w:szCs w:val="26"/>
    </w:rPr>
  </w:style>
  <w:style w:type="paragraph" w:styleId="Heading3">
    <w:name w:val="Heading 3"/>
    <w:basedOn w:val="Normal"/>
    <w:next w:val="Normal"/>
    <w:pPr>
      <w:spacing w:after="80" w:before="200"/>
    </w:pPr>
    <w:rPr>
      <w:rFonts w:ascii="Calibri" w:cs="Calibri" w:eastAsia="Calibri" w:hAnsi="Calibri"/>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Soft PLC Simulator — Business Analysis &amp; Year-1 Forecast</dc:title>
  <dc:creator>Claude (Cowork)</dc:creator>
  <dc:description>Business model analysis, market research, and financial projections</dc:description>
  <cp:lastModifiedBy>Un-named</cp:lastModifiedBy>
  <cp:revision>1</cp:revision>
  <dcterms:created xsi:type="dcterms:W3CDTF">2026-07-19T00:22:00.943Z</dcterms:created>
  <dcterms:modified xsi:type="dcterms:W3CDTF">2026-07-19T00:22:00.943Z</dcterms:modified>
</cp:coreProperties>
</file>

<file path=docProps/custom.xml><?xml version="1.0" encoding="utf-8"?>
<Properties xmlns="http://schemas.openxmlformats.org/officeDocument/2006/custom-properties" xmlns:vt="http://schemas.openxmlformats.org/officeDocument/2006/docPropsVTypes"/>
</file>