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60"/>
          <w:szCs w:val="60"/>
        </w:rPr>
      </w:pPr>
    </w:p>
    <w:p>
      <w:pPr>
        <w:jc w:val="center"/>
        <w:rPr>
          <w:rFonts w:hint="eastAsia"/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600" w:lineRule="auto"/>
        <w:ind w:firstLine="643" w:firstLineChars="200"/>
        <w:jc w:val="center"/>
        <w:rPr>
          <w:rFonts w:hint="eastAsia"/>
          <w:b/>
          <w:snapToGrid w:val="0"/>
          <w:kern w:val="0"/>
          <w:sz w:val="32"/>
          <w:szCs w:val="32"/>
          <w:u w:val="single"/>
        </w:rPr>
      </w:pPr>
    </w:p>
    <w:tbl>
      <w:tblPr>
        <w:tblStyle w:val="6"/>
        <w:tblpPr w:leftFromText="180" w:rightFromText="180" w:vertAnchor="text" w:horzAnchor="page" w:tblpX="2180" w:tblpY="184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桥号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qiaohao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桥名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qiaoming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孔跨号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kongkuahao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孔跨数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kongkuanum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评定时间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pingdingdate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  <w:sectPr>
          <w:footerReference r:id="rId3" w:type="default"/>
          <w:pgSz w:w="11906" w:h="16838"/>
          <w:pgMar w:top="1134" w:right="567" w:bottom="1134" w:left="1134" w:header="851" w:footer="454" w:gutter="0"/>
          <w:cols w:space="425" w:num="1"/>
          <w:docGrid w:type="lines" w:linePitch="312" w:charSpace="0"/>
        </w:sectPr>
      </w:pPr>
      <w:r>
        <w:rPr>
          <w:rFonts w:hint="eastAsia"/>
          <w:b/>
          <w:sz w:val="36"/>
          <w:szCs w:val="36"/>
        </w:rPr>
        <w:br w:type="page"/>
      </w:r>
    </w:p>
    <w:p>
      <w:pPr>
        <w:snapToGrid w:val="0"/>
        <w:spacing w:before="156" w:beforeLines="50" w:line="300" w:lineRule="auto"/>
        <w:jc w:val="center"/>
        <w:outlineLvl w:val="0"/>
        <w:rPr>
          <w:rFonts w:hint="eastAsia" w:eastAsia="黑体"/>
          <w:snapToGrid w:val="0"/>
          <w:kern w:val="0"/>
          <w:sz w:val="28"/>
          <w:szCs w:val="20"/>
        </w:rPr>
      </w:pPr>
      <w:r>
        <w:rPr>
          <w:rFonts w:eastAsia="黑体"/>
          <w:snapToGrid w:val="0"/>
          <w:kern w:val="0"/>
          <w:sz w:val="28"/>
          <w:szCs w:val="20"/>
          <w:u w:val="single"/>
        </w:rPr>
        <w:t xml:space="preserve"> </w:t>
      </w:r>
      <w:bookmarkStart w:id="0" w:name="_Toc388604934"/>
      <w:r>
        <w:rPr>
          <w:rFonts w:hint="eastAsia" w:eastAsia="黑体"/>
          <w:snapToGrid w:val="0"/>
          <w:kern w:val="0"/>
          <w:sz w:val="28"/>
          <w:szCs w:val="20"/>
          <w:u w:val="single"/>
        </w:rPr>
        <w:t>支座</w:t>
      </w:r>
      <w:r>
        <w:rPr>
          <w:rFonts w:eastAsia="黑体"/>
          <w:snapToGrid w:val="0"/>
          <w:kern w:val="0"/>
          <w:sz w:val="28"/>
          <w:szCs w:val="20"/>
          <w:u w:val="single"/>
        </w:rPr>
        <w:t xml:space="preserve"> </w:t>
      </w:r>
      <w:r>
        <w:rPr>
          <w:rFonts w:eastAsia="黑体"/>
          <w:snapToGrid w:val="0"/>
          <w:kern w:val="0"/>
          <w:sz w:val="28"/>
          <w:szCs w:val="20"/>
        </w:rPr>
        <w:t>劣化等级评定表</w:t>
      </w:r>
      <w:bookmarkEnd w:id="0"/>
      <w:r>
        <w:rPr>
          <w:rFonts w:hint="eastAsia" w:eastAsia="黑体"/>
          <w:snapToGrid w:val="0"/>
          <w:kern w:val="0"/>
          <w:sz w:val="28"/>
          <w:szCs w:val="20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1656"/>
        <w:gridCol w:w="1402"/>
        <w:gridCol w:w="2209"/>
        <w:gridCol w:w="2546"/>
        <w:gridCol w:w="1529"/>
        <w:gridCol w:w="849"/>
        <w:gridCol w:w="849"/>
        <w:gridCol w:w="3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2093" w:type="dxa"/>
            <w:gridSpan w:val="2"/>
            <w:shd w:val="clear" w:color="auto" w:fill="auto"/>
            <w:vAlign w:val="center"/>
          </w:tcPr>
          <w:p>
            <w:pPr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328420" cy="389890"/>
                      <wp:effectExtent l="1270" t="4445" r="3810" b="571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8420" cy="389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-0.35pt;height:30.7pt;width:104.6pt;z-index:251661312;mso-width-relative:page;mso-height-relative:page;" filled="f" stroked="t" coordsize="21600,21600" o:gfxdata="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2qyZXWAAAACAEA&#10;AA8AAAAAAAAAAQAgAAAAIgAAAGRycy9kb3ducmV2LnhtbFBLAQIUABQAAAAIAIdO4kB/HfMG4wEA&#10;AJ0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>
            <w:r>
              <w:t>劣化类型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A1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铸钢支座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钢部件裂损或脱焊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主要部位折断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裂纹深度达10mm或主要受力部位脱焊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①裂纹深度达5mm但小于10mm；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②非主要受力部位脱焊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微裂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judge601011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刚部件锈蚀、磨损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变形陷凹≥3mm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变形陷凹达1mm小于3mm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①变形陷凹＜1mm；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②锈蚀剥落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锈蚀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轻微</w:t>
            </w:r>
          </w:p>
          <w:p>
            <w:pPr>
              <w:jc w:val="center"/>
            </w:pPr>
            <w:r>
              <w:rPr>
                <w:rFonts w:hint="eastAsia"/>
              </w:rPr>
              <w:t>锈蚀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judge601021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销钉、锚(螺)栓剪断或锚(螺)栓松动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①销钉剪断；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②锚栓剪断数量≥50%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①锚栓剪断数量达25%但小于50%；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②螺杆松动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锚栓剪断＜25%、螺帽松动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锚帽</w:t>
            </w:r>
          </w:p>
          <w:p>
            <w:pPr>
              <w:jc w:val="center"/>
            </w:pPr>
            <w:r>
              <w:rPr>
                <w:rFonts w:hint="eastAsia"/>
              </w:rPr>
              <w:t>松动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judge601031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牙板挤死、折断或辊轴连杆螺栓剪断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①牙板折断；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②辊轴连杆螺丝剪断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牙板挤死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judge601041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活动支座不活动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支座不活动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judge601051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位移或转角超限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①位移纵向＞5mm、横向＞2mm；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②倾斜度超过规定限值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位移纵向≤5mm、横向≤2mm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judge601061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上、下座板与梁底及支撑垫石不密贴或垫石劣化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支撑垫石裂损，影响支座受力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①缝隙≥2mm，深度≥支座相应边长25%；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②翻浆、积水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1mm≤缝隙＜2mm，深度＞50mm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缝隙小于1mm深度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judge601071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支撑垫石翻浆，积水和开裂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垫石裂损</w:t>
            </w:r>
          </w:p>
        </w:tc>
        <w:tc>
          <w:tcPr>
            <w:tcW w:w="25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翻浆，积水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judge601081</w:t>
            </w:r>
          </w:p>
        </w:tc>
        <w:tc>
          <w:tcPr>
            <w:tcW w:w="33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desc601081</w:t>
            </w:r>
          </w:p>
        </w:tc>
      </w:tr>
    </w:tbl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398145</wp:posOffset>
                </wp:positionV>
                <wp:extent cx="1210945" cy="389890"/>
                <wp:effectExtent l="1270" t="4445" r="6985" b="57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945" cy="389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05pt;margin-top:31.35pt;height:30.7pt;width:95.35pt;z-index:251662336;mso-width-relative:page;mso-height-relative:page;" filled="f" stroked="t" coordsize="21600,21600" o:gfxdata="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t9WVrYAAAACgEA&#10;AA8AAAAAAAAAAQAgAAAAIgAAAGRycy9kb3ducmV2LnhtbFBLAQIUABQAAAAIAIdO4kD+pEbz4QEA&#10;AJ0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支座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1508"/>
        <w:gridCol w:w="1700"/>
        <w:gridCol w:w="1984"/>
        <w:gridCol w:w="2552"/>
        <w:gridCol w:w="1700"/>
        <w:gridCol w:w="1278"/>
        <w:gridCol w:w="123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952" w:type="dxa"/>
            <w:gridSpan w:val="2"/>
            <w:shd w:val="clear" w:color="auto" w:fill="auto"/>
            <w:vAlign w:val="center"/>
          </w:tcPr>
          <w:p>
            <w:pPr>
              <w:jc w:val="right"/>
            </w:pPr>
            <w:r>
              <w:t>劣化等级</w:t>
            </w:r>
          </w:p>
          <w:p>
            <w:r>
              <w:t>劣化类型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A1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4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板式橡胶支座</w:t>
            </w: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裂纹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裂缝宽度f＞2mm且水平裂缝连续长度达相应边长的50%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裂缝宽度f＞2mm且水平裂缝连续长度达相应边长的25%，但小于50%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1mm＜f≤2mm且水平裂缝连续长度达相应边长的25%，但小于50%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0.5</w:t>
            </w:r>
            <w:r>
              <w:rPr>
                <w:rFonts w:hint="eastAsia"/>
              </w:rPr>
              <w:t>mm＜</w:t>
            </w:r>
            <w:r>
              <w:t>f</w:t>
            </w:r>
            <w:r>
              <w:rPr>
                <w:rFonts w:hint="eastAsia"/>
              </w:rPr>
              <w:t>≤1mm且水平裂缝连续长度小于相应边长的25%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龟裂，裂缝宽度小于0.5mm，无水平裂缝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judge602011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钢板外露或使用年度超限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外露长度大于100mm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局部外露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使用年度超过20年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judge602021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不均匀臌凸脱胶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沿支座一侧外臌，长度占相应边长的25%以上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沿支座一侧外臌，长度占相应边长的10~25%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沿支座一侧外臌，长度小于相应边长的10%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judge602031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desc602031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超限剪切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i/>
              </w:rPr>
              <w:t>tgα</w:t>
            </w:r>
            <w:r>
              <w:rPr>
                <w:rFonts w:hint="eastAsia"/>
              </w:rPr>
              <w:t>＞0.45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judge602041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desc602041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支座位置串动或不密贴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串动量大于相应边长25%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串动量小于或等于相应边长的25%或有脱空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不密贴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judge602051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desc602051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3.盆式橡胶支座</w:t>
            </w: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钢件裂纹及变形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盆环开裂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其他部位开裂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盆底四角翘起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judge603011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钢件脱焊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盆环脱焊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非主要受力部位脱焊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judge603021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聚四氟乙烯板磨损(外露高度h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o</w:t>
            </w:r>
            <w:r>
              <w:rPr>
                <w:rFonts w:hint="eastAsia"/>
              </w:rPr>
              <w:t>＜0.2mm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0.2mm≤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＜0.5mm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0.5mm≤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＜1mm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≥</w:t>
            </w:r>
            <w:r>
              <w:t>1.0</w:t>
            </w:r>
            <w:r>
              <w:rPr>
                <w:rFonts w:hint="eastAsia"/>
              </w:rPr>
              <w:t>mm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judge603031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位移超限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聚四氟乙烯板滑出不锈钢板达10mm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聚四氟乙烯板滑出不锈钢板小于10mm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judge603041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转角超限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超出设计转角20%以上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超出设计转角10%~20%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超出设计转角小于10%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judge603051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锚栓剪断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剪断数量达50%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剪断数量达25%且小于50%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剪断数量小于25%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judge603061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钢盆锈蚀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支座下翻浆积水，锈蚀并剥落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锈蚀</w:t>
            </w:r>
          </w:p>
        </w:tc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轻微</w:t>
            </w:r>
          </w:p>
          <w:p>
            <w:pPr>
              <w:jc w:val="center"/>
            </w:pPr>
            <w:r>
              <w:rPr>
                <w:rFonts w:hint="eastAsia"/>
              </w:rPr>
              <w:t>锈蚀</w:t>
            </w:r>
          </w:p>
        </w:tc>
        <w:tc>
          <w:tcPr>
            <w:tcW w:w="1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judge603071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desc603071</w:t>
            </w:r>
          </w:p>
        </w:tc>
      </w:tr>
    </w:tbl>
    <w:p>
      <w:bookmarkStart w:id="1" w:name="_GoBack"/>
      <w:bookmarkEnd w:id="1"/>
    </w:p>
    <w:sectPr>
      <w:pgSz w:w="16838" w:h="11906" w:orient="landscape"/>
      <w:pgMar w:top="1247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21</w:t>
    </w:r>
    <w:r>
      <w:rPr>
        <w:rStyle w:val="4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C1E9C"/>
    <w:rsid w:val="7AE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2018-11-13T11:20:00Z</dcterms:created>
  <dc:creator>pwang</dc:creator>
  <cp:lastModifiedBy>pwang</cp:lastModifiedBy>
  <dcterms:modified xsi:type="dcterms:W3CDTF">2018-11-13T11:21:56Z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