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桥梁日常巡检记录</w:t>
      </w:r>
    </w:p>
    <w:tbl>
      <w:tblPr>
        <w:tblStyle w:val="4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394"/>
        <w:gridCol w:w="1193"/>
        <w:gridCol w:w="1684"/>
        <w:gridCol w:w="1289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桥号：</w:t>
            </w:r>
          </w:p>
        </w:tc>
        <w:tc>
          <w:tcPr>
            <w:tcW w:w="139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qiaohao</w:t>
            </w:r>
          </w:p>
        </w:tc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孔跨号：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kongkuahao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孔跨样式：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kongkuayangshi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桥名：</w:t>
            </w:r>
          </w:p>
        </w:tc>
        <w:tc>
          <w:tcPr>
            <w:tcW w:w="139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qiaoming</w:t>
            </w:r>
          </w:p>
        </w:tc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中心里程：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zhongxinlicheng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桥全长(m)：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qiaolength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混凝土梁：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chuli1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钢梁：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chuli2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墩台基础：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chuli3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支座：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chuli4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桥面：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chuli5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桥渡：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chuli6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其他问题：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chuli7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巡检单位：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shiyandanwei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巡检时间：</w:t>
            </w:r>
          </w:p>
        </w:tc>
        <w:tc>
          <w:tcPr>
            <w:tcW w:w="28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pingding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巡检人员：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pingdingren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录入人员：</w:t>
            </w:r>
          </w:p>
        </w:tc>
        <w:tc>
          <w:tcPr>
            <w:tcW w:w="28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lururen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55"/>
    <w:rsid w:val="006D1055"/>
    <w:rsid w:val="00B20418"/>
    <w:rsid w:val="47D5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</Words>
  <Characters>379</Characters>
  <Lines>3</Lines>
  <Paragraphs>1</Paragraphs>
  <TotalTime>0</TotalTime>
  <ScaleCrop>false</ScaleCrop>
  <LinksUpToDate>false</LinksUpToDate>
  <CharactersWithSpaces>444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2018-11-19T02:34:00Z</dcterms:created>
  <dc:creator>fulin</dc:creator>
  <cp:lastModifiedBy>pwang</cp:lastModifiedBy>
  <dcterms:modified xsi:type="dcterms:W3CDTF">2018-11-21T09:51:11Z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