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4BA" w:rsidRDefault="006B74BA">
      <w:pPr>
        <w:jc w:val="center"/>
        <w:rPr>
          <w:b/>
          <w:sz w:val="60"/>
          <w:szCs w:val="60"/>
        </w:rPr>
      </w:pPr>
    </w:p>
    <w:p w:rsidR="006B74BA" w:rsidRDefault="008A05EA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铁路桥梁劣化等级评定记录表</w:t>
      </w: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</w:pPr>
    </w:p>
    <w:p w:rsidR="006B74BA" w:rsidRDefault="006B74BA">
      <w:pPr>
        <w:jc w:val="center"/>
      </w:pPr>
    </w:p>
    <w:p w:rsidR="006B74BA" w:rsidRDefault="006B74BA">
      <w:pPr>
        <w:spacing w:line="600" w:lineRule="auto"/>
        <w:ind w:firstLineChars="200" w:firstLine="643"/>
        <w:jc w:val="center"/>
        <w:rPr>
          <w:b/>
          <w:snapToGrid w:val="0"/>
          <w:kern w:val="0"/>
          <w:sz w:val="32"/>
          <w:szCs w:val="32"/>
          <w:u w:val="single"/>
        </w:rPr>
      </w:pPr>
    </w:p>
    <w:tbl>
      <w:tblPr>
        <w:tblStyle w:val="a5"/>
        <w:tblpPr w:leftFromText="180" w:rightFromText="180" w:vertAnchor="text" w:horzAnchor="page" w:tblpX="2180" w:tblpY="184"/>
        <w:tblOverlap w:val="never"/>
        <w:tblW w:w="8560" w:type="dxa"/>
        <w:tblLayout w:type="fixed"/>
        <w:tblLook w:val="04A0" w:firstRow="1" w:lastRow="0" w:firstColumn="1" w:lastColumn="0" w:noHBand="0" w:noVBand="1"/>
      </w:tblPr>
      <w:tblGrid>
        <w:gridCol w:w="4280"/>
        <w:gridCol w:w="4280"/>
      </w:tblGrid>
      <w:tr w:rsidR="006B74BA">
        <w:trPr>
          <w:trHeight w:val="882"/>
        </w:trPr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桥号</w:t>
            </w:r>
          </w:p>
        </w:tc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qiaohao</w:t>
            </w:r>
          </w:p>
        </w:tc>
      </w:tr>
      <w:tr w:rsidR="006B74BA">
        <w:trPr>
          <w:trHeight w:val="882"/>
        </w:trPr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桥名</w:t>
            </w:r>
          </w:p>
        </w:tc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qiaoming</w:t>
            </w:r>
          </w:p>
        </w:tc>
      </w:tr>
      <w:tr w:rsidR="006B74BA">
        <w:trPr>
          <w:trHeight w:val="882"/>
        </w:trPr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孔跨号</w:t>
            </w:r>
          </w:p>
        </w:tc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kongkuahao</w:t>
            </w:r>
          </w:p>
        </w:tc>
      </w:tr>
      <w:tr w:rsidR="006B74BA">
        <w:trPr>
          <w:trHeight w:val="882"/>
        </w:trPr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孔跨数</w:t>
            </w:r>
          </w:p>
        </w:tc>
        <w:tc>
          <w:tcPr>
            <w:tcW w:w="4280" w:type="dxa"/>
            <w:vAlign w:val="center"/>
          </w:tcPr>
          <w:p w:rsidR="006B74BA" w:rsidRDefault="00CB29C5" w:rsidP="00CB29C5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b/>
                <w:snapToGrid w:val="0"/>
                <w:kern w:val="0"/>
                <w:sz w:val="32"/>
                <w:szCs w:val="32"/>
              </w:rPr>
              <w:t>K</w:t>
            </w:r>
            <w:r w:rsidR="008A05EA"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ongkua</w:t>
            </w: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shu</w:t>
            </w:r>
            <w:bookmarkStart w:id="0" w:name="_GoBack"/>
            <w:bookmarkEnd w:id="0"/>
          </w:p>
        </w:tc>
      </w:tr>
      <w:tr w:rsidR="006B74BA">
        <w:trPr>
          <w:trHeight w:val="893"/>
        </w:trPr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评定时间</w:t>
            </w:r>
          </w:p>
        </w:tc>
        <w:tc>
          <w:tcPr>
            <w:tcW w:w="4280" w:type="dxa"/>
            <w:vAlign w:val="center"/>
          </w:tcPr>
          <w:p w:rsidR="006B74BA" w:rsidRDefault="008A05EA">
            <w:pPr>
              <w:spacing w:line="600" w:lineRule="auto"/>
              <w:jc w:val="center"/>
              <w:rPr>
                <w:b/>
                <w:snapToGrid w:val="0"/>
                <w:kern w:val="0"/>
                <w:sz w:val="32"/>
                <w:szCs w:val="32"/>
              </w:rPr>
            </w:pPr>
            <w:r>
              <w:rPr>
                <w:rFonts w:hint="eastAsia"/>
                <w:b/>
                <w:snapToGrid w:val="0"/>
                <w:kern w:val="0"/>
                <w:sz w:val="32"/>
                <w:szCs w:val="32"/>
              </w:rPr>
              <w:t>pingdingdate</w:t>
            </w:r>
          </w:p>
        </w:tc>
      </w:tr>
    </w:tbl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8A05E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石家庄铁道大学工程检测中心</w:t>
      </w:r>
    </w:p>
    <w:p w:rsidR="006B74BA" w:rsidRDefault="006B74BA">
      <w:pPr>
        <w:jc w:val="center"/>
        <w:rPr>
          <w:b/>
          <w:sz w:val="36"/>
          <w:szCs w:val="36"/>
        </w:rPr>
      </w:pPr>
    </w:p>
    <w:p w:rsidR="006B74BA" w:rsidRDefault="008A05EA">
      <w:pPr>
        <w:rPr>
          <w:b/>
          <w:sz w:val="36"/>
          <w:szCs w:val="36"/>
        </w:rPr>
        <w:sectPr w:rsidR="006B74BA">
          <w:footerReference w:type="default" r:id="rId8"/>
          <w:pgSz w:w="11906" w:h="16838"/>
          <w:pgMar w:top="1134" w:right="567" w:bottom="1134" w:left="1134" w:header="851" w:footer="454" w:gutter="0"/>
          <w:cols w:space="425"/>
          <w:docGrid w:type="lines" w:linePitch="312"/>
        </w:sectPr>
      </w:pPr>
      <w:r>
        <w:rPr>
          <w:rFonts w:hint="eastAsia"/>
          <w:b/>
          <w:sz w:val="36"/>
          <w:szCs w:val="36"/>
        </w:rPr>
        <w:br w:type="page"/>
      </w:r>
    </w:p>
    <w:p w:rsidR="006B74BA" w:rsidRDefault="008A05EA">
      <w:pPr>
        <w:snapToGrid w:val="0"/>
        <w:spacing w:beforeLines="50" w:before="156" w:line="300" w:lineRule="auto"/>
        <w:jc w:val="center"/>
        <w:outlineLvl w:val="0"/>
        <w:rPr>
          <w:rFonts w:eastAsia="黑体"/>
          <w:snapToGrid w:val="0"/>
          <w:kern w:val="0"/>
          <w:sz w:val="28"/>
          <w:szCs w:val="20"/>
        </w:rPr>
      </w:pPr>
      <w:bookmarkStart w:id="1" w:name="_Toc388604936"/>
      <w:r>
        <w:rPr>
          <w:rFonts w:eastAsia="黑体" w:hint="eastAsia"/>
          <w:snapToGrid w:val="0"/>
          <w:kern w:val="0"/>
          <w:sz w:val="28"/>
          <w:szCs w:val="20"/>
          <w:u w:val="single"/>
        </w:rPr>
        <w:lastRenderedPageBreak/>
        <w:t>桥渡</w:t>
      </w:r>
      <w:r>
        <w:rPr>
          <w:rFonts w:eastAsia="黑体"/>
          <w:snapToGrid w:val="0"/>
          <w:kern w:val="0"/>
          <w:sz w:val="28"/>
          <w:szCs w:val="20"/>
          <w:u w:val="single"/>
        </w:rPr>
        <w:t xml:space="preserve"> </w:t>
      </w:r>
      <w:r>
        <w:rPr>
          <w:rFonts w:eastAsia="黑体"/>
          <w:snapToGrid w:val="0"/>
          <w:kern w:val="0"/>
          <w:sz w:val="28"/>
          <w:szCs w:val="20"/>
        </w:rPr>
        <w:t>劣化等级评定表</w:t>
      </w:r>
      <w:bookmarkEnd w:id="1"/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9"/>
        <w:gridCol w:w="1189"/>
        <w:gridCol w:w="1866"/>
        <w:gridCol w:w="2375"/>
        <w:gridCol w:w="2206"/>
        <w:gridCol w:w="1502"/>
        <w:gridCol w:w="1384"/>
        <w:gridCol w:w="849"/>
        <w:gridCol w:w="2806"/>
      </w:tblGrid>
      <w:tr w:rsidR="006B74BA">
        <w:trPr>
          <w:trHeight w:hRule="exact" w:val="624"/>
        </w:trPr>
        <w:tc>
          <w:tcPr>
            <w:tcW w:w="1798" w:type="dxa"/>
            <w:gridSpan w:val="2"/>
            <w:shd w:val="clear" w:color="auto" w:fill="auto"/>
            <w:vAlign w:val="center"/>
          </w:tcPr>
          <w:p w:rsidR="006B74BA" w:rsidRDefault="008A05EA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-4445</wp:posOffset>
                      </wp:positionV>
                      <wp:extent cx="1122680" cy="398780"/>
                      <wp:effectExtent l="1905" t="4445" r="18415" b="15875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2680" cy="39878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line id="_x0000_s1026" o:spid="_x0000_s1026" o:spt="20" style="position:absolute;left:0pt;margin-left:-5.05pt;margin-top:-0.35pt;height:31.4pt;width:88.4pt;z-index:251666432;mso-width-relative:page;mso-height-relative:page;" filled="f" stroked="t" coordsize="21600,21600" o:gfxdata="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RXZ4r1QAAAAgBAAAPAAAA&#10;AAAAAAEAIAAAACIAAABkcnMvZG93bnJldi54bWxQSwECFAAUAAAACACHTuJAQxae598BAACdAwAA&#10;DgAAAAAAAAABACAAAAAkAQAAZHJzL2Uyb0RvYy54bWxQSwUGAAAAAAYABgBZAQAAd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t>劣化等级</w:t>
            </w:r>
          </w:p>
          <w:p w:rsidR="006B74BA" w:rsidRDefault="008A05EA">
            <w:r>
              <w:t>劣化类型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AA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A1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B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C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评定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劣化情况说明</w:t>
            </w:r>
          </w:p>
        </w:tc>
      </w:tr>
      <w:tr w:rsidR="006B74BA">
        <w:trPr>
          <w:trHeight w:val="1985"/>
        </w:trPr>
        <w:tc>
          <w:tcPr>
            <w:tcW w:w="609" w:type="dxa"/>
            <w:vMerge w:val="restart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桥下净空、孔径及墩台基础过洪能力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桥下净空不足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座</w:t>
            </w:r>
            <w:r>
              <w:rPr>
                <w:rFonts w:hint="eastAsia"/>
              </w:rPr>
              <w:t>)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洪水水位在梁底以上。</w:t>
            </w:r>
          </w:p>
          <w:p w:rsidR="006B74BA" w:rsidRDefault="008A05EA">
            <w:pPr>
              <w:jc w:val="center"/>
            </w:pP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①洪水水位接近或平梁底；</w:t>
            </w:r>
          </w:p>
          <w:p w:rsidR="006B74BA" w:rsidRDefault="008A05EA">
            <w:r>
              <w:rPr>
                <w:rFonts w:hint="eastAsia"/>
              </w:rPr>
              <w:t>②孔径不能通过规定频率</w:t>
            </w:r>
          </w:p>
          <w:p w:rsidR="006B74BA" w:rsidRDefault="008A05EA">
            <w:r>
              <w:rPr>
                <w:rFonts w:hint="eastAsia"/>
              </w:rPr>
              <w:t>的洪水。</w:t>
            </w:r>
          </w:p>
          <w:p w:rsidR="006B74BA" w:rsidRDefault="008A05EA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0.2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桥下净空不足；漂流物通过受阻，出现阻拦现象。</w:t>
            </w:r>
          </w:p>
          <w:p w:rsidR="006B74BA" w:rsidRDefault="008A05EA">
            <w:pPr>
              <w:jc w:val="center"/>
            </w:pP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</w:t>
            </w:r>
            <w:r>
              <w:rPr>
                <w:rFonts w:hint="eastAsia"/>
              </w:rPr>
              <w:t>0.8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漂流物通过受阻，但能通过，不需打捞。</w:t>
            </w:r>
          </w:p>
          <w:p w:rsidR="006B74BA" w:rsidRDefault="008A05EA">
            <w:pPr>
              <w:jc w:val="center"/>
            </w:pPr>
            <w:r>
              <w:rPr>
                <w:rFonts w:hint="eastAsia"/>
              </w:rPr>
              <w:t>0.8</w:t>
            </w:r>
            <w:r>
              <w:rPr>
                <w:rFonts w:hint="eastAsia"/>
              </w:rPr>
              <w:t>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</w:t>
            </w:r>
            <w:r>
              <w:t>0.9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漂流物通过轻微受阻</w:t>
            </w:r>
          </w:p>
          <w:p w:rsidR="006B74BA" w:rsidRDefault="008A05EA">
            <w:pPr>
              <w:jc w:val="center"/>
            </w:pPr>
            <w:r>
              <w:rPr>
                <w:rFonts w:hint="eastAsia"/>
              </w:rPr>
              <w:t>0.</w:t>
            </w:r>
            <w:r>
              <w:t>9</w:t>
            </w:r>
            <w:r>
              <w:rPr>
                <w:rFonts w:hint="eastAsia"/>
              </w:rPr>
              <w:t>≤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＜</w:t>
            </w:r>
            <w:r>
              <w:t>1.0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judge501011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desc501011</w:t>
            </w:r>
          </w:p>
        </w:tc>
      </w:tr>
      <w:tr w:rsidR="006B74BA">
        <w:trPr>
          <w:trHeight w:val="1418"/>
        </w:trPr>
        <w:tc>
          <w:tcPr>
            <w:tcW w:w="609" w:type="dxa"/>
            <w:vMerge/>
            <w:shd w:val="clear" w:color="auto" w:fill="auto"/>
            <w:vAlign w:val="center"/>
          </w:tcPr>
          <w:p w:rsidR="006B74BA" w:rsidRDefault="006B74BA">
            <w:pPr>
              <w:jc w:val="center"/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桥墩台基础埋置深度不足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)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rPr>
                <w:rFonts w:hint="eastAsia"/>
              </w:rPr>
              <w:t>桥墩台冲至接近基底或局部冲空。</w:t>
            </w:r>
          </w:p>
          <w:p w:rsidR="006B74BA" w:rsidRDefault="008A05EA">
            <w:pPr>
              <w:jc w:val="center"/>
            </w:pP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0.2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河床冲刷严重，墩台基础埋</w:t>
            </w:r>
          </w:p>
          <w:p w:rsidR="006B74BA" w:rsidRDefault="008A05EA">
            <w:r>
              <w:rPr>
                <w:rFonts w:hint="eastAsia"/>
              </w:rPr>
              <w:t>深严重不足。</w:t>
            </w:r>
          </w:p>
          <w:p w:rsidR="006B74BA" w:rsidRDefault="008A05EA">
            <w:pPr>
              <w:jc w:val="center"/>
            </w:pP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＜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0.6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pPr>
              <w:jc w:val="left"/>
            </w:pPr>
            <w:r>
              <w:rPr>
                <w:rFonts w:hint="eastAsia"/>
              </w:rPr>
              <w:t>墩台基础埋深不满足规定值。</w:t>
            </w:r>
          </w:p>
          <w:p w:rsidR="006B74BA" w:rsidRDefault="008A05EA">
            <w:pPr>
              <w:jc w:val="center"/>
            </w:pPr>
            <w:r>
              <w:rPr>
                <w:rFonts w:hint="eastAsia"/>
              </w:rPr>
              <w:t>0.6</w:t>
            </w:r>
            <w:r>
              <w:rPr>
                <w:rFonts w:hint="eastAsia"/>
              </w:rPr>
              <w:t>＜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≤</w:t>
            </w:r>
            <w:r>
              <w:rPr>
                <w:rFonts w:hint="eastAsia"/>
              </w:rPr>
              <w:t>1.0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judge501021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desc501021</w:t>
            </w:r>
          </w:p>
        </w:tc>
      </w:tr>
      <w:tr w:rsidR="006B74BA">
        <w:trPr>
          <w:trHeight w:val="1985"/>
        </w:trPr>
        <w:tc>
          <w:tcPr>
            <w:tcW w:w="609" w:type="dxa"/>
            <w:vMerge/>
            <w:shd w:val="clear" w:color="auto" w:fill="auto"/>
            <w:vAlign w:val="center"/>
          </w:tcPr>
          <w:p w:rsidR="006B74BA" w:rsidRDefault="006B74BA">
            <w:pPr>
              <w:jc w:val="center"/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河道变迁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包括主槽摆动，流向改变</w:t>
            </w:r>
            <w:r>
              <w:rPr>
                <w:rFonts w:hint="eastAsia"/>
              </w:rPr>
              <w:t>)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①导致水流冲向路基而无</w:t>
            </w:r>
          </w:p>
          <w:p w:rsidR="006B74BA" w:rsidRDefault="008A05EA">
            <w:r>
              <w:rPr>
                <w:rFonts w:hint="eastAsia"/>
              </w:rPr>
              <w:t>防护者；</w:t>
            </w:r>
          </w:p>
          <w:p w:rsidR="006B74BA" w:rsidRDefault="008A05EA">
            <w:r>
              <w:rPr>
                <w:rFonts w:hint="eastAsia"/>
              </w:rPr>
              <w:t>②河道严重淤积、下切以及</w:t>
            </w:r>
          </w:p>
          <w:p w:rsidR="006B74BA" w:rsidRDefault="008A05EA">
            <w:r>
              <w:rPr>
                <w:rFonts w:hint="eastAsia"/>
              </w:rPr>
              <w:t>朔源冲刷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judge501031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desc501031</w:t>
            </w:r>
          </w:p>
        </w:tc>
      </w:tr>
      <w:tr w:rsidR="006B74BA">
        <w:trPr>
          <w:trHeight w:val="454"/>
        </w:trPr>
        <w:tc>
          <w:tcPr>
            <w:tcW w:w="609" w:type="dxa"/>
            <w:vMerge w:val="restart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rPr>
                <w:rFonts w:hint="eastAsia"/>
              </w:rPr>
              <w:t>2.</w:t>
            </w:r>
          </w:p>
          <w:p w:rsidR="006B74BA" w:rsidRDefault="008A05EA">
            <w:r>
              <w:rPr>
                <w:rFonts w:hint="eastAsia"/>
              </w:rPr>
              <w:t>导治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河调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及防护设施</w:t>
            </w:r>
          </w:p>
        </w:tc>
        <w:tc>
          <w:tcPr>
            <w:tcW w:w="1189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导治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河调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设施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冲毁或未按规定设置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pPr>
              <w:jc w:val="left"/>
            </w:pPr>
            <w:r>
              <w:rPr>
                <w:rFonts w:hint="eastAsia"/>
              </w:rPr>
              <w:t>局部冲坏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judge502011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desc502011</w:t>
            </w:r>
          </w:p>
        </w:tc>
      </w:tr>
      <w:tr w:rsidR="006B74BA">
        <w:trPr>
          <w:trHeight w:val="567"/>
        </w:trPr>
        <w:tc>
          <w:tcPr>
            <w:tcW w:w="609" w:type="dxa"/>
            <w:vMerge/>
            <w:shd w:val="clear" w:color="auto" w:fill="auto"/>
            <w:vAlign w:val="center"/>
          </w:tcPr>
          <w:p w:rsidR="006B74BA" w:rsidRDefault="006B74BA">
            <w:pPr>
              <w:jc w:val="center"/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护锥损坏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冲毁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pPr>
              <w:jc w:val="left"/>
            </w:pPr>
            <w:r>
              <w:rPr>
                <w:rFonts w:hint="eastAsia"/>
              </w:rPr>
              <w:t>局部冲坏、明显下沉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judge502021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desc502021</w:t>
            </w:r>
          </w:p>
        </w:tc>
      </w:tr>
      <w:tr w:rsidR="006B74BA">
        <w:trPr>
          <w:trHeight w:val="794"/>
        </w:trPr>
        <w:tc>
          <w:tcPr>
            <w:tcW w:w="609" w:type="dxa"/>
            <w:vMerge/>
            <w:shd w:val="clear" w:color="auto" w:fill="auto"/>
            <w:vAlign w:val="center"/>
          </w:tcPr>
          <w:p w:rsidR="006B74BA" w:rsidRDefault="006B74BA">
            <w:pPr>
              <w:jc w:val="center"/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整孔防护体损坏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防护体冲毁，出现明显潜流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局部冲坏，有危及上下游垂裙安全的冲抗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judge502031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desc502031</w:t>
            </w:r>
          </w:p>
        </w:tc>
      </w:tr>
      <w:tr w:rsidR="006B74BA">
        <w:trPr>
          <w:trHeight w:val="567"/>
        </w:trPr>
        <w:tc>
          <w:tcPr>
            <w:tcW w:w="609" w:type="dxa"/>
            <w:vMerge/>
            <w:shd w:val="clear" w:color="auto" w:fill="auto"/>
            <w:vAlign w:val="center"/>
          </w:tcPr>
          <w:p w:rsidR="006B74BA" w:rsidRDefault="006B74BA">
            <w:pPr>
              <w:jc w:val="center"/>
            </w:pPr>
          </w:p>
        </w:tc>
        <w:tc>
          <w:tcPr>
            <w:tcW w:w="1189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墩台局部平面防护体受损</w:t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6B74BA" w:rsidRDefault="008A05EA">
            <w:r>
              <w:rPr>
                <w:rFonts w:hint="eastAsia"/>
              </w:rPr>
              <w:t>防护体冲毁。</w:t>
            </w:r>
          </w:p>
          <w:p w:rsidR="006B74BA" w:rsidRDefault="008A05EA">
            <w:pPr>
              <w:jc w:val="center"/>
            </w:pP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△</w:t>
            </w:r>
            <w:r>
              <w:rPr>
                <w:rFonts w:hint="eastAsia"/>
                <w:i/>
                <w:vertAlign w:val="subscript"/>
              </w:rPr>
              <w:t>hp</w:t>
            </w:r>
            <w:r>
              <w:rPr>
                <w:rFonts w:hint="eastAsia"/>
              </w:rPr>
              <w:t>≥</w:t>
            </w:r>
            <w:r>
              <w:rPr>
                <w:rFonts w:hint="eastAsia"/>
              </w:rPr>
              <w:t>0.4</w:t>
            </w:r>
          </w:p>
        </w:tc>
        <w:tc>
          <w:tcPr>
            <w:tcW w:w="2375" w:type="dxa"/>
            <w:shd w:val="clear" w:color="auto" w:fill="auto"/>
            <w:vAlign w:val="center"/>
          </w:tcPr>
          <w:p w:rsidR="006B74BA" w:rsidRDefault="008A05EA">
            <w:pPr>
              <w:jc w:val="left"/>
            </w:pPr>
            <w:r>
              <w:rPr>
                <w:rFonts w:hint="eastAsia"/>
              </w:rPr>
              <w:t>防护体局部冲坏。</w:t>
            </w:r>
          </w:p>
          <w:p w:rsidR="006B74BA" w:rsidRDefault="008A05EA">
            <w:pPr>
              <w:jc w:val="center"/>
            </w:pPr>
            <w:r>
              <w:rPr>
                <w:rFonts w:hint="eastAsia"/>
              </w:rPr>
              <w:t>0.4</w:t>
            </w:r>
            <w:r>
              <w:rPr>
                <w:rFonts w:hint="eastAsia"/>
              </w:rPr>
              <w:t>＞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△</w:t>
            </w:r>
            <w:r>
              <w:rPr>
                <w:rFonts w:hint="eastAsia"/>
                <w:i/>
                <w:vertAlign w:val="subscript"/>
              </w:rPr>
              <w:t>hp</w:t>
            </w:r>
            <w:r>
              <w:rPr>
                <w:rFonts w:hint="eastAsia"/>
              </w:rPr>
              <w:t>＞</w:t>
            </w:r>
            <w:r>
              <w:rPr>
                <w:rFonts w:hint="eastAsia"/>
              </w:rPr>
              <w:t>0.2</w:t>
            </w:r>
          </w:p>
        </w:tc>
        <w:tc>
          <w:tcPr>
            <w:tcW w:w="2206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502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1384" w:type="dxa"/>
            <w:shd w:val="clear" w:color="auto" w:fill="auto"/>
            <w:vAlign w:val="center"/>
          </w:tcPr>
          <w:p w:rsidR="006B74BA" w:rsidRDefault="008A05EA">
            <w:pPr>
              <w:jc w:val="center"/>
            </w:pPr>
            <w:r>
              <w:t>——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judge502041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B74BA" w:rsidRDefault="008A05EA">
            <w:pPr>
              <w:widowControl/>
              <w:jc w:val="left"/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desc502041</w:t>
            </w:r>
          </w:p>
        </w:tc>
      </w:tr>
    </w:tbl>
    <w:p w:rsidR="006B74BA" w:rsidRDefault="008A05E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 </w:t>
      </w:r>
      <w:r>
        <w:rPr>
          <w:rFonts w:hint="eastAsia"/>
          <w:b/>
          <w:sz w:val="28"/>
          <w:szCs w:val="28"/>
          <w:u w:val="single"/>
        </w:rPr>
        <w:t>桥渡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>劣化等级评定表</w:t>
      </w:r>
      <w:r>
        <w:rPr>
          <w:rFonts w:hint="eastAsia"/>
          <w:b/>
          <w:sz w:val="28"/>
          <w:szCs w:val="28"/>
        </w:rPr>
        <w:t xml:space="preserve"> 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6"/>
      </w:tblGrid>
      <w:tr w:rsidR="006B74BA">
        <w:trPr>
          <w:trHeight w:val="9188"/>
        </w:trPr>
        <w:tc>
          <w:tcPr>
            <w:tcW w:w="14786" w:type="dxa"/>
          </w:tcPr>
          <w:p w:rsidR="006B74BA" w:rsidRDefault="008A05EA">
            <w:r>
              <w:rPr>
                <w:rFonts w:hint="eastAsia"/>
              </w:rPr>
              <w:t>备注：</w:t>
            </w:r>
          </w:p>
          <w:p w:rsidR="006B74BA" w:rsidRDefault="008A05EA">
            <w:r>
              <w:rPr>
                <w:rFonts w:hint="eastAsia"/>
              </w:rPr>
              <w:t>1.</w:t>
            </w:r>
            <w:r>
              <w:rPr>
                <w:i/>
              </w:rPr>
              <w:t xml:space="preserve"> 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>—桥下实际净空高度差别比，简称净空判别比，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ha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rFonts w:hint="eastAsia"/>
              </w:rPr>
              <w:t>；</w:t>
            </w:r>
          </w:p>
          <w:p w:rsidR="006B74BA" w:rsidRDefault="008A05EA">
            <w:pPr>
              <w:ind w:firstLineChars="100" w:firstLine="210"/>
            </w:pP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—桥下实际净空高度，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；</w:t>
            </w:r>
          </w:p>
          <w:p w:rsidR="006B74BA" w:rsidRDefault="008A05EA">
            <w:pPr>
              <w:ind w:firstLineChars="100" w:firstLine="210"/>
            </w:pP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a</w:t>
            </w:r>
            <w:r>
              <w:rPr>
                <w:rFonts w:hint="eastAsia"/>
              </w:rPr>
              <w:t>—《检规》表</w:t>
            </w:r>
            <w:r>
              <w:rPr>
                <w:rFonts w:hint="eastAsia"/>
              </w:rPr>
              <w:t>4-2</w:t>
            </w:r>
            <w:r>
              <w:rPr>
                <w:rFonts w:hint="eastAsia"/>
              </w:rPr>
              <w:t>规定桥下净空高度，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。</w:t>
            </w:r>
          </w:p>
          <w:p w:rsidR="006B74BA" w:rsidRDefault="008A05EA">
            <w:r>
              <w:rPr>
                <w:rFonts w:hint="eastAsia"/>
              </w:rPr>
              <w:t>2.</w:t>
            </w:r>
            <w:r>
              <w:rPr>
                <w:i/>
              </w:rPr>
              <w:t xml:space="preserve"> 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>—桥墩台基础实际埋置深度判别比，简称埋深判别比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H</w:t>
            </w:r>
            <w:r>
              <w:rPr>
                <w:rFonts w:hint="eastAsia"/>
              </w:rPr>
              <w:t xml:space="preserve"> =</w:t>
            </w:r>
            <w:r>
              <w:rPr>
                <w:rFonts w:ascii="宋体" w:hAnsi="宋体" w:cs="宋体"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</w:rPr>
              <w:t>；</w:t>
            </w:r>
          </w:p>
          <w:p w:rsidR="006B74BA" w:rsidRDefault="008A05EA">
            <w:pPr>
              <w:ind w:firstLineChars="100" w:firstLine="210"/>
            </w:pPr>
            <w:r>
              <w:rPr>
                <w:rFonts w:ascii="宋体" w:hAnsi="宋体" w:cs="宋体"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—桥墩台基础最大冲刷时实际埋置深度，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；</w:t>
            </w:r>
          </w:p>
          <w:p w:rsidR="006B74BA" w:rsidRDefault="008A05EA">
            <w:pPr>
              <w:ind w:firstLineChars="100" w:firstLine="210"/>
            </w:pPr>
            <w:r>
              <w:rPr>
                <w:rFonts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</w:rPr>
              <w:t>—《检规》表</w:t>
            </w:r>
            <w:r>
              <w:rPr>
                <w:rFonts w:hint="eastAsia"/>
              </w:rPr>
              <w:t>4-4</w:t>
            </w:r>
            <w:r>
              <w:rPr>
                <w:rFonts w:hint="eastAsia"/>
              </w:rPr>
              <w:t>墩台基底最小埋深，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。</w:t>
            </w:r>
          </w:p>
          <w:p w:rsidR="006B74BA" w:rsidRDefault="008A05EA">
            <w:r>
              <w:rPr>
                <w:rFonts w:hint="eastAsia"/>
              </w:rPr>
              <w:t>3.</w:t>
            </w:r>
            <w:r>
              <w:rPr>
                <w:i/>
              </w:rPr>
              <w:t xml:space="preserve"> λ</w:t>
            </w:r>
            <w:r>
              <w:rPr>
                <w:rFonts w:hint="eastAsia"/>
                <w:i/>
                <w:vertAlign w:val="subscript"/>
              </w:rPr>
              <w:t>△</w:t>
            </w:r>
            <w:r>
              <w:rPr>
                <w:rFonts w:hint="eastAsia"/>
                <w:i/>
                <w:vertAlign w:val="subscript"/>
              </w:rPr>
              <w:t>hp</w:t>
            </w:r>
            <w:r>
              <w:rPr>
                <w:rFonts w:hint="eastAsia"/>
              </w:rPr>
              <w:t>—桥墩台平面局部防护顶面设置高程判别比，简称高程判别比</w:t>
            </w:r>
            <w:r>
              <w:rPr>
                <w:i/>
              </w:rPr>
              <w:t>λ</w:t>
            </w:r>
            <w:r>
              <w:rPr>
                <w:rFonts w:hint="eastAsia"/>
                <w:i/>
                <w:vertAlign w:val="subscript"/>
              </w:rPr>
              <w:t>△</w:t>
            </w:r>
            <w:r>
              <w:rPr>
                <w:rFonts w:hint="eastAsia"/>
                <w:i/>
                <w:vertAlign w:val="subscript"/>
              </w:rPr>
              <w:t>hp</w:t>
            </w:r>
            <w:r>
              <w:rPr>
                <w:rFonts w:hint="eastAsia"/>
              </w:rPr>
              <w:t xml:space="preserve"> =</w:t>
            </w:r>
            <w:r>
              <w:rPr>
                <w:rFonts w:ascii="宋体" w:hAnsi="宋体" w:cs="宋体"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rFonts w:hint="eastAsia"/>
              </w:rPr>
              <w:t>；</w:t>
            </w:r>
          </w:p>
          <w:p w:rsidR="006B74BA" w:rsidRDefault="008A05EA">
            <w:pPr>
              <w:ind w:firstLineChars="100" w:firstLine="21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6525895</wp:posOffset>
                  </wp:positionH>
                  <wp:positionV relativeFrom="paragraph">
                    <wp:posOffset>501650</wp:posOffset>
                  </wp:positionV>
                  <wp:extent cx="2053590" cy="1285875"/>
                  <wp:effectExtent l="0" t="0" r="3810" b="9525"/>
                  <wp:wrapSquare wrapText="bothSides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590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6411595</wp:posOffset>
                  </wp:positionH>
                  <wp:positionV relativeFrom="paragraph">
                    <wp:posOffset>-1380490</wp:posOffset>
                  </wp:positionV>
                  <wp:extent cx="2167890" cy="1374140"/>
                  <wp:effectExtent l="0" t="0" r="3810" b="16510"/>
                  <wp:wrapSquare wrapText="bothSides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37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i/>
              </w:rPr>
              <w:t>’</w:t>
            </w:r>
            <w:r>
              <w:rPr>
                <w:rFonts w:hint="eastAsia"/>
              </w:rPr>
              <w:t>—防护顶面高出一半冲刷线的实际高度，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。</w:t>
            </w:r>
          </w:p>
          <w:p w:rsidR="006B74BA" w:rsidRDefault="008A05EA">
            <w:pPr>
              <w:ind w:firstLineChars="100" w:firstLine="210"/>
            </w:pPr>
            <w:r>
              <w:rPr>
                <w:rFonts w:hint="eastAsia"/>
              </w:rPr>
              <w:t>△</w:t>
            </w:r>
            <w:r>
              <w:rPr>
                <w:rFonts w:hint="eastAsia"/>
                <w:i/>
              </w:rPr>
              <w:t>h</w:t>
            </w:r>
            <w:r>
              <w:rPr>
                <w:rFonts w:hint="eastAsia"/>
                <w:i/>
                <w:vertAlign w:val="subscript"/>
              </w:rPr>
              <w:t>p</w:t>
            </w:r>
            <w:r>
              <w:rPr>
                <w:rFonts w:hint="eastAsia"/>
              </w:rPr>
              <w:t>—计算或分析所得的一般冲刷深度。</w:t>
            </w:r>
          </w:p>
          <w:p w:rsidR="006B74BA" w:rsidRDefault="006B74BA">
            <w:pPr>
              <w:ind w:firstLineChars="100" w:firstLine="210"/>
            </w:pPr>
          </w:p>
          <w:p w:rsidR="006B74BA" w:rsidRDefault="006B74BA">
            <w:pPr>
              <w:ind w:firstLineChars="100" w:firstLine="210"/>
            </w:pPr>
          </w:p>
          <w:p w:rsidR="006B74BA" w:rsidRDefault="006B74BA">
            <w:pPr>
              <w:ind w:firstLineChars="100" w:firstLine="210"/>
            </w:pPr>
          </w:p>
          <w:p w:rsidR="006B74BA" w:rsidRDefault="006B74BA">
            <w:pPr>
              <w:ind w:firstLineChars="100" w:firstLine="210"/>
            </w:pPr>
          </w:p>
          <w:p w:rsidR="006B74BA" w:rsidRDefault="006B74BA">
            <w:pPr>
              <w:ind w:firstLineChars="100" w:firstLine="210"/>
            </w:pPr>
          </w:p>
          <w:p w:rsidR="006B74BA" w:rsidRDefault="006B74BA">
            <w:pPr>
              <w:ind w:firstLineChars="100" w:firstLine="210"/>
            </w:pPr>
          </w:p>
          <w:p w:rsidR="006B74BA" w:rsidRDefault="006B74BA">
            <w:pPr>
              <w:ind w:firstLineChars="100" w:firstLine="210"/>
            </w:pPr>
          </w:p>
        </w:tc>
      </w:tr>
    </w:tbl>
    <w:p w:rsidR="006B74BA" w:rsidRDefault="006B74BA">
      <w:pPr>
        <w:spacing w:line="240" w:lineRule="exact"/>
        <w:sectPr w:rsidR="006B74BA">
          <w:pgSz w:w="16838" w:h="11906" w:orient="landscape"/>
          <w:pgMar w:top="1247" w:right="1134" w:bottom="567" w:left="1134" w:header="851" w:footer="567" w:gutter="0"/>
          <w:cols w:space="425"/>
          <w:docGrid w:type="lines" w:linePitch="312"/>
        </w:sectPr>
      </w:pPr>
    </w:p>
    <w:p w:rsidR="006B74BA" w:rsidRDefault="008A05EA">
      <w:pPr>
        <w:snapToGrid w:val="0"/>
        <w:spacing w:beforeLines="50" w:before="156" w:line="300" w:lineRule="auto"/>
        <w:jc w:val="center"/>
        <w:outlineLvl w:val="0"/>
        <w:rPr>
          <w:rFonts w:ascii="宋体" w:hAnsi="宋体"/>
          <w:b/>
          <w:snapToGrid w:val="0"/>
          <w:kern w:val="0"/>
          <w:sz w:val="28"/>
          <w:szCs w:val="20"/>
          <w:u w:val="single"/>
        </w:rPr>
      </w:pPr>
      <w:r>
        <w:rPr>
          <w:rFonts w:ascii="宋体" w:hAnsi="宋体" w:hint="eastAsia"/>
          <w:b/>
          <w:snapToGrid w:val="0"/>
          <w:kern w:val="0"/>
          <w:sz w:val="28"/>
          <w:szCs w:val="20"/>
          <w:u w:val="single"/>
        </w:rPr>
        <w:lastRenderedPageBreak/>
        <w:t>桥梁状况信息（裂缝、附属结构等）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6"/>
      </w:tblGrid>
      <w:tr w:rsidR="006B74BA">
        <w:trPr>
          <w:trHeight w:val="8959"/>
        </w:trPr>
        <w:tc>
          <w:tcPr>
            <w:tcW w:w="14786" w:type="dxa"/>
          </w:tcPr>
          <w:p w:rsidR="006B74BA" w:rsidRDefault="008A05EA">
            <w:pPr>
              <w:spacing w:beforeLines="50" w:before="156"/>
              <w:rPr>
                <w:sz w:val="24"/>
              </w:rPr>
            </w:pPr>
            <w:r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  <w:t>descript</w:t>
            </w:r>
          </w:p>
        </w:tc>
      </w:tr>
    </w:tbl>
    <w:p w:rsidR="006B74BA" w:rsidRDefault="006B74BA">
      <w:pPr>
        <w:snapToGrid w:val="0"/>
        <w:spacing w:beforeLines="50" w:before="156" w:line="300" w:lineRule="auto"/>
        <w:jc w:val="center"/>
        <w:outlineLvl w:val="0"/>
        <w:rPr>
          <w:rFonts w:eastAsia="黑体"/>
          <w:snapToGrid w:val="0"/>
          <w:kern w:val="0"/>
          <w:sz w:val="28"/>
          <w:szCs w:val="20"/>
        </w:rPr>
        <w:sectPr w:rsidR="006B74BA">
          <w:pgSz w:w="16838" w:h="11906" w:orient="landscape"/>
          <w:pgMar w:top="1247" w:right="1134" w:bottom="567" w:left="1134" w:header="851" w:footer="567" w:gutter="0"/>
          <w:cols w:space="425"/>
          <w:docGrid w:type="lines" w:linePitch="312"/>
        </w:sectPr>
      </w:pPr>
    </w:p>
    <w:p w:rsidR="006B74BA" w:rsidRDefault="006B74BA"/>
    <w:sectPr w:rsidR="006B74BA">
      <w:pgSz w:w="16838" w:h="11906" w:orient="landscape"/>
      <w:pgMar w:top="1247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5EA" w:rsidRDefault="008A05EA">
      <w:r>
        <w:separator/>
      </w:r>
    </w:p>
  </w:endnote>
  <w:endnote w:type="continuationSeparator" w:id="0">
    <w:p w:rsidR="008A05EA" w:rsidRDefault="008A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4BA" w:rsidRDefault="008A05E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B29C5">
      <w:rPr>
        <w:rStyle w:val="a4"/>
        <w:noProof/>
      </w:rPr>
      <w:t>2</w:t>
    </w:r>
    <w:r>
      <w:rPr>
        <w:rStyle w:val="a4"/>
      </w:rPr>
      <w:fldChar w:fldCharType="end"/>
    </w:r>
  </w:p>
  <w:p w:rsidR="006B74BA" w:rsidRDefault="006B74B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5EA" w:rsidRDefault="008A05EA">
      <w:r>
        <w:separator/>
      </w:r>
    </w:p>
  </w:footnote>
  <w:footnote w:type="continuationSeparator" w:id="0">
    <w:p w:rsidR="008A05EA" w:rsidRDefault="008A0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FCE"/>
    <w:rsid w:val="006B74BA"/>
    <w:rsid w:val="008A05EA"/>
    <w:rsid w:val="00CB29C5"/>
    <w:rsid w:val="00E7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B2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B29C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table" w:styleId="a5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CB2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B29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file:///C:\Documents%25252525252520and%25252525252520Settings\Administrator\Application%25252525252520Data\Tencent\Users\349615085\QQ\WinTemp\RichOle\3B_%2525252525257BJH~3Z%2525252525255DPR%25252525252525%2525252525255B%2525252525255D4%25252525252525P$DPQ1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file:///C:\Documents%25252525252520and%25252525252520Settings\Administrator\Application%25252525252520Data\Tencent\Users\349615085\QQ\WinTemp\RichOle\)NZN1K7JHWZYHY%2525252525255B_C%2525252525255BCAB(D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176</Words>
  <Characters>1008</Characters>
  <Application>Microsoft Office Word</Application>
  <DocSecurity>0</DocSecurity>
  <Lines>8</Lines>
  <Paragraphs>2</Paragraphs>
  <ScaleCrop>false</ScaleCrop>
  <Company>bjtu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pwang</dc:creator>
  <cp:lastModifiedBy>fulin</cp:lastModifiedBy>
  <cp:revision>2</cp:revision>
  <dcterms:created xsi:type="dcterms:W3CDTF">2018-11-13T11:22:00Z</dcterms:created>
  <dcterms:modified xsi:type="dcterms:W3CDTF">2018-11-15T06:29:00Z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