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7365D"/>
          <w:sz w:val="52"/>
        </w:rPr>
        <w:t>DATASET ANALYSIS REPORT</w:t>
      </w:r>
    </w:p>
    <w:p>
      <w:pPr>
        <w:jc w:val="center"/>
      </w:pPr>
      <w:r>
        <w:rPr>
          <w:b/>
          <w:color w:val="2F5597"/>
          <w:sz w:val="36"/>
        </w:rPr>
        <w:t>TCGA-OV Ovarian Cancer Clinical JSON</w:t>
      </w:r>
    </w:p>
    <w:p>
      <w:pPr>
        <w:jc w:val="center"/>
      </w:pPr>
      <w:r>
        <w:rPr>
          <w:i/>
        </w:rPr>
        <w:t>File: clinical.project-tcga-ov.2026-10-09.json</w:t>
      </w:r>
    </w:p>
    <w:p>
      <w:pPr>
        <w:jc w:val="center"/>
      </w:pPr>
      <w:r>
        <w:t>Prepared for: LLM-Based Patient Digital Twin and Reinforcement Learning for Treatment Optimization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inspected JSON describes clinical cases from the TCGA-OV project, associated with ovarian cancer. It is not a MIMIC-IV extract. The file is a nested JSON array: each top-level object is a case, while diagnoses, treatments, pathology details and follow-up assessments are nested objects or arrays.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Summary item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File size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Approximately 5.18 MB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Top-level case records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608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Cases with demographic object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587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Diagnosis entries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1,109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Treatment entries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4,125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Follow-up entries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2,036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Pathology-detail entries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587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Primary domain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Ovarian cancer diagnosis, treatment, recurrence/progression, follow-up and survival</w:t>
            </w:r>
          </w:p>
        </w:tc>
      </w:tr>
    </w:tbl>
    <w:p>
      <w:pPr>
        <w:spacing w:after="0"/>
      </w:pPr>
    </w:p>
    <w:p>
      <w:pPr>
        <w:pStyle w:val="Heading2"/>
      </w:pPr>
      <w:r>
        <w:t>Critical dataset identity note</w:t>
      </w:r>
    </w:p>
    <w:p>
      <w:r>
        <w:t>The filename and project identifier indicate TCGA-OV, not MIMIC-IV. MIMIC-IV is a separate hospital and critical-care electronic health record dataset. Confirm the intended dataset before finalizing the patient-state schema.</w:t>
      </w:r>
    </w:p>
    <w:p>
      <w:pPr>
        <w:pStyle w:val="Heading1"/>
      </w:pPr>
      <w:r>
        <w:t>1. File Structure and a Datapoint</w:t>
      </w:r>
    </w:p>
    <w:p>
      <w:r>
        <w:t>The outermost JSON array contains 608 case records. One case can have a demographic object, multiple diagnoses, treatments nested under diagnoses, pathology details and multiple follow-up assessments. A top-level case is not a single lab measurement or treatment event.</w:t>
      </w:r>
    </w:p>
    <w:p>
      <w:pPr>
        <w:pStyle w:val="Heading2"/>
      </w:pPr>
      <w:r>
        <w:t>Simplified example of one case</w:t>
      </w:r>
    </w:p>
    <w:p>
      <w:r>
        <w:rPr>
          <w:rFonts w:ascii="Consolas" w:hAnsi="Consolas"/>
          <w:sz w:val="14"/>
        </w:rPr>
        <w:t>{</w:t>
        <w:br/>
        <w:t xml:space="preserve">  "submitter_id": "TCGA-61-1740",</w:t>
        <w:br/>
        <w:t xml:space="preserve">  "case_id": "005a6517-2e5a-4ea3-ab36-531522723607",</w:t>
        <w:br/>
        <w:t xml:space="preserve">  "project": {"project_id": "TCGA-OV"},</w:t>
        <w:br/>
        <w:t xml:space="preserve">  "disease_type": "Cystic, Mucinous and Serous Neoplasms",</w:t>
        <w:br/>
        <w:t xml:space="preserve">  "primary_site": "Ovary",</w:t>
        <w:br/>
        <w:t xml:space="preserve">  "demographic": {"age_at_index": 71, "sex_at_birth": "female", "vital_status": "Dead", "days_to_death": 74},</w:t>
        <w:br/>
        <w:t xml:space="preserve">  "diagnoses": [{"figo_stage": "Stage IIIC", "primary_diagnosis": "Serous cystadenocarcinoma, NOS", "year_of_diagnosis": 2005,</w:t>
        <w:br/>
        <w:t xml:space="preserve">    "treatments": [{"treatment_type": "Hormone Therapy", "therapeutic_agents": "Tamoxifen", "days_to_treatment_start": 23,</w:t>
        <w:br/>
        <w:t xml:space="preserve">      "days_to_treatment_end": 74, "treatment_dose": 1020, "treatment_dose_units": "mg"}]}],</w:t>
        <w:br/>
        <w:t xml:space="preserve">  "follow_ups": [{"timepoint_category": "Last Contact", "days_to_follow_up": 74, "disease_response": "WT-With Tumor"}]</w:t>
        <w:br/>
        <w:t>}</w:t>
      </w:r>
    </w:p>
    <w:p>
      <w:r>
        <w:t>This is a simplified illustration based on a record, not a complete copy. Actual cases may have multiple diagnosis, treatment and follow-up entries.</w:t>
      </w:r>
    </w:p>
    <w:p>
      <w:pPr>
        <w:pStyle w:val="ListBullet"/>
      </w:pPr>
      <w:r>
        <w:t>demographic is a single nested object.</w:t>
      </w:r>
    </w:p>
    <w:p>
      <w:pPr>
        <w:pStyle w:val="ListBullet"/>
      </w:pPr>
      <w:r>
        <w:t>diagnoses is an array; a diagnosis may contain treatments and pathology_details.</w:t>
      </w:r>
    </w:p>
    <w:p>
      <w:pPr>
        <w:pStyle w:val="ListBullet"/>
      </w:pPr>
      <w:r>
        <w:t>follow_ups is an array of assessments at clinical timepoints.</w:t>
      </w:r>
    </w:p>
    <w:p>
      <w:pPr>
        <w:pStyle w:val="ListBullet"/>
      </w:pPr>
      <w:r>
        <w:t>days_to_* fields are relative times, not necessarily calendar dates.</w:t>
      </w:r>
    </w:p>
    <w:p>
      <w:pPr>
        <w:pStyle w:val="ListBullet"/>
      </w:pPr>
      <w:r>
        <w:t>created_datetime and updated_datetime are data-system metadata, not necessarily clinical event times.</w:t>
      </w:r>
    </w:p>
    <w:p>
      <w:pPr>
        <w:pStyle w:val="Heading1"/>
      </w:pPr>
      <w:r>
        <w:t>2. Overall Record 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Data unit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Count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Top-level case records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608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Main JSON objects</w:t>
            </w:r>
          </w:p>
        </w:tc>
      </w:tr>
      <w:tr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Cases with demographics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587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Cases with a demographic object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Cases with diagnosis records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587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Cases with at least one diagnosis</w:t>
            </w:r>
          </w:p>
        </w:tc>
      </w:tr>
      <w:tr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Diagnosis entries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1,109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Primary diagnosis, recurrence, progression and other diagnosis records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Treatment entries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4,125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Individual nested treatment entries</w:t>
            </w:r>
          </w:p>
        </w:tc>
      </w:tr>
      <w:tr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Follow-up entries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2,036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Follow-up and outcome assessments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Pathology-detail entries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587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Nested pathology records</w:t>
            </w:r>
          </w:p>
        </w:tc>
      </w:tr>
      <w:tr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Cases with follow-up lists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584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Cases with follow-up data</w:t>
            </w:r>
          </w:p>
        </w:tc>
      </w:tr>
    </w:tbl>
    <w:p>
      <w:pPr>
        <w:spacing w:after="0"/>
      </w:pPr>
    </w:p>
    <w:p>
      <w:r>
        <w:t>There are 21 top-level records without a diagnoses field and 24 without a follow_ups field. Event counts are not unique-patient counts: one case can contribute multiple diagnosis, treatment and follow-up entries.</w:t>
      </w:r>
    </w:p>
    <w:p>
      <w:pPr>
        <w:pStyle w:val="Heading1"/>
      </w:pPr>
      <w:r>
        <w:t>3. Top-Level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Observed values / summary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submitter_id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Case identifier; 608 unique values</w:t>
            </w:r>
          </w:p>
        </w:tc>
      </w:tr>
      <w:tr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case_id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Unique case identifier; 608 unique values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project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Object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project_id is TCGA-OV in all 608 records</w:t>
            </w:r>
          </w:p>
        </w:tc>
      </w:tr>
      <w:tr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disease_type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Cystic, Mucinous and Serous Neoplasms (600); Not Reported (8)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primary_site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Ovary (601); Retroperitoneum and peritoneum (7)</w:t>
            </w:r>
          </w:p>
        </w:tc>
      </w:tr>
      <w:tr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demographic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Object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Present in 587 records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diagnoses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Array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Present in 587 records; 1,109 entries</w:t>
            </w:r>
          </w:p>
        </w:tc>
      </w:tr>
      <w:tr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follow_ups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Array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Present in 584 records; 2,036 entries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index_date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Diagnosis in all 587 records where present</w:t>
            </w:r>
          </w:p>
        </w:tc>
      </w:tr>
      <w:tr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consent_type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Informed Consent (312); Consent by Death (186); absent in 110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lost_to_followup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No (358); Yes (1); absent in 249</w:t>
            </w:r>
          </w:p>
        </w:tc>
      </w:tr>
      <w:tr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days_to_consent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Integer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Present in 313; range −363 to 3,653 days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state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released in all 608 records</w:t>
            </w:r>
          </w:p>
        </w:tc>
      </w:tr>
      <w:tr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updated_datetime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Timestamp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Record-update metadata; present in all 608</w:t>
            </w:r>
          </w:p>
        </w:tc>
      </w:tr>
    </w:tbl>
    <w:p>
      <w:pPr>
        <w:spacing w:after="0"/>
      </w:pPr>
    </w:p>
    <w:p>
      <w:pPr>
        <w:pStyle w:val="Heading1"/>
      </w:pPr>
      <w:r>
        <w:t>4. Demographic Features</w:t>
      </w:r>
    </w:p>
    <w:p>
      <w:r>
        <w:t>The demographic object contains 14 fields and is present in 587 cases.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Observed values / summary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age_at_index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26–89 years; mean 59.7; median 59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sex_at_birth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female in all 587 records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vital_status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Dead: 349; Alive: 236; Not Reported: 2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days_to_death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Present in 348; range 8–4,624 days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days_to_birth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Present in 576; encoded as negative day counts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race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White: 498; Black or African American: 34; Not Reported: 31; Asian: 20; American Indian or Alaska Native: 3; Native Hawaiian or Other Pacific Islander: 1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ethnicity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Not Hispanic or Latino: 339; Not Reported: 237; Hispanic or Latino: 11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age_is_obfuscated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false: 584; true: 3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demographic_id / submitter_id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Identifiers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state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released in all 587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updated_datetime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Record-update timestamp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population_group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Present in 25; Ashkenazi Jew in 24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country_of_residence_at_enrollment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Present in 10; United States: 9; Nigeria: 1</w:t>
            </w:r>
          </w:p>
        </w:tc>
      </w:tr>
    </w:tbl>
    <w:p>
      <w:pPr>
        <w:spacing w:after="0"/>
      </w:pPr>
    </w:p>
    <w:p>
      <w:r>
        <w:t>Vital status and days_to_death provide survival-related information for a subset. These counts describe this selected cohort, not general-population mortality. age_at_index is in years, whereas days_to_birth is a negative day count.</w:t>
      </w:r>
    </w:p>
    <w:p>
      <w:pPr>
        <w:pStyle w:val="Heading1"/>
      </w:pPr>
      <w:r>
        <w:t>5. Diagnosis and Tumour Features</w:t>
      </w:r>
    </w:p>
    <w:p>
      <w:r>
        <w:t>There are 1,109 diagnosis entries with 32 distinct fields.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Observed values / summary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figo_stage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Stage IIIC: 413; Stage IV: 89; Stage IIIB: 25; Stage IIC: 21; Stage IC: 11; other reported stages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primary_diagnosis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Serous cystadenocarcinoma, NOS: 1,019; Unknown: 72; less common diagnoses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morphology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8441/3: 1,019; Unknown: 72; other codes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classification_of_tumor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primary: 587; recurrence: 296; Unknown: 136; metastasis: 46; Progression: 41; Synchronous primary: 3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age_at_diagnosis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Present in 985; range 9,760–32,872 days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year_of_diagnosis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Present in 587; range 1992–2013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days_to_diagnosis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Present in 999; range −1–3,378 days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icd_10_code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C56.9: 580; C48.1: 4; C48.2: 2; C48.0: 1, among entries with this field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tumor_grade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G3: 495; G2: 69; GX: 10; G1: 6; GB: 2; G4: 1, among entries with grade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laterality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Bilateral: 400; Left: 84; Right: 71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tissue_or_organ_of_origin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Ovary: 582; Not Reported: 519; other sites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site_of_resection_or_biopsy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Ovary: 584; Not Reported: 522; other sites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prior_treatment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No: 586; Yes: 520; 3 entries without field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prior_malignancy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not reported: 575; no: 12, among records with field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diagnosis_is_primary_disease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true: 587; false: 522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method_of_diagnosis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Surgical resection: 466; cytology: 78; incisional biopsy: 13; fine-needle aspiration: 12; other methods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synchronous_malignancy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Not Reported: 575; No: 9; Yes: 3, among records with field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residual_disease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R1: 34; R0: 16; R2: 5; RX: 3, among 58 records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days_to_last_follow_up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Present in 241 diagnosis entries; range 0–5,481 days</w:t>
            </w:r>
          </w:p>
        </w:tc>
      </w:tr>
    </w:tbl>
    <w:p>
      <w:pPr>
        <w:spacing w:after="0"/>
      </w:pPr>
    </w:p>
    <w:p>
      <w:r>
        <w:t>Other diagnosis fields include diagnosis_id, submitter_id, updated_datetime, created_datetime, state, tumor_of_origin, pathology_details, treatments, ajcc_pathologic_t, ajcc_pathologic_n, ajcc_pathologic_m, ajcc_staging_system_edition, and figo_staging_edition_year. Some staging fields are sparse. The 1,109 diagnosis entries are not independent patients. age_at_diagnosis is in days, unlike age_at_index in years.</w:t>
      </w:r>
    </w:p>
    <w:p>
      <w:pPr>
        <w:pStyle w:val="Heading1"/>
      </w:pPr>
      <w:r>
        <w:t>6. Treatment Features</w:t>
      </w:r>
    </w:p>
    <w:p>
      <w:r>
        <w:t>There are 4,125 treatment entries across 1,032 diagnosis records containing treatment arrays.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Treatment type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Entries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Chemotherapy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2,373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Radiation Therapy, NOS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992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Pharmaceutical Therapy, NOS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491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Surgery, NOS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112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Targeted Molecular Therapy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59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Hormone Therapy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51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Radiation, External Beam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29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Immunotherapy (Including Vaccines)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17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Radiation, Radioisotope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TOTAL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4,125</w:t>
            </w:r>
          </w:p>
        </w:tc>
      </w:tr>
    </w:tbl>
    <w:p>
      <w:pPr>
        <w:spacing w:after="0"/>
      </w:pPr>
    </w:p>
    <w:p>
      <w:pPr>
        <w:pStyle w:val="Heading2"/>
      </w:pPr>
      <w:r>
        <w:t>6.1 Most frequent therapeutic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Therapeutic agent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Entries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Carboplatin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718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Paclitaxel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697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Cisplatin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180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Pegylated Liposomal Doxorubicin Hydrochloride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149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Topotecan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135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Docetaxel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130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Gemcitabine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99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Gemcitabine Hydrochloride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67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Bevacizumab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57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Tamoxifen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35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Cyclophosphamide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34</w:t>
            </w:r>
          </w:p>
        </w:tc>
      </w:tr>
    </w:tbl>
    <w:p>
      <w:pPr>
        <w:spacing w:after="0"/>
      </w:pPr>
    </w:p>
    <w:p>
      <w:r>
        <w:t>therapeutic_agents is present in 2,496 entries and contains 71 distinct recorded values. This table lists frequent values, not the full list.</w:t>
      </w:r>
    </w:p>
    <w:p>
      <w:pPr>
        <w:pStyle w:val="Heading2"/>
      </w:pPr>
      <w:r>
        <w:t>6.2 Treatment timing, dose and outcome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Availability / observed values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days_to_treatment_start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2,501 entries; −8 to 3,808 days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days_to_treatment_end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2,188 entries; 8 to 3,494 days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treatment_dose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1,706 entries; values 1–210,000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treatment_dose_units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mg (1,221), mg/m2 (356), AUC (88), cGy (22), mg/kg (13), mg/day (5), ug (1); 1,706 entries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number_of_cycles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2,093 entries; 1–29 cycles; median 6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treatment_intent_type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1,945 entries; Adjuvant (1,893) predominates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treatment_or_therapy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yes: 3,167; no: 955; unknown: 3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initial_disease_status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2,188 entries; Recurrent Disease: 1,146; Progressive Disease: 797; other categories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route_of_administration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Present in 2,244 entries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prescribed_dose / units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142 entries; mg (116), mg/m2 (26)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treatment_outcome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101 entries; Treatment Ongoing (60), Complete Response (16), Partial Response (6), Progressive Disease (4), and other values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clinical_trial_indicator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24 entries; No: 21; Yes: 3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number_of_fractions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19 entries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treatment_anatomic_sites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35 entries</w:t>
            </w:r>
          </w:p>
        </w:tc>
      </w:tr>
    </w:tbl>
    <w:p>
      <w:pPr>
        <w:spacing w:after="0"/>
      </w:pPr>
    </w:p>
    <w:p>
      <w:r>
        <w:t>Other treatment fields include treatment_id, submitter_id, state, created_datetime and updated_datetime. Only 1,706 of 4,125 treatment entries have treatment_dose; 101 have treatment_outcome.</w:t>
      </w:r>
    </w:p>
    <w:p>
      <w:pPr>
        <w:pStyle w:val="Heading2"/>
      </w:pPr>
      <w:r>
        <w:t>6.3 Dosage caution</w:t>
      </w:r>
    </w:p>
    <w:p>
      <w:r>
        <w:t>Do not compare dose values as if they shared a unit. The file includes mg, mg/m2, mg/kg, AUC, cGy, mg/day and ug. Before defining an RL action space, verify the clinical meaning of each field and its relationship to treatment type, route, timing and cycles.</w:t>
      </w:r>
    </w:p>
    <w:p>
      <w:pPr>
        <w:pStyle w:val="Heading1"/>
      </w:pPr>
      <w:r>
        <w:t>7. Follow-up Features</w:t>
      </w:r>
    </w:p>
    <w:p>
      <w:r>
        <w:t>There are 2,036 follow-up entries across 584 cases. These are irregular clinical timepoints, not a uniform daily series.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Observed values / availability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timepoint_category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Follow-up: 727; Last Contact: 584; Post Initial Treatment: 520; Prior to Adjuvant Therapy: 92; Post Adjuvant Therapy: 51; Preoperative: 31; Other: 22; Not Reported: 9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disease_response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WT-With Tumor: 868; TF-Tumor Free: 284; Unknown: 18; present in 1,170 entries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days_to_follow_up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1,720 entries; 0–5,481 days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progression_or_recurrence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Present in 520 entries; Yes in all 520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progression_or_recurrence_type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520 entries; Unknown: 410; Locoregional: 64; Distant: 46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days_to_recurrence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296 entries; 38–3,378 days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evidence_of_recurrence_type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335 entries; Convincing Image Source: 259, plus physical examination and other evidence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evidence_of_progression_type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Present in 71 entries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days_to_progression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42 entries; 27–2,997 days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ecog_performance_status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129 entries: 0 (77), 1 (39), 2 (7), 3 (3), 4 (2), Unknown (1)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karnofsky_performance_status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84 entries; values 80 (49) and 60 (20) are most frequent</w:t>
            </w:r>
          </w:p>
        </w:tc>
      </w:tr>
    </w:tbl>
    <w:p>
      <w:pPr>
        <w:spacing w:after="0"/>
      </w:pPr>
    </w:p>
    <w:p>
      <w:r>
        <w:t>Other follow-up fields include follow_up_id, submitter_id, state, created_datetime, updated_datetime, evidence_of_progression_type and days_to_progression. WT-With Tumor and TF-Tumor Free are categorical labels, not continuous tumour measurements.</w:t>
      </w:r>
    </w:p>
    <w:p>
      <w:pPr>
        <w:pStyle w:val="Heading1"/>
      </w:pPr>
      <w:r>
        <w:t>8. Pathology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Observed values / availability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vascular_invasion_present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168 entries; Yes: 91; No: 73; Unknown: 4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lymphatic_invasion_present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226 entries; Yes: 138; No: 84; Unknown: 4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residual_tumor_measurement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520 entries; 1–10 mm: 256; No macroscopic disease: 120; &gt;20 mm: 106; 11–20 mm: 38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consistent_pathology_review</w:t>
            </w:r>
          </w:p>
        </w:tc>
        <w:tc>
          <w:tcPr>
            <w:tcW w:type="dxa" w:w="5112"/>
            <w:shd w:fill="F2F6FA"/>
          </w:tcPr>
          <w:p>
            <w:pPr>
              <w:spacing w:after="0"/>
            </w:pPr>
            <w:r>
              <w:rPr>
                <w:sz w:val="15"/>
              </w:rPr>
              <w:t>Not Reported: 576; Yes: 11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Other fields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5"/>
              </w:rPr>
              <w:t>pathology_detail_id, submitter_id, state, created_datetime, updated_datetime</w:t>
            </w:r>
          </w:p>
        </w:tc>
      </w:tr>
    </w:tbl>
    <w:p>
      <w:pPr>
        <w:spacing w:after="0"/>
      </w:pPr>
    </w:p>
    <w:p>
      <w:r>
        <w:t>Pathology can enrich baseline tumour characterization and residual-disease information, but these variables are not repeatedly measured at every follow-up timepoint.</w:t>
      </w:r>
    </w:p>
    <w:p>
      <w:pPr>
        <w:pStyle w:val="Heading1"/>
      </w:pPr>
      <w:r>
        <w:t>9. Data Completeness and Limitations</w:t>
      </w:r>
    </w:p>
    <w:p>
      <w:pPr>
        <w:pStyle w:val="ListBullet"/>
      </w:pPr>
      <w:r>
        <w:t>No standard repeated vital-sign series is present (heart rate, blood pressure, respiratory rate, temperature or oxygen saturation).</w:t>
      </w:r>
    </w:p>
    <w:p>
      <w:pPr>
        <w:pStyle w:val="ListBullet"/>
      </w:pPr>
      <w:r>
        <w:t>No standard repeated laboratory time series is present in this JSON.</w:t>
      </w:r>
    </w:p>
    <w:p>
      <w:pPr>
        <w:pStyle w:val="ListBullet"/>
      </w:pPr>
      <w:r>
        <w:t>Treatment dosage is sparse and uses heterogeneous units.</w:t>
      </w:r>
    </w:p>
    <w:p>
      <w:pPr>
        <w:pStyle w:val="ListBullet"/>
      </w:pPr>
      <w:r>
        <w:t>Explicit treatment_outcome is present in only 101 treatment entries; follow-up response labels are more common but incomplete.</w:t>
      </w:r>
    </w:p>
    <w:p>
      <w:pPr>
        <w:pStyle w:val="ListBullet"/>
      </w:pPr>
      <w:r>
        <w:t>Clinical timepoints are irregular and some records lack timing information.</w:t>
      </w:r>
    </w:p>
    <w:p>
      <w:pPr>
        <w:pStyle w:val="ListBullet"/>
      </w:pPr>
      <w:r>
        <w:t>The dataset primarily captures longer-term cancer diagnosis, treatment, recurrence/progression and follow-up rather than hourly or daily physiology.</w:t>
      </w:r>
    </w:p>
    <w:p>
      <w:pPr>
        <w:pStyle w:val="ListBullet"/>
      </w:pPr>
      <w:r>
        <w:t>Multiple diagnosis entries can belong to one case; treating each entry as an independent patient would be a data-design error.</w:t>
      </w:r>
    </w:p>
    <w:p>
      <w:pPr>
        <w:pStyle w:val="ListBullet"/>
      </w:pPr>
      <w:r>
        <w:t>Missingness is represented both by absent fields and values such as Unknown, Not Reported, RX and string-encoded booleans.</w:t>
      </w:r>
    </w:p>
    <w:p>
      <w:pPr>
        <w:pStyle w:val="ListBullet"/>
      </w:pPr>
      <w:r>
        <w:t>Record update timestamps should not be mistaken for clinical event timestamps.</w:t>
      </w:r>
    </w:p>
    <w:p>
      <w:pPr>
        <w:pStyle w:val="Heading1"/>
      </w:pPr>
      <w:r>
        <w:t>10. Suitability for Digital Twin + 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Support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Comment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Patient demographics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Good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Age, sex, race, ethnicity, vital status and related attributes</w:t>
            </w:r>
          </w:p>
        </w:tc>
      </w:tr>
      <w:tr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Disease/tumour characteristics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Good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Diagnosis, stage, grade, morphology and pathology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Historical treatments and agents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Good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Many treatment entries and named agents</w:t>
            </w:r>
          </w:p>
        </w:tc>
      </w:tr>
      <w:tr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Treatment timing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Partial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Relative-day fields exist but are incomplete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Treatment dosage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Limited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Sparse and heterogeneous units; interpretation needed</w:t>
            </w:r>
          </w:p>
        </w:tc>
      </w:tr>
      <w:tr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Longitudinal disease response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Partial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Follow-up response, recurrence/progression and timepoints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Survival outcomes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Subset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Vital status and days_to_death available for many, not all cases</w:t>
            </w:r>
          </w:p>
        </w:tc>
      </w:tr>
      <w:tr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effects/toxicity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Insufficient for comprehensive longitudinal modelling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No comprehensive repeated toxicity series established from this file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Repeated vitals/labs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Not available as standard longitudinal measurements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Not a critical-care monitoring time series</w:t>
            </w:r>
          </w:p>
        </w:tc>
      </w:tr>
      <w:tr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Causal response to alternative actions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Not established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Observed records alone do not reveal counterfactual outcomes</w:t>
            </w:r>
          </w:p>
        </w:tc>
      </w:tr>
    </w:tbl>
    <w:p>
      <w:pPr>
        <w:spacing w:after="0"/>
      </w:pPr>
    </w:p>
    <w:p>
      <w:pPr>
        <w:pStyle w:val="Heading2"/>
      </w:pPr>
      <w:r>
        <w:t>Overall assessment</w:t>
      </w:r>
    </w:p>
    <w:p>
      <w:r>
        <w:t>This JSON may support a cancer-specific, long-term trajectory project focused on ovarian cancer diagnosis, treatment history, recurrence, response and survival. It is not a complete source for modelling immediate physiological response to every drug or dose change. A treatment followed by an outcome does not establish the causal effect of that treatment. An action-conditioned simulator needs careful modelling assumptions, validation and potentially additional data.</w:t>
      </w:r>
    </w:p>
    <w:p>
      <w:pPr>
        <w:pStyle w:val="Heading1"/>
      </w:pPr>
      <w:r>
        <w:t>11. Implications for Patient Representation</w:t>
      </w:r>
    </w:p>
    <w:p>
      <w:r>
        <w:t>The patient state should use features that actually exist in the selected dataset. A candidate schema for this JSON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State component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Candidate features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Cautions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Demographics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age_at_index, sex_at_birth, race, ethnicity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Handle missing/obfuscated values and units</w:t>
            </w:r>
          </w:p>
        </w:tc>
      </w:tr>
      <w:tr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Disease state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primary_diagnosis, figo_stage, tumor_grade, morphology, classification_of_tumor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Diagnosis entries may indicate primary disease, recurrence, metastasis or progression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Treatment history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treatment_type, therapeutic_agents, intent, relative start/end days, cycles, dose and units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Sparse fields and incompatible units need normalization</w:t>
            </w:r>
          </w:p>
        </w:tc>
      </w:tr>
      <w:tr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Longitudinal outcome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disease_response, timepoint_category, days_to_follow_up, recurrence/progression fields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Irregular timepoints and missing follow-up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Functional status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ecog_performance_status, karnofsky_performance_status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Only available in subsets</w:t>
            </w:r>
          </w:p>
        </w:tc>
      </w:tr>
      <w:tr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Survival/outcome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vital_status, days_to_death, days_to_last_follow_up</w:t>
            </w:r>
          </w:p>
        </w:tc>
        <w:tc>
          <w:tcPr>
            <w:tcW w:type="dxa" w:w="3408"/>
            <w:shd w:fill="F2F6FA"/>
          </w:tcPr>
          <w:p>
            <w:pPr>
              <w:spacing w:after="0"/>
            </w:pPr>
            <w:r>
              <w:rPr>
                <w:sz w:val="15"/>
              </w:rPr>
              <w:t>Censoring and missing outcomes need careful handling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Pathology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vascular/lymphatic invasion, residual_tumor_measurement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5"/>
              </w:rPr>
              <w:t>Not a repeated state variable</w:t>
            </w:r>
          </w:p>
        </w:tc>
      </w:tr>
    </w:tbl>
    <w:p>
      <w:pPr>
        <w:spacing w:after="0"/>
      </w:pPr>
    </w:p>
    <w:p>
      <w:r>
        <w:t>This is a candidate schema, not a finalized RL state. Confirm the dataset choice, inspect exact raw fields and missingness, define a clinical time axis and choose the forecast target. Do not assume that a daily state can be reconstructed from sparse follow-up events.</w:t>
      </w:r>
    </w:p>
    <w:p>
      <w:pPr>
        <w:pStyle w:val="Heading1"/>
      </w:pPr>
      <w:r>
        <w:t>12. Recommended Next Steps</w:t>
      </w:r>
    </w:p>
    <w:p>
      <w:pPr>
        <w:pStyle w:val="ListNumber"/>
      </w:pPr>
      <w:r>
        <w:t>Confirm whether TCGA-OV is intended or MIMIC-IV remains the primary dataset; the uploaded JSON is TCGA-OV.</w:t>
      </w:r>
    </w:p>
    <w:p>
      <w:pPr>
        <w:pStyle w:val="ListNumber"/>
      </w:pPr>
      <w:r>
        <w:t>Define the clinical scope: for example, long-term ovarian cancer progression and treatment response rather than short-term ICU physiology.</w:t>
      </w:r>
    </w:p>
    <w:p>
      <w:pPr>
        <w:pStyle w:val="ListNumber"/>
      </w:pPr>
      <w:r>
        <w:t>Create a case-level index linking every diagnosis, treatment and follow-up entry to its parent case.</w:t>
      </w:r>
    </w:p>
    <w:p>
      <w:pPr>
        <w:pStyle w:val="ListNumber"/>
      </w:pPr>
      <w:r>
        <w:t>Build a chronological event table using clinical relative-time fields, preserving missing values and event types.</w:t>
      </w:r>
    </w:p>
    <w:p>
      <w:pPr>
        <w:pStyle w:val="ListNumber"/>
      </w:pPr>
      <w:r>
        <w:t>Audit missingness and units before creating numeric features; do not mix mg, mg/m2, mg/kg, AUC and cGy as equivalent quantities.</w:t>
      </w:r>
    </w:p>
    <w:p>
      <w:pPr>
        <w:pStyle w:val="ListNumber"/>
      </w:pPr>
      <w:r>
        <w:t>Choose an explicit forecasting target and horizon, and split train/validation/test by patient case to avoid leakage.</w:t>
      </w:r>
    </w:p>
    <w:p>
      <w:pPr>
        <w:pStyle w:val="ListNumber"/>
      </w:pPr>
      <w:r>
        <w:t>Evaluate predictive accuracy and calibration before treating the model as an RL environment.</w:t>
      </w:r>
    </w:p>
    <w:p>
      <w:pPr>
        <w:pStyle w:val="ListNumber"/>
      </w:pPr>
      <w:r>
        <w:t>Distinguish retrospective prediction from causal treatment optimization; require safety constraints and clinical validation before treatment-recommendation claims.</w:t>
      </w:r>
    </w:p>
    <w:p>
      <w:pPr>
        <w:pStyle w:val="Heading1"/>
      </w:pPr>
      <w:r>
        <w:t>Appendix: Interpretation Notes</w:t>
      </w:r>
    </w:p>
    <w:p>
      <w:pPr>
        <w:pStyle w:val="ListBullet"/>
      </w:pPr>
      <w:r>
        <w:t>Counts refer to the supplied JSON and the preceding structural analysis. Field counts can have different denominators because fields are optional and records are nested.</w:t>
      </w:r>
    </w:p>
    <w:p>
      <w:pPr>
        <w:pStyle w:val="ListBullet"/>
      </w:pPr>
      <w:r>
        <w:t>Diagnosis and treatment counts are record/event counts, not unique-patient counts.</w:t>
      </w:r>
    </w:p>
    <w:p>
      <w:pPr>
        <w:pStyle w:val="ListBullet"/>
      </w:pPr>
      <w:r>
        <w:t>Unknown and Not Reported are not equivalent to a clinically confirmed negative.</w:t>
      </w:r>
    </w:p>
    <w:p>
      <w:pPr>
        <w:pStyle w:val="ListBullet"/>
      </w:pPr>
      <w:r>
        <w:t>This is a dataset-structure and project-suitability review, not clinical advice or a validated treatment model.</w:t>
      </w:r>
    </w:p>
    <w:p>
      <w:pPr>
        <w:pStyle w:val="ListBullet"/>
      </w:pPr>
      <w:r>
        <w:t>The filename is clinical.project-tcga-ov.2026-10-09.json and the project identifier is TCGA-OV.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