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cs="Microsoft YaHei" w:eastAsia="Microsoft YaHei"/>
          <w:sz w:val="20"/>
        </w:rPr>
        <w:t>目标药物暴露与肾功能变化的回顾性队列研究</w:t>
      </w:r>
    </w:p>
    <w:p>
      <w:pPr>
        <w:jc w:val="center"/>
      </w:pPr>
      <w:r>
        <w:rPr>
          <w:rFonts w:ascii="Microsoft YaHei" w:hAnsi="Microsoft YaHei"/>
          <w:color w:val="646464"/>
          <w:sz w:val="20"/>
        </w:rPr>
        <w:t>匿名技术原型 · 非正式研究方案</w:t>
      </w:r>
    </w:p>
    <w:p>
      <w:pPr>
        <w:pStyle w:val="Heading1"/>
      </w:pPr>
      <w:r>
        <w:t>研究概览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研究问题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cs="Microsoft YaHei" w:eastAsia="Microsoft YaHei"/>
                <w:sz w:val="20"/>
              </w:rPr>
              <w:t>在2型糖尿病成年患者中，目标降糖药物暴露与肾功能变化（eGFR/肌酐）是否相关？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建议设计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cs="Microsoft YaHei" w:eastAsia="Microsoft YaHei"/>
                <w:sz w:val="20"/>
              </w:rPr>
              <w:t>COHORT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研究人群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cs="Microsoft YaHei" w:eastAsia="Microsoft YaHei"/>
                <w:sz w:val="20"/>
              </w:rPr>
              <w:t>2型糖尿病成年患者</w:t>
            </w:r>
          </w:p>
        </w:tc>
      </w:tr>
    </w:tbl>
    <w:p>
      <w:pPr>
        <w:pStyle w:val="Heading1"/>
      </w:pPr>
      <w:r>
        <w:t>研究背景</w:t>
      </w:r>
    </w:p>
    <w:p>
      <w:r>
        <w:rPr>
          <w:rFonts w:ascii="Microsoft YaHei" w:hAnsi="Microsoft YaHei" w:cs="Microsoft YaHei" w:eastAsia="Microsoft YaHei"/>
          <w:sz w:val="20"/>
        </w:rPr>
        <w:t>慢性肾脏病是糖尿病人群的重要并发症。公开文献提示，SGLT2抑制剂与慢性肾脏病人群的肾脏结局改善相关 [CIT-001, CIT-002]。现有证据不能替代目标医院人群中的观察性验证，且本原型仅使用摘要级Mock快照，具体因果解释、适用人群和终点定义均需医学与统计学专家确认。</w:t>
      </w:r>
    </w:p>
    <w:p>
      <w:pPr>
        <w:pStyle w:val="Heading1"/>
      </w:pPr>
      <w:r>
        <w:t>主要结局</w:t>
      </w:r>
    </w:p>
    <w:p>
      <w:r>
        <w:rPr>
          <w:rFonts w:ascii="Microsoft YaHei" w:hAnsi="Microsoft YaHei" w:cs="Microsoft YaHei" w:eastAsia="Microsoft YaHei"/>
          <w:sz w:val="20"/>
        </w:rPr>
        <w:t>肾功能变化（eGFR/肌酐）</w:t>
      </w:r>
    </w:p>
    <w:p>
      <w:pPr>
        <w:pStyle w:val="Heading1"/>
      </w:pPr>
      <w:r>
        <w:t>参考文献</w:t>
      </w:r>
    </w:p>
    <w:p>
      <w:r>
        <w:rPr>
          <w:rFonts w:ascii="Microsoft YaHei" w:hAnsi="Microsoft YaHei" w:cs="Microsoft YaHei" w:eastAsia="Microsoft YaHei"/>
          <w:sz w:val="20"/>
        </w:rPr>
        <w:t>[CIT-001] Empagliflozin in Patients with Chronic Kidney Disease. New England Journal of Medicine. PMID:36331190; DOI:10.1056/NEJMoa2204233.</w:t>
        <w:br/>
        <w:t>[CIT-002] Dapagliflozin in Patients with Chronic Kidney Disease. New England Journal of Medicine. PMID:32970396; DOI:10.1056/NEJMoa2024816.</w:t>
      </w:r>
    </w:p>
    <w:p>
      <w:pPr>
        <w:spacing w:before="280"/>
      </w:pPr>
      <w:r>
        <w:rPr>
          <w:rFonts w:ascii="Microsoft YaHei" w:hAnsi="Microsoft YaHei"/>
          <w:b/>
          <w:color w:val="7A5A00"/>
        </w:rPr>
        <w:t>重要说明：本文件由确定性 Mock 数据生成，仅用于技术验证；不能替代医学、统计学、伦理或科研管理专家审核。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8"/>
      </w:rPr>
      <w:t>医疗研究 Agent · 阶段 0 匿名原型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Agent Stage-0 Prototype</dc:creator>
  <dc:description>generated by python-docx</dc:description>
  <dcterms:modified xsi:type="dcterms:W3CDTF">2013-12-23T23:15:00Z</dcterms:modified>
  <cp:revision>1</cp:revision>
</cp:coreProperties>
</file>