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80"/>
      </w:pPr>
    </w:p>
    <w:p>
      <w:pPr>
        <w:spacing w:before="0" w:after="40"/>
      </w:pPr>
      <w:r>
        <w:rPr>
          <w:rFonts w:ascii="Arial" w:hAnsi="Arial" w:eastAsia="Microsoft YaHei"/>
          <w:b/>
          <w:i w:val="0"/>
          <w:color w:val="2E74B5"/>
          <w:sz w:val="18"/>
        </w:rPr>
        <w:t>SYNTHETIC RESEARCH SUBMISSION</w:t>
      </w:r>
    </w:p>
    <w:p>
      <w:pPr>
        <w:spacing w:after="80"/>
      </w:pPr>
      <w:r>
        <w:rPr>
          <w:rFonts w:ascii="Arial" w:hAnsi="Arial" w:eastAsia="Microsoft YaHei"/>
          <w:b/>
          <w:i w:val="0"/>
          <w:color w:val="000000"/>
          <w:sz w:val="44"/>
        </w:rPr>
        <w:t>医学科研方案送审稿</w:t>
      </w:r>
    </w:p>
    <w:p>
      <w:pPr>
        <w:spacing w:after="280"/>
      </w:pPr>
      <w:r>
        <w:rPr>
          <w:rFonts w:ascii="Arial" w:hAnsi="Arial" w:eastAsia="Microsoft YaHei"/>
          <w:b w:val="0"/>
          <w:i w:val="0"/>
          <w:color w:val="5F6368"/>
          <w:sz w:val="22"/>
        </w:rPr>
        <w:t>合成测试模板 B · 非真实医院材料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课题名称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匿名队列研究方案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课题负责人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owner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所属科室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待医院补充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研究设计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队列研究设计</w:t>
            </w:r>
          </w:p>
        </w:tc>
      </w:tr>
    </w:tbl>
    <w:p>
      <w:pPr>
        <w:pStyle w:val="Heading1"/>
      </w:pPr>
      <w:r>
        <w:t>一、研究摘要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研究背景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研究背景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研究问题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暴露与结局是否相关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研究目标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numPr>
                <w:ilvl w:val="0"/>
                <w:numId w:val="10"/>
              </w:num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研究目标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研究对象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匿名研究对象</w:t>
            </w:r>
          </w:p>
        </w:tc>
      </w:tr>
    </w:tbl>
    <w:p>
      <w:pPr>
        <w:pStyle w:val="Heading1"/>
      </w:pPr>
      <w:r>
        <w:t>二、研究对象与变量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纳入标准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纳入与排除标准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排除标准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纳入与排除标准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主要与次要终点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主要终点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变量与混杂因素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主要终点</w:t>
            </w:r>
          </w:p>
        </w:tc>
      </w:tr>
    </w:tbl>
    <w:p>
      <w:pPr>
        <w:pStyle w:val="Heading1"/>
      </w:pPr>
      <w:r>
        <w:t>三、分析与合规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统计分析计划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统计分析计划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伦理与数据安全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伦理与数据安全</w:t>
            </w:r>
          </w:p>
        </w:tc>
      </w:tr>
    </w:tbl>
    <w:p>
      <w:pPr>
        <w:pStyle w:val="Heading1"/>
        <w:spacing w:before="240"/>
      </w:pPr>
      <w:r>
        <w:t>四、参考文献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序号</w:t>
            </w:r>
          </w:p>
        </w:tc>
        <w:tc>
          <w:tcPr>
            <w:tcW w:type="dxa" w:w="8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经核验的参考文献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1</w:t>
            </w:r>
          </w:p>
        </w:tc>
        <w:tc>
          <w:tcPr>
            <w:tcW w:type="dxa" w:w="8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Zhang A, Li B. Verified anonymous research[J]. Demo Journal, 2026. PMID:123; DOI:10.1000/demo. [摘要级证据]</w:t>
            </w:r>
          </w:p>
        </w:tc>
      </w:tr>
    </w:tbl>
    <w:p>
      <w:pPr>
        <w:spacing w:before="200" w:after="0"/>
      </w:pPr>
      <w:r>
        <w:rPr>
          <w:rFonts w:ascii="Arial" w:hAnsi="Arial" w:eastAsia="Microsoft YaHei"/>
          <w:b/>
          <w:i w:val="0"/>
          <w:color w:val="805500"/>
          <w:sz w:val="18"/>
        </w:rPr>
        <w:t>模板状态：SYNTHETIC_ANONYMOUS / TEST_ONLY。真实医院模板到位后必须重新适配与验收。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Microsoft YaHei"/>
        <w:b w:val="0"/>
        <w:i w:val="0"/>
        <w:color w:val="5F6368"/>
        <w:sz w:val="16"/>
      </w:rPr>
      <w:t>SYNTHETIC_ANONYMOUS · 仅用于模板兼容与回归测试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Microsoft YaHei"/>
        <w:b w:val="0"/>
        <w:i w:val="0"/>
        <w:color w:val="5F6368"/>
        <w:sz w:val="17"/>
      </w:rPr>
      <w:t>合成测试模板 B · 非真实医院材料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header1.xml" Type="http://schemas.openxmlformats.org/officeDocument/2006/relationships/head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Medical Research Agent</dc:creator>
  <dc:description>受控模板导出；占位符协议 controlled-docx-placeholders/v2；字段数 17</dc:description>
  <cp:keywords>SYNTHETIC_ANONYMOUS; NON_HOSPITAL_MATERIAL; TEST_ONLY</cp:keywords>
  <dcterms:modified xsi:type="dcterms:W3CDTF">2013-12-23T23:15:00Z</dcterms:modified>
  <cp:revision>1</cp:revision>
  <dc:subject>SYNTHETIC_ANONYMOUS test template</dc:subject>
  <dc:title>合成测试模板 B：表格式科研方案送审稿</dc:title>
</cp:coreProperties>
</file>