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A  L  I  G  N  M  E  N  T     A  U  D  I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UWork 前端与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后端功能对齐核查报告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管理台与 UWork 客户端 × 自有企业后端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核查日期：2026 年 10 月 21 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核查基准：feature/workbuddy-admin-reconstruction 工作区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核查对象：src/ 后端服务 · admin/ 管理台 · clients/uwork 客户端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结论摘要：主链路对齐；存在 1 类系统性权限错配与若干能力缺口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UWork 工程核查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2026-10-21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r>
            <w:t>1 执行摘要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2 核查范围与方法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2.1 核查对象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2.2 方法与工具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2.3 结果总览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3 路由与调用面对齐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3.1 后端路由面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3.2 前端调用面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3.3 匹配结果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4 合同与字段对齐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4.1 客户端合同实测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4.2 管理台响应字段与列键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4.3 配置类型与共享 schema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5 权限面对齐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5.1 角色与权限档位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5.2 实测拒绝矩阵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5.3 影响判断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6 能力覆盖差异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6.1 管理台缺失入口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6.2 版本审核与发布链路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6.3 其他差异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7 无问题项与回归证据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8 结论与修复建议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8.1 优先级建议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0" w:after="0" w:line="280" w:lineRule="auto"/>
          </w:pPr>
          <w:r>
            <w:t>8.2 建议验收顺序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0" w:after="0" w:line="280" w:lineRule="auto"/>
          </w:pPr>
          <w:r>
            <w:t>附录 A 核查证据与复现方式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说明：目录由域代码生成。若页码未更新，请在 Word 中右键目录并选择「更新域」后刷新整张目录。</w:t>
      </w:r>
    </w:p>
    <w:p>
      <w:pPr>
        <w:pStyle w:val="Heading1"/>
        <w:keepNext/>
        <w:spacing w:after="200" w:before="360" w:line="312"/>
      </w:pPr>
      <w:bookmarkStart w:name="_Toc1" w:id="1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1 执行摘要</w:t>
      </w:r>
      <w:bookmarkEnd w:id="1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本次核查的目标，是判断 UWork 企业管理台的 Web 前端与 UWork 客户端（企业后端模式）是否与 src/ 下的 Fastify 后端在路由、接口合同、响应字段与权限四个层面保持一致。核查基于当前工作区的实际代码快照，包含未提交改动。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结论先行：主链路对齐。后端共 149 条路由；两侧前端共 176 处调用，经方法与路径模板归一化后全部命中现有路由。客户端方向直接使用 UWork 自身的网关客户端代码与共享 zod schema 对后端发起 17 项合同检查，全部通过；管理台方向按真实请求形状逐页核对，97/105 步通过，其余 8 项经逐条定位，5 项为网盘未配置的环境状态，2 项为核查脚本自身的构造问题，1 项为评测报告的展示时点差异。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真正需要处理的是权限面。管理台用「角色是否可写」一个粗粒度开关决定按钮可见性，后端却按 read、write、identity、vault 四档权限逐端点判定。由此 operator 与 auditor 会看到并被允许点击一批后端必然拒绝的操作：实测 operator 的 46 个动作中有 14 个返回 403，其中凭据管理与企微配置连读取都被拒绝。这是界面承诺了后端不提供的能力，而不是后端越权漏洞。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其次是能力覆盖差异。资产与智能体的版本历史没有界面入口，「审核」固定提交通过、无法拒绝；账目人工对账、自动化投递记录、成员有效权限检查等后端能力在管理台没有入口，其中人工对账直接关系到 uncertain 账目的收口。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回归证据方面，仓库自带测试 305 项全部通过（0 失败，耗时 66.9 秒），服务端与管理台的 TypeScript 类型检查均通过，admin/dist 构建产物新于全部前端源码。核查未发现前端调用了不存在或方法不匹配的后端路由。</w:t>
      </w:r>
    </w:p>
    <w:p>
      <w:pPr>
        <w:pStyle w:val="Heading1"/>
        <w:keepNext/>
        <w:spacing w:after="200" w:before="360" w:line="312"/>
      </w:pPr>
      <w:bookmarkStart w:name="_Toc2" w:id="2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2 核查范围与方法</w:t>
      </w:r>
      <w:bookmarkEnd w:id="2"/>
    </w:p>
    <w:p>
      <w:pPr>
        <w:pStyle w:val="Heading2"/>
        <w:keepNext/>
        <w:spacing w:after="140" w:before="260" w:line="312"/>
      </w:pPr>
      <w:bookmarkStart w:name="_Toc3" w:id="3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2.1 核查对象</w:t>
      </w:r>
      <w:bookmarkEnd w:id="3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后端为 src/ 下的 Fastify 服务，共 149 条路由：/api/tenants 前缀 101 条，/api/client 前缀 24 条，/api/auth 前缀 13 条，/v1 前缀 2 条，其余为管理台静态资源与分享浏览页。管理台为 admin/src，页面由 catalog.ts 驱动的通用集合页、Settings 设置页与配置表单组成。客户端为 clients/uwork 中的企业身份、企业控制台、企业资产与网关模块，仅核查 backend 配置为 uwork 的链路。</w:t>
      </w:r>
    </w:p>
    <w:p>
      <w:pPr>
        <w:pStyle w:val="Heading2"/>
        <w:keepNext/>
        <w:spacing w:after="140" w:before="260" w:line="312"/>
      </w:pPr>
      <w:bookmarkStart w:name="_Toc4" w:id="4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2.2 方法与工具</w:t>
      </w:r>
      <w:bookmarkEnd w:id="4"/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路由面提取：真实创建并 ready 一个内存数据库的 Fastify 实例，打印其路由表，不使用正则推测路径。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前端调用面提取：从 catalog.ts、Collection.tsx、Settings.tsx、configurationSession.ts、clientExperienceFields.tsx，以及客户端的 enterprise-identity、enterprise-console、enterprise-assets、ucas-gateway 模块逐处提取方法、路径与请求体。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模板匹配：将路径参数统一归一化后逐条比对方法与路径，输出未命中的调用。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合同实测：客户端侧导入真实的 createUWorkGatewayClient 与 @zcode/shared 的 zod schema，通过注入桥接到进程内后端；管理台侧按真实请求形状（含分页、筛选、表单字段与 revision）逐页调用，并用 catalog 中的列键逐项解析响应字段。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权限扫描：分别以 owner 与 operator 身份登录，对界面会展示的写操作逐个发起请求，记录状态码与错误码。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回归验证：执行 npm test、npm run typecheck，并对比 admin/dist 与 admin/src 的时间戳。</w:t>
      </w:r>
    </w:p>
    <w:p>
      <w:pPr>
        <w:pStyle w:val="Heading2"/>
        <w:keepNext/>
        <w:spacing w:after="140" w:before="260" w:line="312"/>
      </w:pPr>
      <w:bookmarkStart w:name="_Toc5" w:id="5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2.3 结果总览</w:t>
      </w:r>
      <w:bookmarkEnd w:id="5"/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1  核查层次与结果总览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1500"/>
        <w:gridCol w:w="3500"/>
        <w:gridCol w:w="3788"/>
      </w:tblGrid>
      <w:tr>
        <w:trPr>
          <w:cantSplit/>
          <w:tblHeader/>
        </w:trPr>
        <w:tc>
          <w:tcPr>
            <w:tcW w:type="dxa" w:w="1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核查层</w:t>
            </w:r>
          </w:p>
        </w:tc>
        <w:tc>
          <w:tcPr>
            <w:tcW w:type="dxa" w:w="3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方法与样本</w:t>
            </w:r>
          </w:p>
        </w:tc>
        <w:tc>
          <w:tcPr>
            <w:tcW w:type="dxa" w:w="37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路由与方法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149 条后端路由 × 176 处前端调用</w:t>
            </w:r>
          </w:p>
        </w:tc>
        <w:tc>
          <w:tcPr>
            <w:tcW w:type="dxa" w:w="37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全部命中；仅客户端遗留 UCAS 适配器 8 条路径不在本后端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客户端合同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真实网关客户端 + 共享 zod schema，17 项</w:t>
            </w:r>
          </w:p>
        </w:tc>
        <w:tc>
          <w:tcPr>
            <w:tcW w:type="dxa" w:w="37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17/17 通过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管理台字段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22 个集合与设置页，按 catalog 列键解析</w:t>
            </w:r>
          </w:p>
        </w:tc>
        <w:tc>
          <w:tcPr>
            <w:tcW w:type="dxa" w:w="37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通过；评测报告字段仅在成功后存在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表单请求体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 类写操作按 catalog 字段提交</w:t>
            </w:r>
          </w:p>
        </w:tc>
        <w:tc>
          <w:tcPr>
            <w:tcW w:type="dxa" w:w="37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权限面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operator 46 个动作，owner 全量对照</w:t>
            </w:r>
          </w:p>
        </w:tc>
        <w:tc>
          <w:tcPr>
            <w:tcW w:type="dxa" w:w="37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operator 14 个动作返回 403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回归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305 项测试 + 双端类型检查</w:t>
            </w:r>
          </w:p>
        </w:tc>
        <w:tc>
          <w:tcPr>
            <w:tcW w:type="dxa" w:w="37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全部通过</w:t>
            </w:r>
          </w:p>
        </w:tc>
      </w:tr>
    </w:tbl>
    <w:p>
      <w:pPr>
        <w:pStyle w:val="Heading1"/>
        <w:keepNext/>
        <w:spacing w:after="200" w:before="360" w:line="312"/>
      </w:pPr>
      <w:bookmarkStart w:name="_Toc6" w:id="6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3 路由与调用面对齐</w:t>
      </w:r>
      <w:bookmarkEnd w:id="6"/>
    </w:p>
    <w:p>
      <w:pPr>
        <w:pStyle w:val="Heading2"/>
        <w:keepNext/>
        <w:spacing w:after="140" w:before="260" w:line="312"/>
      </w:pPr>
      <w:bookmarkStart w:name="_Toc7" w:id="7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3.1 后端路由面</w:t>
      </w:r>
      <w:bookmarkEnd w:id="7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后端路由按业务模块注册，覆盖身份、企微扫码、目录与成员、凭据、模型与网关、资产与分类、策略与客户端配置、智能体与执行、沙箱、自动化、评测、订阅与限量、留存、审计与追踪、分享以及外部集成。管理台用到的租户级接口位于 /api/tenants/:tenantId 下，客户端用到的执行面接口位于 /api/client 下，模型网关入口为 /v1/models 与 /v1/chat/completions。</w:t>
      </w:r>
    </w:p>
    <w:p>
      <w:pPr>
        <w:pStyle w:val="Heading2"/>
        <w:keepNext/>
        <w:spacing w:after="140" w:before="260" w:line="312"/>
      </w:pPr>
      <w:bookmarkStart w:name="_Toc8" w:id="8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3.2 前端调用面</w:t>
      </w:r>
      <w:bookmarkEnd w:id="8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管理台的请求路径由租户基址与视图路径拼接而成，集合页统一发送 page、pageSize 与 q 参数，聚合页额外发送 groupBy。配置页固定访问 configurations/:kind，并按草稿保存、发布、放弃三种动作分别发送 PUT、POST 与 DELETE。客户端由身份适配器、网关客户端、企业控制台、资产宿主与分享客户端五处发起请求。</w:t>
      </w:r>
    </w:p>
    <w:p>
      <w:pPr>
        <w:pStyle w:val="Heading2"/>
        <w:keepNext/>
        <w:spacing w:after="140" w:before="260" w:line="312"/>
      </w:pPr>
      <w:bookmarkStart w:name="_Toc9" w:id="9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3.3 匹配结果</w:t>
      </w:r>
      <w:bookmarkEnd w:id="9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176 处调用全部命中现有路由的方法与路径模板。唯一不在本后端路由表中的，是客户端为原始 UCAS 服务保留的遗留适配器。该分支由本机 enterprise-identity.json 中的 backend 字段决定，取值为 ucas 时启用、取值为 uwork 时走自有后端；仓库内测试与验收配置均使用 uwork。</w:t>
      </w:r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2  客户端遗留适配器路径（仅 backend=ucas 时启用）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4200"/>
        <w:gridCol w:w="4588"/>
      </w:tblGrid>
      <w:tr>
        <w:trPr>
          <w:cantSplit/>
          <w:tblHeader/>
        </w:trPr>
        <w:tc>
          <w:tcPr>
            <w:tcW w:type="dxa" w:w="42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遗留路径</w:t>
            </w:r>
          </w:p>
        </w:tc>
        <w:tc>
          <w:tcPr>
            <w:tcW w:type="dxa" w:w="45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 /api/auth/refresh、GET /api/auth/orgs</w:t>
            </w:r>
          </w:p>
        </w:tc>
        <w:tc>
          <w:tcPr>
            <w:tcW w:type="dxa" w:w="45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原服务会话续期与组织端点，自有后端以 /api/auth/me 替代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POST /api/auth/handoff/start、/claim</w:t>
            </w:r>
          </w:p>
        </w:tc>
        <w:tc>
          <w:tcPr>
            <w:tcW w:type="dxa" w:w="45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原桌面握手流程，自有后端以企微扫码 attempt 流程替代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/api/keys、POST /api/keys/generate、GET /api/keys/:id/reveal</w:t>
            </w:r>
          </w:p>
        </w:tc>
        <w:tc>
          <w:tcPr>
            <w:tcW w:type="dxa" w:w="45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原供应商密钥管理，自有后端明确不向客户端下发上游密钥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/api/usage</w:t>
            </w:r>
          </w:p>
        </w:tc>
        <w:tc>
          <w:tcPr>
            <w:tcW w:type="dxa" w:w="45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原用量接口，自有后端以 /api/client/usage 替代</w:t>
            </w:r>
          </w:p>
        </w:tc>
      </w:tr>
    </w:tbl>
    <w:p>
      <w:pPr>
        <w:spacing w:after="160" w:before="80" w:line="312"/>
      </w:pPr>
      <w:r>
        <w:rPr>
          <w:rFonts w:ascii="Times New Roman" w:eastAsia="SimSun" w:hAnsi="Times New Roman"/>
          <w:color w:val="5B6B7D"/>
          <w:sz w:val="19"/>
          <w:szCs w:val="19"/>
        </w:rPr>
        <w:t xml:space="preserve">说明：这些路径本身不是断链，而是双后端分支的另一侧。若部署目标是完全只连自有后端，需要确认分发包内的 enterprise-identity.json 已显式配置 backend 为 uwork，因为代码在未配置时的默认值是 ucas。</w:t>
      </w:r>
    </w:p>
    <w:p>
      <w:pPr>
        <w:pStyle w:val="Heading1"/>
        <w:keepNext/>
        <w:spacing w:after="200" w:before="360" w:line="312"/>
      </w:pPr>
      <w:bookmarkStart w:name="_Toc10" w:id="10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4 合同与字段对齐</w:t>
      </w:r>
      <w:bookmarkEnd w:id="10"/>
    </w:p>
    <w:p>
      <w:pPr>
        <w:pStyle w:val="Heading2"/>
        <w:keepNext/>
        <w:spacing w:after="140" w:before="260" w:line="312"/>
      </w:pPr>
      <w:bookmarkStart w:name="_Toc11" w:id="11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4.1 客户端合同实测</w:t>
      </w:r>
      <w:bookmarkEnd w:id="11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客户端方向使用其自身代码而非重新实现，确保验证的是真实消费方。检查覆盖身份资料读取、订阅与额度、用量统计、模型目录、终端凭据吊销、客户端配置与导航、企业智能体列表、资产元数据、任务分页与受理回执、任务详情、菜单授权决策、执行授权决策、终端事件上报、资产下载与分享能力声明，共 17 项，全部通过。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其中几项属于容易漂移的合同点，实测结果如下：任务创建返回 202 且回执可被客户端 schema 解析；导航配置同时满足 tenantId 与版本号校验；资产元数据的 categoryId 允许为空；任务分页返回 items、total、page、pageSize 四个字段；分享能力声明满足客户端 wire schema。</w:t>
      </w:r>
    </w:p>
    <w:p>
      <w:pPr>
        <w:pStyle w:val="Heading2"/>
        <w:keepNext/>
        <w:spacing w:after="140" w:before="260" w:line="312"/>
      </w:pPr>
      <w:bookmarkStart w:name="_Toc12" w:id="12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4.2 管理台响应字段与列键</w:t>
      </w:r>
      <w:bookmarkEnd w:id="12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管理台 22 个集合与设置页的列键全部能在后端响应中解析到值，包括 data.upstreamModel、data.modelId 这类嵌套字段，以及 published_version、next_at、run_count、external_id 等 snake_case 字段。用量明细的 CSV 导出返回 text/csv 并带附件文件名；用量聚合在 member、department、application 三个维度下均返回 subject、credits、inputTokens、outputTokens、requests。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唯一存在时点差异的是评测报告：后端在评测成功后才写入 passed、total 与 passRate，因此排队、运行中或已取消的评测行，管理台对应两列显示为「-」。这属于展示层面的空值处理，不是字段名错配。</w:t>
      </w:r>
    </w:p>
    <w:p>
      <w:pPr>
        <w:pStyle w:val="Heading2"/>
        <w:keepNext/>
        <w:spacing w:after="140" w:before="260" w:line="312"/>
      </w:pPr>
      <w:bookmarkStart w:name="_Toc13" w:id="13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4.3 配置类型与共享 schema</w:t>
      </w:r>
      <w:bookmarkEnd w:id="13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管理台与后端的客户端配置类型枚举完全一致，均为 11 类：menus、new-chat、assistants、sharing、personal、security、network、scenes、help、desktop、plugin-store。其中 scenes、help、desktop、plugin-store 四类由管理台直接 import 后端的 src/client-experience.ts 进行同源校验；其余七类在管理台是通用 JSON 编辑器，只在保存时由后端 schema 校验。这种设计保证了类型一致，但编辑期缺少即时提示。</w:t>
      </w:r>
    </w:p>
    <w:p>
      <w:pPr>
        <w:pStyle w:val="Heading1"/>
        <w:keepNext/>
        <w:spacing w:after="200" w:before="360" w:line="312"/>
      </w:pPr>
      <w:bookmarkStart w:name="_Toc14" w:id="14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5 权限面对齐</w:t>
      </w:r>
      <w:bookmarkEnd w:id="14"/>
    </w:p>
    <w:p>
      <w:pPr>
        <w:pStyle w:val="Heading2"/>
        <w:keepNext/>
        <w:spacing w:after="140" w:before="260" w:line="312"/>
      </w:pPr>
      <w:bookmarkStart w:name="_Toc15" w:id="15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5.1 角色与权限档位</w:t>
      </w:r>
      <w:bookmarkEnd w:id="15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后端在目录模块中给出角色到权限的映射，并在每个端点调用 requirePermission 做最终裁决。管理台只读取角色名，用一个固定的角色数组决定写操作是否可见。</w:t>
      </w:r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3  后端角色与权限档位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2288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22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read</w:t>
            </w:r>
          </w:p>
        </w:tc>
        <w:tc>
          <w:tcPr>
            <w:tcW w:type="dxa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write</w:t>
            </w:r>
          </w:p>
        </w:tc>
        <w:tc>
          <w:tcPr>
            <w:tcW w:type="dxa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identity</w:t>
            </w:r>
          </w:p>
        </w:tc>
        <w:tc>
          <w:tcPr>
            <w:tcW w:type="dxa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vault</w:t>
            </w:r>
          </w:p>
        </w:tc>
        <w:tc>
          <w:tcPr>
            <w:tcW w:type="dxa" w:w="13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execute</w:t>
            </w:r>
          </w:p>
        </w:tc>
      </w:tr>
      <w:tr>
        <w:trPr>
          <w:cantSplit/>
        </w:trPr>
        <w:tc>
          <w:tcPr>
            <w:tcW w:type="dxa" w:w="22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</w:tr>
      <w:tr>
        <w:trPr>
          <w:cantSplit/>
        </w:trPr>
        <w:tc>
          <w:tcPr>
            <w:tcW w:type="dxa" w:w="22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</w:tr>
      <w:tr>
        <w:trPr>
          <w:cantSplit/>
        </w:trPr>
        <w:tc>
          <w:tcPr>
            <w:tcW w:type="dxa" w:w="22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</w:tr>
      <w:tr>
        <w:trPr>
          <w:cantSplit/>
        </w:trPr>
        <w:tc>
          <w:tcPr>
            <w:tcW w:type="dxa" w:w="22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auditor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</w:tr>
      <w:tr>
        <w:trPr>
          <w:cantSplit/>
        </w:trPr>
        <w:tc>
          <w:tcPr>
            <w:tcW w:type="dxa" w:w="22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有</w:t>
            </w:r>
          </w:p>
        </w:tc>
      </w:tr>
    </w:tbl>
    <w:p>
      <w:pPr>
        <w:pStyle w:val="Heading2"/>
        <w:keepNext/>
        <w:spacing w:after="140" w:before="260" w:line="312"/>
      </w:pPr>
      <w:bookmarkStart w:name="_Toc16" w:id="16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5.2 实测拒绝矩阵</w:t>
      </w:r>
      <w:bookmarkEnd w:id="16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管理台在三处按角色做了限制：侧栏对 member 显示无权限提示，客户端定制页用 fieldset 对非 owner、admin 禁用，成员页的企微绑定按钮仅对 owner、admin 显示。除此之外，企业设置页、集合页的新建与编辑按钮只判断角色是否属于可写集合，没有判断具体端点所需的权限。</w:t>
      </w:r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4  管理台展示但后端拒绝的操作（operator 实测）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3488"/>
        <w:gridCol w:w="1700"/>
        <w:gridCol w:w="1900"/>
        <w:gridCol w:w="1700"/>
      </w:tblGrid>
      <w:tr>
        <w:trPr>
          <w:cantSplit/>
          <w:tblHeader/>
        </w:trPr>
        <w:tc>
          <w:tcPr>
            <w:tcW w:type="dxa" w:w="34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dxa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管理台展示</w:t>
            </w:r>
          </w:p>
        </w:tc>
        <w:tc>
          <w:tcPr>
            <w:tcW w:type="dxa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后端要求</w:t>
            </w:r>
          </w:p>
        </w:tc>
        <w:tc>
          <w:tcPr>
            <w:tcW w:type="dxa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operator 实测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打开凭据管理（GET /credentials）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侧栏常驻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vault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新建模型（POST /models）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vault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新建访问策略（POST /policies）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新建安全基线（POST /policies/security）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新建成员与部门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新建按钮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资产审核（POST /assets/:id/review）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审核按钮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留存设置与立即清理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设置页按钮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限量规则（PUT /limits）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设置页按钮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调整订阅（PUT /subscription）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设置页按钮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owner 且交互会话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企微配置读取与写入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设置页按钮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 / vault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网盘适配配置（PUT /integrations/drive）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设置页按钮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vault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4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保存客户端配置草稿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已禁用（fieldset）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identity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不可点击</w:t>
            </w:r>
          </w:p>
        </w:tc>
      </w:tr>
    </w:tbl>
    <w:p>
      <w:pPr>
        <w:pStyle w:val="Heading2"/>
        <w:keepNext/>
        <w:spacing w:after="140" w:before="260" w:line="312"/>
      </w:pPr>
      <w:bookmarkStart w:name="_Toc17" w:id="17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5.3 影响判断</w:t>
      </w:r>
      <w:bookmarkEnd w:id="17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后端每一条拒绝都是正确执行了既定权限模型，因此这里不存在越权风险，问题在于界面误导：operator 与 auditor 会反复遇到报错，凭据管理页甚至无法加载任何数据，却没有任何说明。auditor 受影响更明显，因为它只读，侧栏却仍展示全部写入口与企业设置。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建议的修复方向不是再维护一份角色数组，而是让管理台消费 GET /roles 已经返回的 permissions 映射，按端点所需能力渲染按钮与页面，同时在无权限时给出只读提示而非请求失败的红色错误。</w:t>
      </w:r>
    </w:p>
    <w:p>
      <w:pPr>
        <w:pStyle w:val="Heading1"/>
        <w:keepNext/>
        <w:spacing w:after="200" w:before="360" w:line="312"/>
      </w:pPr>
      <w:bookmarkStart w:name="_Toc18" w:id="18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6 能力覆盖差异</w:t>
      </w:r>
      <w:bookmarkEnd w:id="18"/>
    </w:p>
    <w:p>
      <w:pPr>
        <w:pStyle w:val="Heading2"/>
        <w:keepNext/>
        <w:spacing w:after="140" w:before="260" w:line="312"/>
      </w:pPr>
      <w:bookmarkStart w:name="_Toc19" w:id="19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6.1 管理台缺失入口</w:t>
      </w:r>
      <w:bookmarkEnd w:id="19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以下后端能力在管理台没有任何界面入口，核查时通过全目录检索确认前端未引用对应路径。</w:t>
      </w:r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5  后端已实现但管理台无入口的能力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2500"/>
        <w:gridCol w:w="3400"/>
        <w:gridCol w:w="2888"/>
      </w:tblGrid>
      <w:tr>
        <w:trPr>
          <w:cantSplit/>
          <w:tblHeader/>
        </w:trPr>
        <w:tc>
          <w:tcPr>
            <w:tcW w:type="dxa" w:w="2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后端能力</w:t>
            </w:r>
          </w:p>
        </w:tc>
        <w:tc>
          <w:tcPr>
            <w:tcW w:type="dxa" w:w="3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路由</w:t>
            </w:r>
          </w:p>
        </w:tc>
        <w:tc>
          <w:tcPr>
            <w:tcW w:type="dxa" w:w="28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管理台现状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资产版本历史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/assets/:id/versions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无入口，仅能凭版本号盲填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待核实账目人工对账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PUT /usage/:id/reconcile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无入口，uncertain 账目只能停留在待核实状态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自动化投递记录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/deliveries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无入口，投递失败只能看任务状态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成员有效权限检查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/permissions/:userId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无入口，排查越权需手工查询数据库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运行能力声明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GET /runtime、GET /runtimes/capability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无入口，管理员无法确认沙箱能力</w:t>
            </w:r>
          </w:p>
        </w:tc>
      </w:tr>
    </w:tbl>
    <w:p>
      <w:pPr>
        <w:pStyle w:val="Heading2"/>
        <w:keepNext/>
        <w:spacing w:after="140" w:before="260" w:line="312"/>
      </w:pPr>
      <w:bookmarkStart w:name="_Toc20" w:id="20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6.2 版本审核与发布链路</w:t>
      </w:r>
      <w:bookmarkEnd w:id="20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后端采用不可变版本模型：更新产生新版本，审核记录通过状态，发布绑定已审核版本。管理台的资产页只有「审核」与「发布」两个按钮，审核请求把 approved 固定为 true，版本号默认取当前已发布版本，并且没有版本列表。这带来两个直接后果：无法拒绝一个版本；无法发现并审核新产生的版本。智能体发布同样默认指向已发布版本，发布新版本需要人工填写正确的版本号。</w:t>
      </w:r>
    </w:p>
    <w:p>
      <w:pPr>
        <w:pStyle w:val="Heading2"/>
        <w:keepNext/>
        <w:spacing w:after="140" w:before="260" w:line="312"/>
      </w:pPr>
      <w:bookmarkStart w:name="_Toc21" w:id="21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6.3 其他差异</w:t>
      </w:r>
      <w:bookmarkEnd w:id="21"/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6  边角差异与影响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1900"/>
        <w:gridCol w:w="4000"/>
        <w:gridCol w:w="2888"/>
      </w:tblGrid>
      <w:tr>
        <w:trPr>
          <w:cantSplit/>
          <w:tblHeader/>
        </w:trPr>
        <w:tc>
          <w:tcPr>
            <w:tcW w:type="dxa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4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dxa" w:w="28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评测报告列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passRate 与 total 仅在评测成功后写入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排队、运行、取消状态下显示「-」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企微 AgentId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后端要求纯数字，表单无格式提示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非数字输入只得到通用校验错误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网盘未配置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四个读取端点返回 503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管理台直接展示错误，未引导先配置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客户端身份配置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apiBaseUrl 必须与后端 PUBLIC_URL 完全一致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不一致时扫码登录取回会话会报绑定不匹配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遗留 UCAS 适配器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未配置 backend 时默认 ucas</w:t>
            </w:r>
          </w:p>
        </w:tc>
        <w:tc>
          <w:tcPr>
            <w:tcW w:type="dxa" w:w="28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部署若漏配会连到原服务而非自有后端</w:t>
            </w:r>
          </w:p>
        </w:tc>
      </w:tr>
    </w:tbl>
    <w:p>
      <w:pPr>
        <w:pStyle w:val="Heading1"/>
        <w:keepNext/>
        <w:spacing w:after="200" w:before="360" w:line="312"/>
      </w:pPr>
      <w:bookmarkStart w:name="_Toc22" w:id="22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7 无问题项与回归证据</w:t>
      </w:r>
      <w:bookmarkEnd w:id="22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以下链路核查未发现问题，且均有实测支撑：管理台登录采用 Cookie 交付并带同源校验；配置草稿的保存、发布、放弃与版本号回写一致；任务、评测与沙箱执行的取消路径存在且方法匹配；订阅、限量、留存与企微同步的请求体与后端 schema 一致；用量明细、聚合、追踪、审计与终端事件的字段与筛选可用；CSV 导出与客户端的 202 受理语义正确。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仓库回归结果为 305 项测试全部通过、0 失败，耗时 66.9 秒；服务端与管理台的 typecheck 均通过；admin/dist 的构建产物时间为 13:17:38，晚于 main.tsx 与 Settings.tsx 的 13:17:33，说明部署产物未落后于源码。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客户端侧另有 17 项合同检查全部通过，且使用的是客户端自身的网关客户端与共享 schema，而不是为核查另写的模型，因此结论可直接代表真实客户端的消费行为。</w:t>
      </w:r>
    </w:p>
    <w:p>
      <w:pPr>
        <w:pStyle w:val="Heading1"/>
        <w:keepNext/>
        <w:spacing w:after="200" w:before="360" w:line="312"/>
      </w:pPr>
      <w:bookmarkStart w:name="_Toc23" w:id="23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8 结论与修复建议</w:t>
      </w:r>
      <w:bookmarkEnd w:id="23"/>
    </w:p>
    <w:p>
      <w:pPr>
        <w:pStyle w:val="Heading2"/>
        <w:keepNext/>
        <w:spacing w:after="140" w:before="260" w:line="312"/>
      </w:pPr>
      <w:bookmarkStart w:name="_Toc24" w:id="24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8.1 优先级建议</w:t>
      </w:r>
      <w:bookmarkEnd w:id="24"/>
    </w:p>
    <w:p>
      <w:pPr>
        <w:keepNext/>
        <w:spacing w:after="80" w:before="160" w:line="312"/>
      </w:pPr>
      <w:r>
        <w:rPr>
          <w:rFonts w:ascii="Times New Roman" w:eastAsia="SimHei" w:hAnsi="Times New Roman"/>
          <w:b/>
          <w:bCs/>
          <w:color w:val="162235"/>
          <w:sz w:val="21"/>
          <w:szCs w:val="21"/>
        </w:rPr>
        <w:t xml:space="preserve">表 7  修复优先级与涉及位置</w:t>
      </w:r>
    </w:p>
    <w:tbl>
      <w:tblPr>
        <w:tblW w:type="dxa" w:w="8788"/>
        <w:tblBorders>
          <w:top w:val="single" w:color="1B6B7A" w:sz="4"/>
          <w:left w:val="none"/>
          <w:bottom w:val="single" w:color="1B6B7A" w:sz="4"/>
          <w:right w:val="none"/>
          <w:insideH w:val="single" w:color="C8DDE2" w:sz="2"/>
          <w:insideV w:val="none"/>
        </w:tblBorders>
        <w:tblLayout w:type="fixed"/>
      </w:tblPr>
      <w:tblGrid>
        <w:gridCol w:w="1000"/>
        <w:gridCol w:w="4400"/>
        <w:gridCol w:w="3388"/>
      </w:tblGrid>
      <w:tr>
        <w:trPr>
          <w:cantSplit/>
          <w:tblHeader/>
        </w:trPr>
        <w:tc>
          <w:tcPr>
            <w:tcW w:type="dxa" w:w="1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4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dxa" w:w="3388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/>
                <w:bCs/>
                <w:color w:val="FFFFFF"/>
                <w:sz w:val="21"/>
                <w:szCs w:val="21"/>
              </w:rPr>
              <w:t xml:space="preserve">涉及位置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管理台改为按后端权限能力渲染按钮与页面，消除 operator 与 auditor 的误导性操作</w:t>
            </w:r>
          </w:p>
        </w:tc>
        <w:tc>
          <w:tcPr>
            <w:tcW w:type="dxa" w:w="3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admin/src/main.tsx、admin/src/Settings.tsx、admin/src/Collection.tsx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凭据管理对无 vault 权限的角色隐藏或给出只读说明</w:t>
            </w:r>
          </w:p>
        </w:tc>
        <w:tc>
          <w:tcPr>
            <w:tcW w:type="dxa" w:w="3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admin/src/catalog.ts、admin/src/main.tsx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补充资产与智能体版本列表，并支持审核拒绝</w:t>
            </w:r>
          </w:p>
        </w:tc>
        <w:tc>
          <w:tcPr>
            <w:tcW w:type="dxa" w:w="3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admin/src/Collection.tsx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增加待核实账目对账与自动化投递记录入口</w:t>
            </w:r>
          </w:p>
        </w:tc>
        <w:tc>
          <w:tcPr>
            <w:tcW w:type="dxa" w:w="3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admin/src/catalog.ts、admin/src/Settings.tsx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评测空值文案、AgentId 格式提示、网盘未配置引导、七类配置的编辑期校验</w:t>
            </w:r>
          </w:p>
        </w:tc>
        <w:tc>
          <w:tcPr>
            <w:tcW w:type="dxa" w:w="338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admin/src 多处</w:t>
            </w:r>
          </w:p>
        </w:tc>
      </w:tr>
    </w:tbl>
    <w:p>
      <w:pPr>
        <w:pStyle w:val="Heading2"/>
        <w:keepNext/>
        <w:spacing w:after="140" w:before="260" w:line="312"/>
      </w:pPr>
      <w:bookmarkStart w:name="_Toc25" w:id="25"/>
      <w:r>
        <w:rPr>
          <w:rFonts w:ascii="Times New Roman" w:eastAsia="SimHei" w:hAnsi="Times New Roman"/>
          <w:b/>
          <w:bCs/>
          <w:color w:val="162235"/>
          <w:sz w:val="30"/>
          <w:szCs w:val="30"/>
        </w:rPr>
        <w:t xml:space="preserve">8.2 建议验收顺序</w:t>
      </w:r>
      <w:bookmarkEnd w:id="25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先完成权限面统一，因为它影响所有非 owner、admin 角色的可用性，且改动集中在渲染层，风险最低。随后补版本审核链路，这是资产治理的核心动作，当前流程实际上无法走通。最后补对账与投递记录等运维入口，并用真实数据执行一次 uncertain 账目的核实闭环。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每一阶段完成后，建议以 operator、auditor 两种身份各走一遍受影响的页面，并对客户端执行同一批 17 项合同检查，防止权限与合同修复互相回归。</w:t>
      </w:r>
    </w:p>
    <w:p>
      <w:pPr>
        <w:pStyle w:val="Heading1"/>
        <w:keepNext/>
        <w:spacing w:after="200" w:before="360" w:line="312"/>
      </w:pPr>
      <w:bookmarkStart w:name="_Toc26" w:id="26"/>
      <w:r>
        <w:rPr>
          <w:rFonts w:ascii="Times New Roman" w:eastAsia="SimHei" w:hAnsi="Times New Roman"/>
          <w:b/>
          <w:bCs/>
          <w:color w:val="162235"/>
          <w:sz w:val="32"/>
          <w:szCs w:val="32"/>
        </w:rPr>
        <w:t xml:space="preserve">附录 A 核查证据与复现方式</w:t>
      </w:r>
      <w:bookmarkEnd w:id="26"/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路由表：以内存数据库启动 createApp，ready 后调用 printRoutes 获得完整路由树，共 149 条。客户端合同：导入客户端 packages/services 中的 createUWorkGatewayClient 与 packages/shared 中的企业控制台、网关、分享 schema，通过自定义 fetch 将请求转给 app.inject，逐项 parse。管理台：按 catalog 的视图路径、字段与列键构造请求，覆盖 20 类写操作与 22 个列表与设置页。权限：分别以 owner 与 operator 登录后对同一组动作发起请求，记录状态码与错误码。</w:t>
      </w:r>
    </w:p>
    <w:p>
      <w:pPr>
        <w:spacing w:after="120" w:line="312"/>
        <w:ind w:firstLine="48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回归命令：npm test 与 npm run typecheck 在仓库根目录执行，结果分别为 305 项通过与双端类型检查通过。核查过程中创建的临时脚本已在结束后删除，工作区未留下额外文件。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5B6B7D"/>
        <w:sz w:val="18"/>
        <w:szCs w:val="18"/>
      </w:rPr>
      <w:fldChar w:fldCharType="begin"/>
    </w:r>
    <w:r>
      <w:rPr>
        <w:rFonts w:ascii="Times New Roman"/>
        <w:color w:val="5B6B7D"/>
        <w:sz w:val="18"/>
        <w:szCs w:val="18"/>
      </w:rPr>
      <w:instrText xml:space="preserve"> PAGE \* ROMAN \* MERGEFORMAT </w:instrText>
    </w:r>
    <w:r>
      <w:rPr>
        <w:rFonts w:ascii="Times New Roman"/>
        <w:color w:val="5B6B7D"/>
        <w:sz w:val="18"/>
        <w:szCs w:val="18"/>
      </w:rPr>
      <w:fldChar w:fldCharType="separate"/>
    </w:r>
    <w:r>
      <w:rPr>
        <w:rFonts w:ascii="Times New Roman"/>
        <w:color w:val="5B6B7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5B6B7D"/>
        <w:sz w:val="18"/>
        <w:szCs w:val="18"/>
      </w:rPr>
      <w:fldChar w:fldCharType="begin"/>
    </w:r>
    <w:r>
      <w:rPr>
        <w:rFonts w:ascii="Times New Roman"/>
        <w:color w:val="5B6B7D"/>
        <w:sz w:val="18"/>
        <w:szCs w:val="18"/>
      </w:rPr>
      <w:instrText xml:space="preserve"> PAGE \* arabic \* MERGEFORMAT </w:instrText>
    </w:r>
    <w:r>
      <w:rPr>
        <w:rFonts w:ascii="Times New Roman"/>
        <w:color w:val="5B6B7D"/>
        <w:sz w:val="18"/>
        <w:szCs w:val="18"/>
      </w:rPr>
      <w:fldChar w:fldCharType="separate"/>
    </w:r>
    <w:r>
      <w:rPr>
        <w:rFonts w:ascii="Times New Roman"/>
        <w:color w:val="5B6B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100"/>
    </w:pPr>
    <w:r>
      <w:rPr>
        <w:rFonts w:ascii="Times New Roman" w:eastAsia="SimSun"/>
        <w:color w:val="5B6B7D"/>
        <w:sz w:val="16"/>
        <w:szCs w:val="16"/>
      </w:rPr>
      <w:t xml:space="preserve">UWork 前端与后端功能对齐核查报告 · 2026-10-21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outlineLvl w:val="0"/>
    </w:pPr>
    <w:rPr>
      <w:rFonts w:ascii="Times New Roman" w:eastAsia="SimHei" w:hAnsi="Times New Roman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 w:line="312"/>
      <w:outlineLvl w:val="1"/>
    </w:pPr>
    <w:rPr>
      <w:rFonts w:ascii="Times New Roman" w:eastAsia="SimHei" w:hAnsi="Times New Roman"/>
      <w:b/>
      <w:bCs/>
      <w:color w:val="162235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Times New Roman" w:eastAsia="SimHei" w:hAnsi="Times New Roman"/>
      <w:b/>
      <w:bCs/>
      <w:color w:val="162235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2026-10-21T11:57:10.152Z</dcterms:created>
  <dcterms:modified xsi:type="dcterms:W3CDTF">2026-10-21T11:57:10.153Z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