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handout-8---sharing-and-publishing-worksheets-writing-to-files-the-individual-coursework-and-class-test-feedback." w:name="computing-for-mathematics-handout-8---sharing-and-publishing-worksheets-writing-to-files-the-individual-coursework-and-class-test-feedback."/>
    <w:p>
      <w:pPr>
        <w:pStyle w:val="Heading1"/>
      </w:pPr>
      <w:r>
        <w:t xml:space="preserve">Computing for mathematics handout 8 - Sharing and publishing worksheets, writing to files, the individual coursework and Class test feedback.</w:t>
      </w:r>
    </w:p>
    <w:bookmarkEnd w:id="computing-for-mathematics-handout-8---sharing-and-publishing-worksheets-writing-to-files-the-individual-coursework-and-class-test-feedback."/>
    <w:p>
      <w:r>
        <w:t xml:space="preserve">Lecturer: Vince Knight</w:t>
      </w:r>
    </w:p>
    <w:p>
      <w:r>
        <w:t xml:space="preserve">Office: M1.30</w:t>
      </w:r>
    </w:p>
    <w:p>
      <w:r>
        <w:t xml:space="preserve">email: knightva@cf.ac.uk</w:t>
      </w:r>
    </w:p>
    <w:p>
      <w:r>
        <w:rPr>
          <w:b/>
        </w:rPr>
        <w:t xml:space="preserve">Office hours: Thursday 1300-1500</w:t>
      </w:r>
    </w:p>
    <w:bookmarkStart w:id="what-you-have-learnt-this-week" w:name="what-you-have-learnt-this-week"/>
    <w:p>
      <w:pPr>
        <w:pStyle w:val="Heading2"/>
      </w:pPr>
      <w:r>
        <w:t xml:space="preserve">What you have learnt this week:</w:t>
      </w:r>
    </w:p>
    <w:bookmarkEnd w:id="what-you-have-learnt-this-week"/>
    <w:p>
      <w:pPr>
        <w:numPr>
          <w:numId w:val="2"/>
          <w:ilvl w:val="0"/>
        </w:numPr>
      </w:pPr>
      <w:r>
        <w:t xml:space="preserve">You learnt about the mathematical topic of linear algebra;</w:t>
      </w:r>
    </w:p>
    <w:p>
      <w:pPr>
        <w:numPr>
          <w:numId w:val="2"/>
          <w:ilvl w:val="0"/>
        </w:numPr>
      </w:pPr>
      <w:r>
        <w:t xml:space="preserve">You saw how to make relevant calculation in Sage:</w:t>
      </w:r>
    </w:p>
    <w:p>
      <w:pPr>
        <w:numPr>
          <w:numId w:val="3"/>
          <w:ilvl w:val="1"/>
        </w:numPr>
      </w:pPr>
      <w:r>
        <w:t xml:space="preserve">Determinant</w:t>
      </w:r>
    </w:p>
    <w:p>
      <w:pPr>
        <w:numPr>
          <w:numId w:val="3"/>
          <w:ilvl w:val="1"/>
        </w:numPr>
      </w:pPr>
      <w:r>
        <w:t xml:space="preserve">Inverse</w:t>
      </w:r>
    </w:p>
    <w:bookmarkStart w:id="sharing-files" w:name="sharing-files"/>
    <w:p>
      <w:pPr>
        <w:pStyle w:val="Heading2"/>
      </w:pPr>
      <w:r>
        <w:t xml:space="preserve">Sharing files</w:t>
      </w:r>
    </w:p>
    <w:bookmarkEnd w:id="sharing-files"/>
    <w:p>
      <w:r>
        <w:t xml:space="preserve">Sage makes it very easy to share worksheets. If you know someones username, you can click on 'Share' (towards the top right) and add lists of usernames of people who want to give access to your worksheet.</w:t>
      </w:r>
    </w:p>
    <w:p>
      <w:r>
        <w:rPr>
          <w:b/>
        </w:rPr>
        <w:t xml:space="preserve">You can also Publish worksheets</w:t>
      </w:r>
      <w:r>
        <w:t xml:space="preserve">. This is how I get the solutions to you. Clicking on 'Publish' puts your worksheet on the internet (viewable by everyone). On a published worksheet (like the solutions) you can click on 'Edit this.' (top left) to add a copy of the sheet to your own Sage account.</w:t>
      </w:r>
    </w:p>
    <w:bookmarkStart w:id="writing-to-file" w:name="writing-to-file"/>
    <w:p>
      <w:pPr>
        <w:pStyle w:val="Heading2"/>
      </w:pPr>
      <w:r>
        <w:t xml:space="preserve">Writing to file</w:t>
      </w:r>
    </w:p>
    <w:bookmarkEnd w:id="writing-to-file"/>
    <w:p>
      <w:r>
        <w:t xml:space="preserve">One difficulty that was reported to me was writing data to file. Let's take a quick look at the following example (revisiting the field example from</w:t>
      </w:r>
      <w:r>
        <w:t xml:space="preserve"> </w:t>
      </w:r>
      <w:hyperlink r:id="link0">
        <w:r>
          <w:rPr>
            <w:rStyle w:val="Hyperlink"/>
          </w:rPr>
          <w:t xml:space="preserve">Handout 5</w:t>
        </w:r>
      </w:hyperlink>
      <w:r>
        <w:t xml:space="preserve">):</w:t>
      </w:r>
    </w:p>
    <w:p>
      <w:r>
        <w:t xml:space="preserve">Let us say that we want to write to file the dimensions of the profitable fields but also this value (let's pretend it's important):</w:t>
      </w:r>
    </w:p>
    <w:p>
      <w:br/>
      <m:oMathPara>
        <m:oMathParaPr>
          <m:jc m:val="center"/>
        </m:oMathParaPr>
        <m:oMath>
          <m:nary>
            <m:naryPr>
              <m:chr m:val="∫"/>
              <m:limLoc m:val="subSup"/>
              <m:grow/>
              <m:supHide m:val="off"/>
              <m:supHide m:val="off"/>
            </m:naryPr>
            <m:e>
              <m:sSup>
                <m:e>
                  <m:r>
                    <m:rPr/>
                    <m:t>x</m:t>
                  </m:r>
                </m:e>
                <m:sup>
                  <m:r>
                    <m:rPr/>
                    <m:t>w</m:t>
                  </m:r>
                </m:sup>
              </m:sSup>
            </m:e>
            <m:sub>
              <m:r>
                <m:rPr/>
                <m:t>0</m:t>
              </m:r>
            </m:sub>
            <m:sup>
              <m:r>
                <m:rPr/>
                <m:t>h</m:t>
              </m:r>
            </m:sup>
          </m:nary>
          <m:r>
            <m:rPr/>
            <m:t> </m:t>
          </m:r>
          <m:r>
            <m:rPr/>
            <m:t>d</m:t>
          </m:r>
          <m:r>
            <m:rPr/>
            <m:t>x</m:t>
          </m:r>
        </m:oMath>
      </m:oMathPara>
      <w:br/>
    </w:p>
    <w:p>
      <w:r>
        <w:t xml:space="preserve">Where</w:t>
      </w:r>
      <w:r>
        <w:t xml:space="preserve"> </w:t>
      </w:r>
      <m:oMath>
        <m:r>
          <m:rPr/>
          <m:t>h</m:t>
        </m:r>
      </m:oMath>
      <w:r>
        <w:t xml:space="preserve"> </w:t>
      </w:r>
      <w:r>
        <w:t xml:space="preserve">and</w:t>
      </w:r>
      <w:r>
        <w:t xml:space="preserve"> </w:t>
      </w:r>
      <m:oMath>
        <m:r>
          <m:rPr/>
          <m:t>w</m:t>
        </m:r>
      </m:oMath>
      <w:r>
        <w:t xml:space="preserve"> </w:t>
      </w:r>
      <w:r>
        <w:t xml:space="preserve">are the heights and widths of the field.</w:t>
      </w:r>
    </w:p>
    <w:p>
      <w:pPr>
        <w:pStyle w:val="SourceCode"/>
      </w:pPr>
      <w:br/>
      <w:r>
        <w:rPr>
          <w:rStyle w:val="NormalTok"/>
        </w:rPr>
        <w:t xml:space="preserve">fields = [[</w:t>
      </w:r>
      <w:r>
        <w:rPr>
          <w:rStyle w:val="DecValTok"/>
        </w:rPr>
        <w:t xml:space="preserve">4</w:t>
      </w:r>
      <w:r>
        <w:rPr>
          <w:rStyle w:val="NormalTok"/>
        </w:rPr>
        <w:t xml:space="preserve">,</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10</w:t>
      </w:r>
      <w:r>
        <w:rPr>
          <w:rStyle w:val="NormalTok"/>
        </w:rPr>
        <w:t xml:space="preserve">,</w:t>
      </w:r>
      <w:r>
        <w:rPr>
          <w:rStyle w:val="DecValTok"/>
        </w:rPr>
        <w:t xml:space="preserve">56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83</w:t>
      </w:r>
      <w:r>
        <w:rPr>
          <w:rStyle w:val="NormalTok"/>
        </w:rPr>
        <w:t xml:space="preserve">,</w:t>
      </w:r>
      <w:r>
        <w:rPr>
          <w:rStyle w:val="DecValTok"/>
        </w:rPr>
        <w:t xml:space="preserve">15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53</w:t>
      </w:r>
      <w:r>
        <w:rPr>
          <w:rStyle w:val="NormalTok"/>
        </w:rPr>
        <w:t xml:space="preserve">,</w:t>
      </w:r>
      <w:r>
        <w:rPr>
          <w:rStyle w:val="DecValTok"/>
        </w:rPr>
        <w:t xml:space="preserve">2</w:t>
      </w:r>
      <w:r>
        <w:rPr>
          <w:rStyle w:val="NormalTok"/>
        </w:rPr>
        <w:t xml:space="preserve">]]</w:t>
      </w:r>
      <w:br/>
      <w:br/>
      <w:r>
        <w:rPr>
          <w:rStyle w:val="KeywordTok"/>
        </w:rPr>
        <w:t xml:space="preserve">class</w:t>
      </w:r>
      <w:r>
        <w:rPr>
          <w:rStyle w:val="NormalTok"/>
        </w:rPr>
        <w:t xml:space="preserve"> </w:t>
      </w:r>
      <w:r>
        <w:rPr>
          <w:rStyle w:val="NormalTok"/>
        </w:rPr>
        <w:t xml:space="preserve">Field():</w:t>
      </w:r>
      <w:b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br/>
      <w:r>
        <w:rPr>
          <w:rStyle w:val="CommentTok"/>
        </w:rPr>
        <w:t xml:space="preserve">    A class for our field</w:t>
      </w:r>
      <w:br/>
      <w:r>
        <w:rPr>
          <w:rStyle w:val="Comment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x, y):</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.width = 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.height = y</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profitable(</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self</w:t>
      </w:r>
      <w:r>
        <w:rPr>
          <w:rStyle w:val="NormalTok"/>
        </w:rPr>
        <w:t xml:space="preserve">.width * </w:t>
      </w:r>
      <w:r>
        <w:rPr>
          <w:rStyle w:val="OtherTok"/>
        </w:rPr>
        <w:t xml:space="preserve">self</w:t>
      </w:r>
      <w:r>
        <w:rPr>
          <w:rStyle w:val="NormalTok"/>
        </w:rPr>
        <w:t xml:space="preserve">.height &gt;= </w:t>
      </w:r>
      <w:r>
        <w:rPr>
          <w:rStyle w:val="DecValTok"/>
        </w:rPr>
        <w:t xml:space="preserve">50</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measure(</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integrate(x ^ </w:t>
      </w:r>
      <w:r>
        <w:rPr>
          <w:rStyle w:val="OtherTok"/>
        </w:rPr>
        <w:t xml:space="preserve">self</w:t>
      </w:r>
      <w:r>
        <w:rPr>
          <w:rStyle w:val="NormalTok"/>
        </w:rPr>
        <w:t xml:space="preserve">.width, x, </w:t>
      </w:r>
      <w:r>
        <w:rPr>
          <w:rStyle w:val="DecValTok"/>
        </w:rPr>
        <w:t xml:space="preserve">0</w:t>
      </w:r>
      <w:r>
        <w:rPr>
          <w:rStyle w:val="NormalTok"/>
        </w:rPr>
        <w:t xml:space="preserve">, </w:t>
      </w:r>
      <w:r>
        <w:rPr>
          <w:rStyle w:val="OtherTok"/>
        </w:rPr>
        <w:t xml:space="preserve">self</w:t>
      </w:r>
      <w:r>
        <w:rPr>
          <w:rStyle w:val="NormalTok"/>
        </w:rPr>
        <w:t xml:space="preserve">.height)  </w:t>
      </w:r>
      <w:r>
        <w:rPr>
          <w:rStyle w:val="CommentTok"/>
        </w:rPr>
        <w:t xml:space="preserve"># This is a new measure that we create using Sage's integrate function (everything else is just pure Python)</w:t>
      </w:r>
      <w:br/>
      <w:br/>
      <w:r>
        <w:rPr>
          <w:rStyle w:val="NormalTok"/>
        </w:rPr>
        <w:t xml:space="preserve">fields = [Field(f[</w:t>
      </w:r>
      <w:r>
        <w:rPr>
          <w:rStyle w:val="DecValTok"/>
        </w:rPr>
        <w:t xml:space="preserve">0</w:t>
      </w:r>
      <w:r>
        <w:rPr>
          <w:rStyle w:val="NormalTok"/>
        </w:rPr>
        <w:t xml:space="preserve">], f[</w:t>
      </w:r>
      <w:r>
        <w:rPr>
          <w:rStyle w:val="DecValTok"/>
        </w:rPr>
        <w:t xml:space="preserve">1</w:t>
      </w:r>
      <w:r>
        <w:rPr>
          <w:rStyle w:val="NormalTok"/>
        </w:rPr>
        <w:t xml:space="preserve">]) </w:t>
      </w:r>
      <w:r>
        <w:rPr>
          <w:rStyle w:val="KeywordTok"/>
        </w:rPr>
        <w:t xml:space="preserve">for</w:t>
      </w:r>
      <w:r>
        <w:rPr>
          <w:rStyle w:val="NormalTok"/>
        </w:rPr>
        <w:t xml:space="preserve"> </w:t>
      </w:r>
      <w:r>
        <w:rPr>
          <w:rStyle w:val="NormalTok"/>
        </w:rPr>
        <w:t xml:space="preserve">f in fields]</w:t>
      </w:r>
      <w:br/>
      <w:br/>
      <w:r>
        <w:rPr>
          <w:rStyle w:val="NormalTok"/>
        </w:rPr>
        <w:t xml:space="preserve">lstforoutput = []</w:t>
      </w:r>
      <w:br/>
      <w:r>
        <w:rPr>
          <w:rStyle w:val="KeywordTok"/>
        </w:rPr>
        <w:t xml:space="preserve">for</w:t>
      </w:r>
      <w:r>
        <w:rPr>
          <w:rStyle w:val="NormalTok"/>
        </w:rPr>
        <w:t xml:space="preserve"> </w:t>
      </w:r>
      <w:r>
        <w:rPr>
          <w:rStyle w:val="NormalTok"/>
        </w:rPr>
        <w:t xml:space="preserve">f in fields:</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f.profitable():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lstforoutput.append([f.height, f.width, f.measure()])</w:t>
      </w:r>
    </w:p>
    <w:p>
      <w:r>
        <w:t xml:space="preserve">Now let's write our data to file (we saw how to do this in the second sheet).</w:t>
      </w:r>
    </w:p>
    <w:p>
      <w:pPr>
        <w:pStyle w:val="SourceCode"/>
      </w:pPr>
      <w:r>
        <w:rPr>
          <w:rStyle w:val="CharTok"/>
        </w:rPr>
        <w:t xml:space="preserve">import</w:t>
      </w:r>
      <w:r>
        <w:rPr>
          <w:rStyle w:val="NormalTok"/>
        </w:rPr>
        <w:t xml:space="preserve"> </w:t>
      </w:r>
      <w:r>
        <w:rPr>
          <w:rStyle w:val="NormalTok"/>
        </w:rPr>
        <w:t xml:space="preserve">csv</w:t>
      </w:r>
      <w:br/>
      <w:r>
        <w:rPr>
          <w:rStyle w:val="NormalTok"/>
        </w:rPr>
        <w:t xml:space="preserve">f = </w:t>
      </w:r>
      <w:r>
        <w:rPr>
          <w:rStyle w:val="DataTypeTok"/>
        </w:rPr>
        <w:t xml:space="preserve">open</w:t>
      </w:r>
      <w:r>
        <w:rPr>
          <w:rStyle w:val="NormalTok"/>
        </w:rPr>
        <w:t xml:space="preserve">(</w:t>
      </w:r>
      <w:r>
        <w:rPr>
          <w:rStyle w:val="StringTok"/>
        </w:rPr>
        <w:t xml:space="preserve">"fieldoutput.csv"</w:t>
      </w:r>
      <w:r>
        <w:rPr>
          <w:rStyle w:val="NormalTok"/>
        </w:rPr>
        <w:t xml:space="preserve">, </w:t>
      </w:r>
      <w:r>
        <w:rPr>
          <w:rStyle w:val="StringTok"/>
        </w:rPr>
        <w:t xml:space="preserve">"w"</w:t>
      </w:r>
      <w:r>
        <w:rPr>
          <w:rStyle w:val="NormalTok"/>
        </w:rPr>
        <w:t xml:space="preserve">)</w:t>
      </w:r>
      <w:br/>
      <w:r>
        <w:rPr>
          <w:rStyle w:val="NormalTok"/>
        </w:rPr>
        <w:t xml:space="preserve">csvwrtr = csv.writer(f)</w:t>
      </w:r>
      <w:br/>
      <w:br/>
      <w:r>
        <w:rPr>
          <w:rStyle w:val="KeywordTok"/>
        </w:rPr>
        <w:t xml:space="preserve">for</w:t>
      </w:r>
      <w:r>
        <w:rPr>
          <w:rStyle w:val="NormalTok"/>
        </w:rPr>
        <w:t xml:space="preserve"> </w:t>
      </w:r>
      <w:r>
        <w:rPr>
          <w:rStyle w:val="NormalTok"/>
        </w:rPr>
        <w:t xml:space="preserve">row in lstforoutput: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csvwrtr.writerow(row)</w:t>
      </w:r>
      <w:br/>
      <w:br/>
      <w:r>
        <w:rPr>
          <w:rStyle w:val="NormalTok"/>
        </w:rPr>
        <w:t xml:space="preserve">f.close()</w:t>
      </w:r>
    </w:p>
    <w:bookmarkStart w:id="the-individual-coursework" w:name="the-individual-coursework"/>
    <w:p>
      <w:pPr>
        <w:pStyle w:val="Heading2"/>
      </w:pPr>
      <w:r>
        <w:t xml:space="preserve">The individual coursework</w:t>
      </w:r>
    </w:p>
    <w:bookmarkEnd w:id="the-individual-coursework"/>
    <w:p>
      <w:r>
        <w:t xml:space="preserve">The individual coursework is now available (</w:t>
      </w:r>
      <w:r>
        <w:rPr>
          <w:b/>
        </w:rPr>
        <w:t xml:space="preserve">due in week 11</w:t>
      </w:r>
      <w:r>
        <w:t xml:space="preserve">):</w:t>
      </w:r>
      <w:r>
        <w:t xml:space="preserve"> </w:t>
      </w:r>
      <w:hyperlink r:id="link1">
        <w:r>
          <w:rPr>
            <w:rStyle w:val="Hyperlink"/>
          </w:rPr>
          <w:t xml:space="preserve">http://drvinceknight.github.io/Computing_for_mathematics/IndividualCoursework/individualcourseworkinstructions.html</w:t>
        </w:r>
      </w:hyperlink>
      <w:r>
        <w:t xml:space="preserve">.</w:t>
      </w:r>
    </w:p>
    <w:p>
      <w:r>
        <w:t xml:space="preserve">It requires you to use LaTeX (how mathematicians write mathematics). Take a look at the 9th Lab sheet if you want to get started (in the meantime you can get going with the required coding).</w:t>
      </w:r>
    </w:p>
    <w:bookmarkStart w:id="class-test" w:name="class-test"/>
    <w:p>
      <w:pPr>
        <w:pStyle w:val="Heading2"/>
      </w:pPr>
      <w:r>
        <w:t xml:space="preserve">Class test</w:t>
      </w:r>
    </w:p>
    <w:bookmarkEnd w:id="class-test"/>
    <w:p>
      <w:r>
        <w:t xml:space="preserve">Here are some summary statistics about the class test marks:</w:t>
      </w:r>
    </w:p>
    <w:p>
      <w:pPr>
        <w:numPr>
          <w:numId w:val="4"/>
          <w:ilvl w:val="0"/>
        </w:numPr>
      </w:pPr>
      <w:r>
        <w:t xml:space="preserve">Total mark:</w:t>
      </w:r>
    </w:p>
    <w:p>
      <w:pPr>
        <w:numPr>
          <w:numId w:val="5"/>
          <w:ilvl w:val="1"/>
        </w:numPr>
      </w:pPr>
      <w:r>
        <w:t xml:space="preserve">mean 56.23</w:t>
      </w:r>
    </w:p>
    <w:p>
      <w:pPr>
        <w:numPr>
          <w:numId w:val="5"/>
          <w:ilvl w:val="1"/>
        </w:numPr>
      </w:pPr>
      <w:r>
        <w:t xml:space="preserve">median: 55.00</w:t>
      </w:r>
    </w:p>
    <w:p>
      <w:pPr>
        <w:numPr>
          <w:numId w:val="5"/>
          <w:ilvl w:val="1"/>
        </w:numPr>
      </w:pPr>
      <w:r>
        <w:t xml:space="preserve">max: 100.00</w:t>
      </w:r>
    </w:p>
    <w:p>
      <w:pPr>
        <w:numPr>
          <w:numId w:val="5"/>
          <w:ilvl w:val="0"/>
        </w:numPr>
      </w:pPr>
      <w:r>
        <w:t xml:space="preserve">q1 mark:</w:t>
      </w:r>
    </w:p>
    <w:p>
      <w:pPr>
        <w:numPr>
          <w:numId w:val="6"/>
          <w:ilvl w:val="1"/>
        </w:numPr>
      </w:pPr>
      <w:r>
        <w:t xml:space="preserve">mean: 90.09</w:t>
      </w:r>
    </w:p>
    <w:p>
      <w:pPr>
        <w:numPr>
          <w:numId w:val="6"/>
          <w:ilvl w:val="1"/>
        </w:numPr>
      </w:pPr>
      <w:r>
        <w:t xml:space="preserve">median: 100.00</w:t>
      </w:r>
    </w:p>
    <w:p>
      <w:pPr>
        <w:numPr>
          <w:numId w:val="6"/>
          <w:ilvl w:val="1"/>
        </w:numPr>
      </w:pPr>
      <w:r>
        <w:t xml:space="preserve">max: 100.00</w:t>
      </w:r>
    </w:p>
    <w:p>
      <w:pPr>
        <w:numPr>
          <w:numId w:val="6"/>
          <w:ilvl w:val="0"/>
        </w:numPr>
      </w:pPr>
      <w:r>
        <w:t xml:space="preserve">q2 mark:</w:t>
      </w:r>
    </w:p>
    <w:p>
      <w:pPr>
        <w:numPr>
          <w:numId w:val="7"/>
          <w:ilvl w:val="1"/>
        </w:numPr>
      </w:pPr>
      <w:r>
        <w:t xml:space="preserve">mean: 42.79</w:t>
      </w:r>
    </w:p>
    <w:p>
      <w:pPr>
        <w:numPr>
          <w:numId w:val="7"/>
          <w:ilvl w:val="1"/>
        </w:numPr>
      </w:pPr>
      <w:r>
        <w:t xml:space="preserve">median: 36.67</w:t>
      </w:r>
    </w:p>
    <w:p>
      <w:pPr>
        <w:numPr>
          <w:numId w:val="7"/>
          <w:ilvl w:val="1"/>
        </w:numPr>
      </w:pPr>
      <w:r>
        <w:t xml:space="preserve">max: 100.00</w:t>
      </w:r>
    </w:p>
    <w:p>
      <w:pPr>
        <w:numPr>
          <w:numId w:val="7"/>
          <w:ilvl w:val="0"/>
        </w:numPr>
      </w:pPr>
      <w:r>
        <w:t xml:space="preserve">q3 mark:</w:t>
      </w:r>
    </w:p>
    <w:p>
      <w:pPr>
        <w:numPr>
          <w:numId w:val="8"/>
          <w:ilvl w:val="1"/>
        </w:numPr>
      </w:pPr>
      <w:r>
        <w:t xml:space="preserve">mean: 24.81</w:t>
      </w:r>
    </w:p>
    <w:p>
      <w:pPr>
        <w:numPr>
          <w:numId w:val="8"/>
          <w:ilvl w:val="1"/>
        </w:numPr>
      </w:pPr>
      <w:r>
        <w:t xml:space="preserve">median: 16.67</w:t>
      </w:r>
    </w:p>
    <w:p>
      <w:pPr>
        <w:numPr>
          <w:numId w:val="8"/>
          <w:ilvl w:val="1"/>
        </w:numPr>
      </w:pPr>
      <w:r>
        <w:t xml:space="preserve">max: 100.00</w:t>
      </w:r>
    </w:p>
    <w:p>
      <w:pPr>
        <w:numPr>
          <w:numId w:val="8"/>
          <w:ilvl w:val="0"/>
        </w:numPr>
      </w:pPr>
      <w:r>
        <w:t xml:space="preserve">Documentation mark:</w:t>
      </w:r>
    </w:p>
    <w:p>
      <w:pPr>
        <w:numPr>
          <w:numId w:val="9"/>
          <w:ilvl w:val="1"/>
        </w:numPr>
      </w:pPr>
      <w:r>
        <w:t xml:space="preserve">mean: 89.23</w:t>
      </w:r>
    </w:p>
    <w:p>
      <w:pPr>
        <w:numPr>
          <w:numId w:val="9"/>
          <w:ilvl w:val="1"/>
        </w:numPr>
      </w:pPr>
      <w:r>
        <w:t xml:space="preserve">median: 100.00</w:t>
      </w:r>
    </w:p>
    <w:p>
      <w:pPr>
        <w:numPr>
          <w:numId w:val="9"/>
          <w:ilvl w:val="1"/>
        </w:numPr>
      </w:pPr>
      <w:r>
        <w:t xml:space="preserve">max: 100.00</w:t>
      </w:r>
    </w:p>
    <w:p>
      <w:r>
        <w:t xml:space="preserve">Percentage of marks above given mark:</w:t>
      </w:r>
    </w:p>
    <w:p>
      <w:pPr>
        <w:numPr>
          <w:numId w:val="10"/>
          <w:ilvl w:val="0"/>
        </w:numPr>
      </w:pPr>
      <w:r>
        <w:t xml:space="preserve">0.85 of scripts</w:t>
      </w:r>
      <w:r>
        <w:t xml:space="preserve"> </w:t>
      </w:r>
      <m:oMath>
        <m:r>
          <m:rPr/>
          <m:t>≥</m:t>
        </m:r>
      </m:oMath>
      <w:r>
        <w:t xml:space="preserve"> </w:t>
      </w:r>
      <w:r>
        <w:t xml:space="preserve">40%</w:t>
      </w:r>
    </w:p>
    <w:p>
      <w:pPr>
        <w:numPr>
          <w:numId w:val="10"/>
          <w:ilvl w:val="0"/>
        </w:numPr>
      </w:pPr>
      <w:r>
        <w:t xml:space="preserve">0.71 of scripts</w:t>
      </w:r>
      <w:r>
        <w:t xml:space="preserve"> </w:t>
      </w:r>
      <m:oMath>
        <m:r>
          <m:rPr/>
          <m:t>≥</m:t>
        </m:r>
      </m:oMath>
      <w:r>
        <w:t xml:space="preserve"> </w:t>
      </w:r>
      <w:r>
        <w:t xml:space="preserve">50%</w:t>
      </w:r>
    </w:p>
    <w:p>
      <w:pPr>
        <w:numPr>
          <w:numId w:val="10"/>
          <w:ilvl w:val="0"/>
        </w:numPr>
      </w:pPr>
      <w:r>
        <w:t xml:space="preserve">0.38 of scripts</w:t>
      </w:r>
      <w:r>
        <w:t xml:space="preserve"> </w:t>
      </w:r>
      <m:oMath>
        <m:r>
          <m:rPr/>
          <m:t>≥</m:t>
        </m:r>
      </m:oMath>
      <w:r>
        <w:t xml:space="preserve"> </w:t>
      </w:r>
      <w:r>
        <w:t xml:space="preserve">60%</w:t>
      </w:r>
    </w:p>
    <w:p>
      <w:pPr>
        <w:numPr>
          <w:numId w:val="10"/>
          <w:ilvl w:val="0"/>
        </w:numPr>
      </w:pPr>
      <w:r>
        <w:t xml:space="preserve">0.22 of scripts</w:t>
      </w:r>
      <w:r>
        <w:t xml:space="preserve"> </w:t>
      </w:r>
      <m:oMath>
        <m:r>
          <m:rPr/>
          <m:t>≥</m:t>
        </m:r>
      </m:oMath>
      <w:r>
        <w:t xml:space="preserve"> </w:t>
      </w:r>
      <w:r>
        <w:t xml:space="preserve">70%</w:t>
      </w:r>
    </w:p>
    <w:p>
      <w:pPr>
        <w:numPr>
          <w:numId w:val="10"/>
          <w:ilvl w:val="0"/>
        </w:numPr>
      </w:pPr>
      <w:r>
        <w:t xml:space="preserve">0.05 of scripts</w:t>
      </w:r>
      <w:r>
        <w:t xml:space="preserve"> </w:t>
      </w:r>
      <m:oMath>
        <m:r>
          <m:rPr/>
          <m:t>≥</m:t>
        </m:r>
      </m:oMath>
      <w:r>
        <w:t xml:space="preserve"> </w:t>
      </w:r>
      <w:r>
        <w:t xml:space="preserve">80%</w:t>
      </w:r>
    </w:p>
    <w:p>
      <w:pPr>
        <w:numPr>
          <w:numId w:val="10"/>
          <w:ilvl w:val="0"/>
        </w:numPr>
      </w:pPr>
      <w:r>
        <w:t xml:space="preserve">0.01 of scripts</w:t>
      </w:r>
      <w:r>
        <w:t xml:space="preserve"> </w:t>
      </w:r>
      <m:oMath>
        <m:r>
          <m:rPr/>
          <m:t>≥</m:t>
        </m:r>
      </m:oMath>
      <w:r>
        <w:t xml:space="preserve"> </w:t>
      </w:r>
      <w:r>
        <w:t xml:space="preserve">90%</w:t>
      </w:r>
    </w:p>
    <w:p>
      <w:r>
        <w:t xml:space="preserve">A picture of the distribution of the marks:</w:t>
      </w:r>
    </w:p>
    <w:p>
      <w:r>
        <w:drawing>
          <wp:inline>
            <wp:extent cx="7315200" cy="5486400"/>
            <wp:effectExtent b="0" l="0" r="0" t="0"/>
            <wp:docPr descr="" id="1" name="Picture"/>
            <a:graphic>
              <a:graphicData uri="http://schemas.openxmlformats.org/drawingml/2006/picture">
                <pic:pic>
                  <pic:nvPicPr>
                    <pic:cNvPr descr="./Images/markdistribution.png" id="0" name="Picture"/>
                    <pic:cNvPicPr>
                      <a:picLocks noChangeArrowheads="1" noChangeAspect="1"/>
                    </pic:cNvPicPr>
                  </pic:nvPicPr>
                  <pic:blipFill>
                    <a:blip r:embed="image1"/>
                    <a:stretch>
                      <a:fillRect/>
                    </a:stretch>
                  </pic:blipFill>
                  <pic:spPr bwMode="auto">
                    <a:xfrm>
                      <a:off x="0" y="0"/>
                      <a:ext cx="7315200" cy="5486400"/>
                    </a:xfrm>
                    <a:prstGeom prst="rect">
                      <a:avLst/>
                    </a:prstGeom>
                    <a:noFill/>
                    <a:ln w="9525">
                      <a:noFill/>
                      <a:headEnd/>
                      <a:tailEnd/>
                    </a:ln>
                  </pic:spPr>
                </pic:pic>
              </a:graphicData>
            </a:graphic>
          </wp:inline>
        </w:drawing>
      </w:r>
    </w:p>
    <w:p>
      <w:pPr>
        <w:pStyle w:val="ImageCaption"/>
      </w:pPr>
    </w:p>
    <w:bookmarkStart w:id="what-you-should-do-next" w:name="what-you-should-do-next"/>
    <w:p>
      <w:pPr>
        <w:pStyle w:val="Heading2"/>
      </w:pPr>
      <w:r>
        <w:t xml:space="preserve">What you should do next:</w:t>
      </w:r>
    </w:p>
    <w:bookmarkEnd w:id="what-you-should-do-next"/>
    <w:p>
      <w:pPr>
        <w:numPr>
          <w:numId w:val="11"/>
          <w:ilvl w:val="0"/>
        </w:numPr>
      </w:pPr>
      <w:r>
        <w:rPr>
          <w:b/>
        </w:rPr>
        <w:t xml:space="preserve">Start the next sheet</w:t>
      </w:r>
      <w:r>
        <w:t xml:space="preserve">: make sure you spend time working on the sheet</w:t>
      </w:r>
      <w:r>
        <w:t xml:space="preserve"> </w:t>
      </w:r>
      <w:r>
        <w:rPr>
          <w:b/>
        </w:rPr>
        <w:t xml:space="preserve">BEFORE</w:t>
      </w:r>
      <w:r>
        <w:t xml:space="preserve"> </w:t>
      </w:r>
      <w:r>
        <w:t xml:space="preserve">the labs.</w:t>
      </w:r>
    </w:p>
    <w:p>
      <w:pPr>
        <w:numPr>
          <w:numId w:val="11"/>
          <w:ilvl w:val="0"/>
        </w:numPr>
      </w:pPr>
      <w:r>
        <w:rPr>
          <w:b/>
        </w:rPr>
        <w:t xml:space="preserve">Start the coursework</w:t>
      </w:r>
    </w:p>
    <w:p>
      <w:pPr>
        <w:numPr>
          <w:numId w:val="11"/>
          <w:ilvl w:val="0"/>
        </w:numPr>
      </w:pPr>
      <w:r>
        <w:t xml:space="preserve">Contribute to the wiki.</w:t>
      </w:r>
    </w:p>
    <w:p>
      <w:pPr>
        <w:numPr>
          <w:numId w:val="11"/>
          <w:ilvl w:val="0"/>
        </w:numPr>
      </w:pPr>
      <w:r>
        <w:t xml:space="preserve">To make the best use of the lab sessions turn up having finished your sheets;</w:t>
      </w:r>
    </w:p>
    <w:p>
      <w:pPr>
        <w:numPr>
          <w:numId w:val="11"/>
          <w:ilvl w:val="0"/>
        </w:numPr>
      </w:pPr>
      <w:r>
        <w:t xml:space="preserve">If anything is still unclear</w:t>
      </w:r>
      <w:r>
        <w:t xml:space="preserve"> </w:t>
      </w:r>
      <w:r>
        <w:rPr>
          <w:b/>
        </w:rPr>
        <w:t xml:space="preserve">please</w:t>
      </w:r>
      <w:r>
        <w:t xml:space="preserve"> </w:t>
      </w:r>
      <w:r>
        <w:t xml:space="preserve">come and see me during office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0" Target="http://drvinceknight.github.io/Computing_for_mathematics/Handouts/handout05.html" TargetMode="External" /><Relationship Type="http://schemas.openxmlformats.org/officeDocument/2006/relationships/hyperlink" Id="link1" Target="http://drvinceknight.github.io/Computing_for_mathematics/IndividualCoursework/individualcourseworkinstru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