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spacing w:before="400" w:after="200"/>
      </w:pPr>
      <w:r>
        <w:rPr>
          <w:rFonts w:ascii="Helvetica" w:hAnsi="Helvetica"/>
          <w:b/>
          <w:sz w:val="52"/>
          <w:color w:val="1E3A8A"/>
        </w:rPr>
        <w:t>KiaviIQ Enterprise SaaS Platform</w:t>
      </w:r>
    </w:p>
    <w:p>
      <w:pPr>
        <w:pStyle w:val="Subtitle"/>
        <w:jc w:val="center"/>
        <w:spacing w:before="100" w:after="400"/>
      </w:pPr>
      <w:r>
        <w:rPr>
          <w:rFonts w:ascii="Helvetica" w:hAnsi="Helvetica"/>
          <w:i/>
          <w:sz w:val="28"/>
          <w:color w:val="4B5563"/>
        </w:rPr>
        <w:t>Master Blueprint, Gap Analysis &amp; Phased Transformation Roadmap
B2B Product Knowledge, Parametric SKU Intelligence, Governed AI Search &amp; Corporate LMS</w:t>
      </w:r>
    </w:p>
    <w:p>
      <w:pPr>
        <w:spacing w:before="60" w:after="120" w:line="276" w:lineRule="auto"/>
      </w:pPr>
      <w:r>
        <w:rPr>
          <w:rFonts w:ascii="Helvetica" w:hAnsi="Helvetica"/>
          <w:i/>
          <w:sz w:val="22"/>
          <w:color w:val="4B5563"/>
        </w:rPr>
        <w:t xml:space="preserve">Target Industries: Medical Devices (EU MDR) | Automotive Parts (IATF 16949) | Architectural Hardware (EN/UL/CPR)</w:t>
      </w:r>
    </w:p>
    <w:p>
      <w:pPr>
        <w:spacing w:before="60" w:after="120" w:line="276" w:lineRule="auto"/>
      </w:pPr>
      <w:r>
        <w:rPr>
          <w:rFonts w:ascii="Helvetica" w:hAnsi="Helvetica"/>
          <w:b/>
          <w:sz w:val="22"/>
          <w:color w:val="1E3A8A"/>
        </w:rPr>
        <w:t xml:space="preserve">Version: 2.0 (Engineering Architecture Specification) | Date: September 2026 | Author: Kiavi Core Architecture Team</w:t>
      </w:r>
    </w:p>
    <w:tbl>
      <w:tblPr>
        <w:tblW w:w="9360" w:type="dxa"/>
        <w:tblBorders>
          <w:top w:val="none"/>
          <w:left w:val="single" w:sz="36" w:space="0" w:color="3B82F6"/>
          <w:bottom w:val="none"/>
          <w:right w:val="none"/>
        </w:tblBorders>
        <w:tblCellMar>
          <w:top w:w="160" w:type="dxa"/>
          <w:left w:w="240" w:type="dxa"/>
          <w:bottom w:w="160" w:type="dxa"/>
          <w:right w:w="240" w:type="dxa"/>
        </w:tblCellMar>
      </w:tblPr>
      <w:tr>
        <w:tc>
          <w:tcPr>
            <w:tcW w:w="9360" w:type="dxa"/>
            <w:shd w:val="clear" w:color="auto" w:fill="EFF6FF"/>
          </w:tcPr>
          <w:p>
            <w:pPr>
              <w:spacing w:before="40" w:after="60"/>
            </w:pPr>
            <w:r>
              <w:rPr>
                <w:rFonts w:ascii="Helvetica" w:hAnsi="Helvetica"/>
                <w:b/>
                <w:sz w:val="22"/>
                <w:color w:val="1E40AF"/>
              </w:rPr>
              <w:t>EXECUTIVE MANDATE &amp; OBJECTIVE</w:t>
            </w:r>
          </w:p>
          <w:p>
            <w:pPr>
              <w:spacing w:before="40" w:after="40"/>
            </w:pPr>
            <w:r>
              <w:rPr>
                <w:rFonts w:ascii="Helvetica" w:hAnsi="Helvetica"/>
                <w:sz w:val="20"/>
                <w:color w:val="1E293B"/>
              </w:rPr>
              <w:t>This document serves as the authoritative comparative specification for the KiaviIQ enterprise platform. It details exactly what currently exists in the codebase ('Hamare Paas Abhi Kya Hai'), what is missing or required ('Hame Kya Chahiye'), the architectural and database changes necessary ('Kya Changes Karege'), the strategic business and compliance moat gained ('Kya Faeda Hoga'), and a granular 3-phase execution roadmap.</w:t>
            </w:r>
          </w:p>
        </w:tc>
      </w:tr>
    </w:tbl>
    <w:p>
      <w:pPr>
        <w:spacing w:before="60" w:after="100"/>
      </w:pPr>
    </w:p>
    <w:p>
      <w:r>
        <w:br w:type="page"/>
      </w:r>
    </w:p>
    <w:p>
      <w:pPr>
        <w:pStyle w:val="Heading1"/>
        <w:spacing w:before="400" w:after="120"/>
      </w:pPr>
      <w:r>
        <w:rPr>
          <w:rFonts w:ascii="Helvetica" w:hAnsi="Helvetica"/>
          <w:b/>
          <w:sz w:val="36"/>
          <w:color w:val="1E3A8A"/>
        </w:rPr>
        <w:t>1. Executive Summary &amp; Master Differentiation Matrix</w:t>
      </w:r>
    </w:p>
    <w:p>
      <w:pPr>
        <w:spacing w:before="60" w:after="120" w:line="276" w:lineRule="auto"/>
      </w:pPr>
      <w:r>
        <w:rPr>
          <w:rFonts w:ascii="Helvetica" w:hAnsi="Helvetica"/>
          <w:sz w:val="22"/>
          <w:color w:val="334155"/>
        </w:rPr>
        <w:t xml:space="preserve">Currently, KiaviIQ functions as a functional single-tenant RAG chatbot engine with document upload, basic hybrid retrieval (pgvector + ILIKE), FlashRank cross-encoder reranking, and NVIDIA NIM LLM streaming. To fulfill the enterprise blueprint, the platform must evolve into a governed, multi-tenant B2B knowledge ecosystem featuring 9 granular user roles, parametric SKU intelligence, a compliance-gated document lifecycle, and an integrated corporate LMS.</w:t>
      </w:r>
    </w:p>
    <w:tbl>
      <w:tblPr>
        <w:tblW w:w="936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60" w:type="dxa"/>
          <w:bottom w:w="120" w:type="dxa"/>
          <w:right w:w="160" w:type="dxa"/>
        </w:tblCellMar>
      </w:tblPr>
      <w:tr>
        <w:trPr>
          <w:tblHeader/>
          <w:cantSplit/>
        </w:trPr>
        <w:tc>
          <w:tcPr>
            <w:tcW w:w="1400" w:type="dxa"/>
            <w:shd w:val="clear" w:color="auto" w:fill="1E3A8A"/>
          </w:tcPr>
          <w:p>
            <w:pPr>
              <w:spacing w:before="120" w:after="120"/>
              <w:jc w:val="left"/>
            </w:pPr>
            <w:r>
              <w:rPr>
                <w:rFonts w:ascii="Helvetica" w:hAnsi="Helvetica"/>
                <w:b/>
                <w:sz w:val="20"/>
                <w:color w:val="FFFFFF"/>
              </w:rPr>
              <w:t>Module / Component</w:t>
            </w:r>
          </w:p>
        </w:tc>
        <w:tc>
          <w:tcPr>
            <w:tcW w:w="1800" w:type="dxa"/>
            <w:shd w:val="clear" w:color="auto" w:fill="1E3A8A"/>
          </w:tcPr>
          <w:p>
            <w:pPr>
              <w:spacing w:before="120" w:after="120"/>
              <w:jc w:val="left"/>
            </w:pPr>
            <w:r>
              <w:rPr>
                <w:rFonts w:ascii="Helvetica" w:hAnsi="Helvetica"/>
                <w:b/>
                <w:sz w:val="20"/>
                <w:color w:val="FFFFFF"/>
              </w:rPr>
              <w:t>Hamare Paas Abhi Kya Hai
(Current Codebase)</w:t>
            </w:r>
          </w:p>
        </w:tc>
        <w:tc>
          <w:tcPr>
            <w:tcW w:w="2000" w:type="dxa"/>
            <w:shd w:val="clear" w:color="auto" w:fill="1E3A8A"/>
          </w:tcPr>
          <w:p>
            <w:pPr>
              <w:spacing w:before="120" w:after="120"/>
              <w:jc w:val="left"/>
            </w:pPr>
            <w:r>
              <w:rPr>
                <w:rFonts w:ascii="Helvetica" w:hAnsi="Helvetica"/>
                <w:b/>
                <w:sz w:val="20"/>
                <w:color w:val="FFFFFF"/>
              </w:rPr>
              <w:t>Hame Kya Chahiye
(Target Enterprise Specification)</w:t>
            </w:r>
          </w:p>
        </w:tc>
        <w:tc>
          <w:tcPr>
            <w:tcW w:w="2160" w:type="dxa"/>
            <w:shd w:val="clear" w:color="auto" w:fill="1E3A8A"/>
          </w:tcPr>
          <w:p>
            <w:pPr>
              <w:spacing w:before="120" w:after="120"/>
              <w:jc w:val="left"/>
            </w:pPr>
            <w:r>
              <w:rPr>
                <w:rFonts w:ascii="Helvetica" w:hAnsi="Helvetica"/>
                <w:b/>
                <w:sz w:val="20"/>
                <w:color w:val="FFFFFF"/>
              </w:rPr>
              <w:t>Kya Changes Karege
(Code &amp; DB Refactoring)</w:t>
            </w:r>
          </w:p>
        </w:tc>
        <w:tc>
          <w:tcPr>
            <w:tcW w:w="2000" w:type="dxa"/>
            <w:shd w:val="clear" w:color="auto" w:fill="1E3A8A"/>
          </w:tcPr>
          <w:p>
            <w:pPr>
              <w:spacing w:before="120" w:after="120"/>
              <w:jc w:val="left"/>
            </w:pPr>
            <w:r>
              <w:rPr>
                <w:rFonts w:ascii="Helvetica" w:hAnsi="Helvetica"/>
                <w:b/>
                <w:sz w:val="20"/>
                <w:color w:val="FFFFFF"/>
              </w:rPr>
              <w:t>Kya Faeda Hoga
(Business &amp; Compliance Moat)</w:t>
            </w:r>
          </w:p>
        </w:tc>
      </w:tr>
      <w:tr>
        <w:trPr>
          <w:cantSplit/>
        </w:trPr>
        <w:tc>
          <w:tcPr>
            <w:tcW w:w="1400" w:type="dxa"/>
            <w:shd w:val="clear" w:color="auto" w:fill="FFFFFF"/>
          </w:tcPr>
          <w:p>
            <w:pPr>
              <w:spacing w:before="80" w:after="80"/>
              <w:jc w:val="left"/>
            </w:pPr>
            <w:r>
              <w:rPr>
                <w:rFonts w:ascii="Helvetica" w:hAnsi="Helvetica"/>
                <w:sz w:val="19"/>
                <w:color w:val="1E293B"/>
              </w:rPr>
              <w:t xml:space="preserve">Architecture &amp;
Multi-Tenancy</w:t>
            </w:r>
          </w:p>
        </w:tc>
        <w:tc>
          <w:tcPr>
            <w:tcW w:w="1800" w:type="dxa"/>
            <w:shd w:val="clear" w:color="auto" w:fill="FFFFFF"/>
          </w:tcPr>
          <w:p>
            <w:pPr>
              <w:spacing w:before="80" w:after="80"/>
              <w:jc w:val="left"/>
            </w:pPr>
            <w:r>
              <w:rPr>
                <w:rFonts w:ascii="Helvetica" w:hAnsi="Helvetica"/>
                <w:sz w:val="19"/>
                <w:color w:val="1E293B"/>
              </w:rPr>
              <w:t xml:space="preserve">Single-tenant / basic organization ID in bot sources. No database-level isolation.</w:t>
            </w:r>
          </w:p>
        </w:tc>
        <w:tc>
          <w:tcPr>
            <w:tcW w:w="2000" w:type="dxa"/>
            <w:shd w:val="clear" w:color="auto" w:fill="FFFFFF"/>
          </w:tcPr>
          <w:p>
            <w:pPr>
              <w:spacing w:before="80" w:after="80"/>
              <w:jc w:val="left"/>
            </w:pPr>
            <w:r>
              <w:rPr>
                <w:rFonts w:ascii="Helvetica" w:hAnsi="Helvetica"/>
                <w:sz w:val="19"/>
                <w:color w:val="1E293B"/>
              </w:rPr>
              <w:t xml:space="preserve">Strict multi-tenant SaaS architecture with PostgreSQL Row-Level Security (RLS) on tenant_id.</w:t>
            </w:r>
          </w:p>
        </w:tc>
        <w:tc>
          <w:tcPr>
            <w:tcW w:w="2160" w:type="dxa"/>
            <w:shd w:val="clear" w:color="auto" w:fill="FFFFFF"/>
          </w:tcPr>
          <w:p>
            <w:pPr>
              <w:spacing w:before="80" w:after="80"/>
              <w:jc w:val="left"/>
            </w:pPr>
            <w:r>
              <w:rPr>
                <w:rFonts w:ascii="Helvetica" w:hAnsi="Helvetica"/>
                <w:sz w:val="19"/>
                <w:color w:val="1E293B"/>
              </w:rPr>
              <w:t xml:space="preserve">Add tenant_id to all tables. Enable PostgreSQL RLS policies. Support custom domains &amp; tenant branding.</w:t>
            </w:r>
          </w:p>
        </w:tc>
        <w:tc>
          <w:tcPr>
            <w:tcW w:w="2000" w:type="dxa"/>
            <w:shd w:val="clear" w:color="auto" w:fill="FFFFFF"/>
          </w:tcPr>
          <w:p>
            <w:pPr>
              <w:spacing w:before="80" w:after="80"/>
              <w:jc w:val="left"/>
            </w:pPr>
            <w:r>
              <w:rPr>
                <w:rFonts w:ascii="Helvetica" w:hAnsi="Helvetica"/>
                <w:sz w:val="19"/>
                <w:color w:val="1E293B"/>
              </w:rPr>
              <w:t xml:space="preserve">Enterprise-grade security. Zero risk of cross-tenant data leakage between competing manufacturers.</w:t>
            </w:r>
          </w:p>
        </w:tc>
      </w:tr>
      <w:tr>
        <w:trPr>
          <w:cantSplit/>
        </w:trPr>
        <w:tc>
          <w:tcPr>
            <w:tcW w:w="1400" w:type="dxa"/>
            <w:shd w:val="clear" w:color="auto" w:fill="F8FAFC"/>
          </w:tcPr>
          <w:p>
            <w:pPr>
              <w:spacing w:before="80" w:after="80"/>
              <w:jc w:val="left"/>
            </w:pPr>
            <w:r>
              <w:rPr>
                <w:rFonts w:ascii="Helvetica" w:hAnsi="Helvetica"/>
                <w:sz w:val="19"/>
                <w:color w:val="1E293B"/>
              </w:rPr>
              <w:t xml:space="preserve">User Roles &amp;
RBAC</w:t>
            </w:r>
          </w:p>
        </w:tc>
        <w:tc>
          <w:tcPr>
            <w:tcW w:w="1800" w:type="dxa"/>
            <w:shd w:val="clear" w:color="auto" w:fill="F8FAFC"/>
          </w:tcPr>
          <w:p>
            <w:pPr>
              <w:spacing w:before="80" w:after="80"/>
              <w:jc w:val="left"/>
            </w:pPr>
            <w:r>
              <w:rPr>
                <w:rFonts w:ascii="Helvetica" w:hAnsi="Helvetica"/>
                <w:sz w:val="19"/>
                <w:color w:val="1E293B"/>
              </w:rPr>
              <w:t xml:space="preserve">Only 2 roles: Basic User and Superuser Admin (is_superuser). No role hierarchy.</w:t>
            </w:r>
          </w:p>
        </w:tc>
        <w:tc>
          <w:tcPr>
            <w:tcW w:w="2000" w:type="dxa"/>
            <w:shd w:val="clear" w:color="auto" w:fill="F8FAFC"/>
          </w:tcPr>
          <w:p>
            <w:pPr>
              <w:spacing w:before="80" w:after="80"/>
              <w:jc w:val="left"/>
            </w:pPr>
            <w:r>
              <w:rPr>
                <w:rFonts w:ascii="Helvetica" w:hAnsi="Helvetica"/>
                <w:sz w:val="19"/>
                <w:color w:val="1E293B"/>
              </w:rPr>
              <w:t xml:space="preserve">9 Structured Roles: Platform Admin, Org Admin, Knowledge Admin, SME/Approver, Trainer, Employee, Dealer, Customer, Auditor.</w:t>
            </w:r>
          </w:p>
        </w:tc>
        <w:tc>
          <w:tcPr>
            <w:tcW w:w="2160" w:type="dxa"/>
            <w:shd w:val="clear" w:color="auto" w:fill="F8FAFC"/>
          </w:tcPr>
          <w:p>
            <w:pPr>
              <w:spacing w:before="80" w:after="80"/>
              <w:jc w:val="left"/>
            </w:pPr>
            <w:r>
              <w:rPr>
                <w:rFonts w:ascii="Helvetica" w:hAnsi="Helvetica"/>
                <w:sz w:val="19"/>
                <w:color w:val="1E293B"/>
              </w:rPr>
              <w:t xml:space="preserve">Create roles and permissions tables. Implement role middleware and claim-based JWT authorization.</w:t>
            </w:r>
          </w:p>
        </w:tc>
        <w:tc>
          <w:tcPr>
            <w:tcW w:w="2000" w:type="dxa"/>
            <w:shd w:val="clear" w:color="auto" w:fill="F8FAFC"/>
          </w:tcPr>
          <w:p>
            <w:pPr>
              <w:spacing w:before="80" w:after="80"/>
              <w:jc w:val="left"/>
            </w:pPr>
            <w:r>
              <w:rPr>
                <w:rFonts w:ascii="Helvetica" w:hAnsi="Helvetica"/>
                <w:sz w:val="19"/>
                <w:color w:val="1E293B"/>
              </w:rPr>
              <w:t xml:space="preserve">Granular access control. Sales reps see pricing; dealers see installation guides; auditors see compliance history.</w:t>
            </w:r>
          </w:p>
        </w:tc>
      </w:tr>
      <w:tr>
        <w:trPr>
          <w:cantSplit/>
        </w:trPr>
        <w:tc>
          <w:tcPr>
            <w:tcW w:w="1400" w:type="dxa"/>
            <w:shd w:val="clear" w:color="auto" w:fill="FFFFFF"/>
          </w:tcPr>
          <w:p>
            <w:pPr>
              <w:spacing w:before="80" w:after="80"/>
              <w:jc w:val="left"/>
            </w:pPr>
            <w:r>
              <w:rPr>
                <w:rFonts w:ascii="Helvetica" w:hAnsi="Helvetica"/>
                <w:sz w:val="19"/>
                <w:color w:val="1E293B"/>
              </w:rPr>
              <w:t xml:space="preserve">Document Lifecycle
&amp; Verification</w:t>
            </w:r>
          </w:p>
        </w:tc>
        <w:tc>
          <w:tcPr>
            <w:tcW w:w="1800" w:type="dxa"/>
            <w:shd w:val="clear" w:color="auto" w:fill="FFFFFF"/>
          </w:tcPr>
          <w:p>
            <w:pPr>
              <w:spacing w:before="80" w:after="80"/>
              <w:jc w:val="left"/>
            </w:pPr>
            <w:r>
              <w:rPr>
                <w:rFonts w:ascii="Helvetica" w:hAnsi="Helvetica"/>
                <w:sz w:val="19"/>
                <w:color w:val="1E293B"/>
              </w:rPr>
              <w:t xml:space="preserve">Files uploaded are immediately chunked, embedded, and made active for AI search.</w:t>
            </w:r>
          </w:p>
        </w:tc>
        <w:tc>
          <w:tcPr>
            <w:tcW w:w="2000" w:type="dxa"/>
            <w:shd w:val="clear" w:color="auto" w:fill="FFFFFF"/>
          </w:tcPr>
          <w:p>
            <w:pPr>
              <w:spacing w:before="80" w:after="80"/>
              <w:jc w:val="left"/>
            </w:pPr>
            <w:r>
              <w:rPr>
                <w:rFonts w:ascii="Helvetica" w:hAnsi="Helvetica"/>
                <w:sz w:val="19"/>
                <w:color w:val="1E293B"/>
              </w:rPr>
              <w:t xml:space="preserve">5-Stage State Machine: Draft -&gt; Under Review -&gt; Approved -&gt; Review Required -&gt; Archived. SME verification gate.</w:t>
            </w:r>
          </w:p>
        </w:tc>
        <w:tc>
          <w:tcPr>
            <w:tcW w:w="2160" w:type="dxa"/>
            <w:shd w:val="clear" w:color="auto" w:fill="FFFFFF"/>
          </w:tcPr>
          <w:p>
            <w:pPr>
              <w:spacing w:before="80" w:after="80"/>
              <w:jc w:val="left"/>
            </w:pPr>
            <w:r>
              <w:rPr>
                <w:rFonts w:ascii="Helvetica" w:hAnsi="Helvetica"/>
                <w:sz w:val="19"/>
                <w:color w:val="1E293B"/>
              </w:rPr>
              <w:t xml:space="preserve">Add status, approved_by, expiry_date, and version fields. Vector retrieval filters strictly on status == 'APPROVED'.</w:t>
            </w:r>
          </w:p>
        </w:tc>
        <w:tc>
          <w:tcPr>
            <w:tcW w:w="2000" w:type="dxa"/>
            <w:shd w:val="clear" w:color="auto" w:fill="FFFFFF"/>
          </w:tcPr>
          <w:p>
            <w:pPr>
              <w:spacing w:before="80" w:after="80"/>
              <w:jc w:val="left"/>
            </w:pPr>
            <w:r>
              <w:rPr>
                <w:rFonts w:ascii="Helvetica" w:hAnsi="Helvetica"/>
                <w:sz w:val="19"/>
                <w:color w:val="1E293B"/>
              </w:rPr>
              <w:t xml:space="preserve">Guaranteed regulatory compliance (EU MDR / IATF 16949). AI never answers from unapproved or draft datasheets.</w:t>
            </w:r>
          </w:p>
        </w:tc>
      </w:tr>
      <w:tr>
        <w:trPr>
          <w:cantSplit/>
        </w:trPr>
        <w:tc>
          <w:tcPr>
            <w:tcW w:w="1400" w:type="dxa"/>
            <w:shd w:val="clear" w:color="auto" w:fill="F8FAFC"/>
          </w:tcPr>
          <w:p>
            <w:pPr>
              <w:spacing w:before="80" w:after="80"/>
              <w:jc w:val="left"/>
            </w:pPr>
            <w:r>
              <w:rPr>
                <w:rFonts w:ascii="Helvetica" w:hAnsi="Helvetica"/>
                <w:sz w:val="19"/>
                <w:color w:val="1E293B"/>
              </w:rPr>
              <w:t xml:space="preserve">Product Catalog
(SKU 360°)</w:t>
            </w:r>
          </w:p>
        </w:tc>
        <w:tc>
          <w:tcPr>
            <w:tcW w:w="1800" w:type="dxa"/>
            <w:shd w:val="clear" w:color="auto" w:fill="F8FAFC"/>
          </w:tcPr>
          <w:p>
            <w:pPr>
              <w:spacing w:before="80" w:after="80"/>
              <w:jc w:val="left"/>
            </w:pPr>
            <w:r>
              <w:rPr>
                <w:rFonts w:ascii="Helvetica" w:hAnsi="Helvetica"/>
                <w:sz w:val="19"/>
                <w:color w:val="1E293B"/>
              </w:rPr>
              <w:t xml:space="preserve">Zero structured product catalog. Only raw text chunks from uploaded PDFs.</w:t>
            </w:r>
          </w:p>
        </w:tc>
        <w:tc>
          <w:tcPr>
            <w:tcW w:w="2000" w:type="dxa"/>
            <w:shd w:val="clear" w:color="auto" w:fill="F8FAFC"/>
          </w:tcPr>
          <w:p>
            <w:pPr>
              <w:spacing w:before="80" w:after="80"/>
              <w:jc w:val="left"/>
            </w:pPr>
            <w:r>
              <w:rPr>
                <w:rFonts w:ascii="Helvetica" w:hAnsi="Helvetica"/>
                <w:sz w:val="19"/>
                <w:color w:val="1E293B"/>
              </w:rPr>
              <w:t xml:space="preserve">Structured parametric catalog: SKUs, dimensions, material grades, voltage, fire ratings, certifications, and CAD links.</w:t>
            </w:r>
          </w:p>
        </w:tc>
        <w:tc>
          <w:tcPr>
            <w:tcW w:w="2160" w:type="dxa"/>
            <w:shd w:val="clear" w:color="auto" w:fill="F8FAFC"/>
          </w:tcPr>
          <w:p>
            <w:pPr>
              <w:spacing w:before="80" w:after="80"/>
              <w:jc w:val="left"/>
            </w:pPr>
            <w:r>
              <w:rPr>
                <w:rFonts w:ascii="Helvetica" w:hAnsi="Helvetica"/>
                <w:sz w:val="19"/>
                <w:color w:val="1E293B"/>
              </w:rPr>
              <w:t xml:space="preserve">Create products and product_attributes tables. Implement faceted parametric search and JSON schema attribute validation.</w:t>
            </w:r>
          </w:p>
        </w:tc>
        <w:tc>
          <w:tcPr>
            <w:tcW w:w="2000" w:type="dxa"/>
            <w:shd w:val="clear" w:color="auto" w:fill="F8FAFC"/>
          </w:tcPr>
          <w:p>
            <w:pPr>
              <w:spacing w:before="80" w:after="80"/>
              <w:jc w:val="left"/>
            </w:pPr>
            <w:r>
              <w:rPr>
                <w:rFonts w:ascii="Helvetica" w:hAnsi="Helvetica"/>
                <w:sz w:val="19"/>
                <w:color w:val="1E293B"/>
              </w:rPr>
              <w:t xml:space="preserve">Engineers and dealers find exact physical parts by technical specifications (e.g., 'SS316 fire-rated lock for 60 min').</w:t>
            </w:r>
          </w:p>
        </w:tc>
      </w:tr>
      <w:tr>
        <w:trPr>
          <w:cantSplit/>
        </w:trPr>
        <w:tc>
          <w:tcPr>
            <w:tcW w:w="1400" w:type="dxa"/>
            <w:shd w:val="clear" w:color="auto" w:fill="FFFFFF"/>
          </w:tcPr>
          <w:p>
            <w:pPr>
              <w:spacing w:before="80" w:after="80"/>
              <w:jc w:val="left"/>
            </w:pPr>
            <w:r>
              <w:rPr>
                <w:rFonts w:ascii="Helvetica" w:hAnsi="Helvetica"/>
                <w:sz w:val="19"/>
                <w:color w:val="1E293B"/>
              </w:rPr>
              <w:t xml:space="preserve">Product Compatibility
&amp; Cross-Fitment</w:t>
            </w:r>
          </w:p>
        </w:tc>
        <w:tc>
          <w:tcPr>
            <w:tcW w:w="1800" w:type="dxa"/>
            <w:shd w:val="clear" w:color="auto" w:fill="FFFFFF"/>
          </w:tcPr>
          <w:p>
            <w:pPr>
              <w:spacing w:before="80" w:after="80"/>
              <w:jc w:val="left"/>
            </w:pPr>
            <w:r>
              <w:rPr>
                <w:rFonts w:ascii="Helvetica" w:hAnsi="Helvetica"/>
                <w:sz w:val="19"/>
                <w:color w:val="1E293B"/>
              </w:rPr>
              <w:t xml:space="preserve">Unstructured semantic search only. No relational graph between parts and equipment.</w:t>
            </w:r>
          </w:p>
        </w:tc>
        <w:tc>
          <w:tcPr>
            <w:tcW w:w="2000" w:type="dxa"/>
            <w:shd w:val="clear" w:color="auto" w:fill="FFFFFF"/>
          </w:tcPr>
          <w:p>
            <w:pPr>
              <w:spacing w:before="80" w:after="80"/>
              <w:jc w:val="left"/>
            </w:pPr>
            <w:r>
              <w:rPr>
                <w:rFonts w:ascii="Helvetica" w:hAnsi="Helvetica"/>
                <w:sz w:val="19"/>
                <w:color w:val="1E293B"/>
              </w:rPr>
              <w:t xml:space="preserve">Cross-fitment graph: Part A -&gt; Vehicle Make/Model/Year, or Medical Device -&gt; Disposable Accessary.</w:t>
            </w:r>
          </w:p>
        </w:tc>
        <w:tc>
          <w:tcPr>
            <w:tcW w:w="2160" w:type="dxa"/>
            <w:shd w:val="clear" w:color="auto" w:fill="FFFFFF"/>
          </w:tcPr>
          <w:p>
            <w:pPr>
              <w:spacing w:before="80" w:after="80"/>
              <w:jc w:val="left"/>
            </w:pPr>
            <w:r>
              <w:rPr>
                <w:rFonts w:ascii="Helvetica" w:hAnsi="Helvetica"/>
                <w:sz w:val="19"/>
                <w:color w:val="1E293B"/>
              </w:rPr>
              <w:t xml:space="preserve">Create product_compatibilities relational table with bidirectional fitment rules and metadata.</w:t>
            </w:r>
          </w:p>
        </w:tc>
        <w:tc>
          <w:tcPr>
            <w:tcW w:w="2000" w:type="dxa"/>
            <w:shd w:val="clear" w:color="auto" w:fill="FFFFFF"/>
          </w:tcPr>
          <w:p>
            <w:pPr>
              <w:spacing w:before="80" w:after="80"/>
              <w:jc w:val="left"/>
            </w:pPr>
            <w:r>
              <w:rPr>
                <w:rFonts w:ascii="Helvetica" w:hAnsi="Helvetica"/>
                <w:sz w:val="19"/>
                <w:color w:val="1E293B"/>
              </w:rPr>
              <w:t xml:space="preserve">Eliminates costly order returns and installation failures by mechanics and hospital biomedical engineers.</w:t>
            </w:r>
          </w:p>
        </w:tc>
      </w:tr>
      <w:tr>
        <w:trPr>
          <w:cantSplit/>
        </w:trPr>
        <w:tc>
          <w:tcPr>
            <w:tcW w:w="1400" w:type="dxa"/>
            <w:shd w:val="clear" w:color="auto" w:fill="F8FAFC"/>
          </w:tcPr>
          <w:p>
            <w:pPr>
              <w:spacing w:before="80" w:after="80"/>
              <w:jc w:val="left"/>
            </w:pPr>
            <w:r>
              <w:rPr>
                <w:rFonts w:ascii="Helvetica" w:hAnsi="Helvetica"/>
                <w:sz w:val="19"/>
                <w:color w:val="1E293B"/>
              </w:rPr>
              <w:t xml:space="preserve">Corporate LMS
(Training Platform)</w:t>
            </w:r>
          </w:p>
        </w:tc>
        <w:tc>
          <w:tcPr>
            <w:tcW w:w="1800" w:type="dxa"/>
            <w:shd w:val="clear" w:color="auto" w:fill="F8FAFC"/>
          </w:tcPr>
          <w:p>
            <w:pPr>
              <w:spacing w:before="80" w:after="80"/>
              <w:jc w:val="left"/>
            </w:pPr>
            <w:r>
              <w:rPr>
                <w:rFonts w:ascii="Helvetica" w:hAnsi="Helvetica"/>
                <w:sz w:val="19"/>
                <w:color w:val="1E293B"/>
              </w:rPr>
              <w:t xml:space="preserve">Zero LMS capability. No courses, no modules, no lessons, no progress tracking.</w:t>
            </w:r>
          </w:p>
        </w:tc>
        <w:tc>
          <w:tcPr>
            <w:tcW w:w="2000" w:type="dxa"/>
            <w:shd w:val="clear" w:color="auto" w:fill="F8FAFC"/>
          </w:tcPr>
          <w:p>
            <w:pPr>
              <w:spacing w:before="80" w:after="80"/>
              <w:jc w:val="left"/>
            </w:pPr>
            <w:r>
              <w:rPr>
                <w:rFonts w:ascii="Helvetica" w:hAnsi="Helvetica"/>
                <w:sz w:val="19"/>
                <w:color w:val="1E293B"/>
              </w:rPr>
              <w:t xml:space="preserve">Integrated B2B LMS: Video/doc course player, progress tracking, dealer on-boarding, mandatory certification paths.</w:t>
            </w:r>
          </w:p>
        </w:tc>
        <w:tc>
          <w:tcPr>
            <w:tcW w:w="2160" w:type="dxa"/>
            <w:shd w:val="clear" w:color="auto" w:fill="F8FAFC"/>
          </w:tcPr>
          <w:p>
            <w:pPr>
              <w:spacing w:before="80" w:after="80"/>
              <w:jc w:val="left"/>
            </w:pPr>
            <w:r>
              <w:rPr>
                <w:rFonts w:ascii="Helvetica" w:hAnsi="Helvetica"/>
                <w:sz w:val="19"/>
                <w:color w:val="1E293B"/>
              </w:rPr>
              <w:t xml:space="preserve">Create courses, modules, lessons, and user_progress tables. Build course player UI with video timestamp tracking.</w:t>
            </w:r>
          </w:p>
        </w:tc>
        <w:tc>
          <w:tcPr>
            <w:tcW w:w="2000" w:type="dxa"/>
            <w:shd w:val="clear" w:color="auto" w:fill="F8FAFC"/>
          </w:tcPr>
          <w:p>
            <w:pPr>
              <w:spacing w:before="80" w:after="80"/>
              <w:jc w:val="left"/>
            </w:pPr>
            <w:r>
              <w:rPr>
                <w:rFonts w:ascii="Helvetica" w:hAnsi="Helvetica"/>
                <w:sz w:val="19"/>
                <w:color w:val="1E293B"/>
              </w:rPr>
              <w:t xml:space="preserve">Unifies documentation with education. Training content updates automatically when engineering datasheets change.</w:t>
            </w:r>
          </w:p>
        </w:tc>
      </w:tr>
      <w:tr>
        <w:trPr>
          <w:cantSplit/>
        </w:trPr>
        <w:tc>
          <w:tcPr>
            <w:tcW w:w="1400" w:type="dxa"/>
            <w:shd w:val="clear" w:color="auto" w:fill="FFFFFF"/>
          </w:tcPr>
          <w:p>
            <w:pPr>
              <w:spacing w:before="80" w:after="80"/>
              <w:jc w:val="left"/>
            </w:pPr>
            <w:r>
              <w:rPr>
                <w:rFonts w:ascii="Helvetica" w:hAnsi="Helvetica"/>
                <w:sz w:val="19"/>
                <w:color w:val="1E293B"/>
              </w:rPr>
              <w:t xml:space="preserve">AI Course
Authoring</w:t>
            </w:r>
          </w:p>
        </w:tc>
        <w:tc>
          <w:tcPr>
            <w:tcW w:w="1800" w:type="dxa"/>
            <w:shd w:val="clear" w:color="auto" w:fill="FFFFFF"/>
          </w:tcPr>
          <w:p>
            <w:pPr>
              <w:spacing w:before="80" w:after="80"/>
              <w:jc w:val="left"/>
            </w:pPr>
            <w:r>
              <w:rPr>
                <w:rFonts w:ascii="Helvetica" w:hAnsi="Helvetica"/>
                <w:sz w:val="19"/>
                <w:color w:val="1E293B"/>
              </w:rPr>
              <w:t xml:space="preserve">No course authoring tools exist.</w:t>
            </w:r>
          </w:p>
        </w:tc>
        <w:tc>
          <w:tcPr>
            <w:tcW w:w="2000" w:type="dxa"/>
            <w:shd w:val="clear" w:color="auto" w:fill="FFFFFF"/>
          </w:tcPr>
          <w:p>
            <w:pPr>
              <w:spacing w:before="80" w:after="80"/>
              <w:jc w:val="left"/>
            </w:pPr>
            <w:r>
              <w:rPr>
                <w:rFonts w:ascii="Helvetica" w:hAnsi="Helvetica"/>
                <w:sz w:val="19"/>
                <w:color w:val="1E293B"/>
              </w:rPr>
              <w:t xml:space="preserve">AI-assisted authoring: Drop an approved technical manual, AI drafts course modules, summaries, and quiz questions.</w:t>
            </w:r>
          </w:p>
        </w:tc>
        <w:tc>
          <w:tcPr>
            <w:tcW w:w="2160" w:type="dxa"/>
            <w:shd w:val="clear" w:color="auto" w:fill="FFFFFF"/>
          </w:tcPr>
          <w:p>
            <w:pPr>
              <w:spacing w:before="80" w:after="80"/>
              <w:jc w:val="left"/>
            </w:pPr>
            <w:r>
              <w:rPr>
                <w:rFonts w:ascii="Helvetica" w:hAnsi="Helvetica"/>
                <w:sz w:val="19"/>
                <w:color w:val="1E293B"/>
              </w:rPr>
              <w:t xml:space="preserve">Implement LLM extraction pipeline that parses technical manuals into structured SCORM/LMS course JSON with SME review.</w:t>
            </w:r>
          </w:p>
        </w:tc>
        <w:tc>
          <w:tcPr>
            <w:tcW w:w="2000" w:type="dxa"/>
            <w:shd w:val="clear" w:color="auto" w:fill="FFFFFF"/>
          </w:tcPr>
          <w:p>
            <w:pPr>
              <w:spacing w:before="80" w:after="80"/>
              <w:jc w:val="left"/>
            </w:pPr>
            <w:r>
              <w:rPr>
                <w:rFonts w:ascii="Helvetica" w:hAnsi="Helvetica"/>
                <w:sz w:val="19"/>
                <w:color w:val="1E293B"/>
              </w:rPr>
              <w:t xml:space="preserve">Reduces course creation time from 2 weeks to 30 minutes for corporate trainers and L&amp;D teams.</w:t>
            </w:r>
          </w:p>
        </w:tc>
      </w:tr>
      <w:tr>
        <w:trPr>
          <w:cantSplit/>
        </w:trPr>
        <w:tc>
          <w:tcPr>
            <w:tcW w:w="1400" w:type="dxa"/>
            <w:shd w:val="clear" w:color="auto" w:fill="F8FAFC"/>
          </w:tcPr>
          <w:p>
            <w:pPr>
              <w:spacing w:before="80" w:after="80"/>
              <w:jc w:val="left"/>
            </w:pPr>
            <w:r>
              <w:rPr>
                <w:rFonts w:ascii="Helvetica" w:hAnsi="Helvetica"/>
                <w:sz w:val="19"/>
                <w:color w:val="1E293B"/>
              </w:rPr>
              <w:t xml:space="preserve">Assessments &amp;
Certifications</w:t>
            </w:r>
          </w:p>
        </w:tc>
        <w:tc>
          <w:tcPr>
            <w:tcW w:w="1800" w:type="dxa"/>
            <w:shd w:val="clear" w:color="auto" w:fill="F8FAFC"/>
          </w:tcPr>
          <w:p>
            <w:pPr>
              <w:spacing w:before="80" w:after="80"/>
              <w:jc w:val="left"/>
            </w:pPr>
            <w:r>
              <w:rPr>
                <w:rFonts w:ascii="Helvetica" w:hAnsi="Helvetica"/>
                <w:sz w:val="19"/>
                <w:color w:val="1E293B"/>
              </w:rPr>
              <w:t xml:space="preserve">No quizzes or certificates.</w:t>
            </w:r>
          </w:p>
        </w:tc>
        <w:tc>
          <w:tcPr>
            <w:tcW w:w="2000" w:type="dxa"/>
            <w:shd w:val="clear" w:color="auto" w:fill="F8FAFC"/>
          </w:tcPr>
          <w:p>
            <w:pPr>
              <w:spacing w:before="80" w:after="80"/>
              <w:jc w:val="left"/>
            </w:pPr>
            <w:r>
              <w:rPr>
                <w:rFonts w:ascii="Helvetica" w:hAnsi="Helvetica"/>
                <w:sz w:val="19"/>
                <w:color w:val="1E293B"/>
              </w:rPr>
              <w:t xml:space="preserve">Quiz engine with passing thresholds (e.g., 80%), randomized questions, and auto-generated PDF certificates with QR codes.</w:t>
            </w:r>
          </w:p>
        </w:tc>
        <w:tc>
          <w:tcPr>
            <w:tcW w:w="2160" w:type="dxa"/>
            <w:shd w:val="clear" w:color="auto" w:fill="F8FAFC"/>
          </w:tcPr>
          <w:p>
            <w:pPr>
              <w:spacing w:before="80" w:after="80"/>
              <w:jc w:val="left"/>
            </w:pPr>
            <w:r>
              <w:rPr>
                <w:rFonts w:ascii="Helvetica" w:hAnsi="Helvetica"/>
                <w:sz w:val="19"/>
                <w:color w:val="1E293B"/>
              </w:rPr>
              <w:t xml:space="preserve">Create quizzes, questions, and certificates tables. Build ReportLab / WeasyPrint PDF generator with cryptographic QR tokens.</w:t>
            </w:r>
          </w:p>
        </w:tc>
        <w:tc>
          <w:tcPr>
            <w:tcW w:w="2000" w:type="dxa"/>
            <w:shd w:val="clear" w:color="auto" w:fill="F8FAFC"/>
          </w:tcPr>
          <w:p>
            <w:pPr>
              <w:spacing w:before="80" w:after="80"/>
              <w:jc w:val="left"/>
            </w:pPr>
            <w:r>
              <w:rPr>
                <w:rFonts w:ascii="Helvetica" w:hAnsi="Helvetica"/>
                <w:sz w:val="19"/>
                <w:color w:val="1E293B"/>
              </w:rPr>
              <w:t xml:space="preserve">Provides legally defensible proof of technician training for warranty validation and ISO audits.</w:t>
            </w:r>
          </w:p>
        </w:tc>
      </w:tr>
      <w:tr>
        <w:trPr>
          <w:cantSplit/>
        </w:trPr>
        <w:tc>
          <w:tcPr>
            <w:tcW w:w="1400" w:type="dxa"/>
            <w:shd w:val="clear" w:color="auto" w:fill="FFFFFF"/>
          </w:tcPr>
          <w:p>
            <w:pPr>
              <w:spacing w:before="80" w:after="80"/>
              <w:jc w:val="left"/>
            </w:pPr>
            <w:r>
              <w:rPr>
                <w:rFonts w:ascii="Helvetica" w:hAnsi="Helvetica"/>
                <w:sz w:val="19"/>
                <w:color w:val="1E293B"/>
              </w:rPr>
              <w:t xml:space="preserve">In-Course AI
Co-Pilot (Tutor)</w:t>
            </w:r>
          </w:p>
        </w:tc>
        <w:tc>
          <w:tcPr>
            <w:tcW w:w="1800" w:type="dxa"/>
            <w:shd w:val="clear" w:color="auto" w:fill="FFFFFF"/>
          </w:tcPr>
          <w:p>
            <w:pPr>
              <w:spacing w:before="80" w:after="80"/>
              <w:jc w:val="left"/>
            </w:pPr>
            <w:r>
              <w:rPr>
                <w:rFonts w:ascii="Helvetica" w:hAnsi="Helvetica"/>
                <w:sz w:val="19"/>
                <w:color w:val="1E293B"/>
              </w:rPr>
              <w:t xml:space="preserve">Global chatbot only. No contextual awareness of active lesson.</w:t>
            </w:r>
          </w:p>
        </w:tc>
        <w:tc>
          <w:tcPr>
            <w:tcW w:w="2000" w:type="dxa"/>
            <w:shd w:val="clear" w:color="auto" w:fill="FFFFFF"/>
          </w:tcPr>
          <w:p>
            <w:pPr>
              <w:spacing w:before="80" w:after="80"/>
              <w:jc w:val="left"/>
            </w:pPr>
            <w:r>
              <w:rPr>
                <w:rFonts w:ascii="Helvetica" w:hAnsi="Helvetica"/>
                <w:sz w:val="19"/>
                <w:color w:val="1E293B"/>
              </w:rPr>
              <w:t xml:space="preserve">Dedicated In-Course AI Tutor sidebar answering questions strictly from the current course transcript and linked manuals.</w:t>
            </w:r>
          </w:p>
        </w:tc>
        <w:tc>
          <w:tcPr>
            <w:tcW w:w="2160" w:type="dxa"/>
            <w:shd w:val="clear" w:color="auto" w:fill="FFFFFF"/>
          </w:tcPr>
          <w:p>
            <w:pPr>
              <w:spacing w:before="80" w:after="80"/>
              <w:jc w:val="left"/>
            </w:pPr>
            <w:r>
              <w:rPr>
                <w:rFonts w:ascii="Helvetica" w:hAnsi="Helvetica"/>
                <w:sz w:val="19"/>
                <w:color w:val="1E293B"/>
              </w:rPr>
              <w:t xml:space="preserve">Add course_id and lesson_id scoping to RAG pipeline. Inject lesson transcript as high-priority prompt context.</w:t>
            </w:r>
          </w:p>
        </w:tc>
        <w:tc>
          <w:tcPr>
            <w:tcW w:w="2000" w:type="dxa"/>
            <w:shd w:val="clear" w:color="auto" w:fill="FFFFFF"/>
          </w:tcPr>
          <w:p>
            <w:pPr>
              <w:spacing w:before="80" w:after="80"/>
              <w:jc w:val="left"/>
            </w:pPr>
            <w:r>
              <w:rPr>
                <w:rFonts w:ascii="Helvetica" w:hAnsi="Helvetica"/>
                <w:sz w:val="19"/>
                <w:color w:val="1E293B"/>
              </w:rPr>
              <w:t xml:space="preserve">Empowers mechanics and technicians to self-resolve technical doubts in real time without human trainer bottlenecks.</w:t>
            </w:r>
          </w:p>
        </w:tc>
      </w:tr>
      <w:tr>
        <w:trPr>
          <w:cantSplit/>
        </w:trPr>
        <w:tc>
          <w:tcPr>
            <w:tcW w:w="1400" w:type="dxa"/>
            <w:shd w:val="clear" w:color="auto" w:fill="F8FAFC"/>
          </w:tcPr>
          <w:p>
            <w:pPr>
              <w:spacing w:before="80" w:after="80"/>
              <w:jc w:val="left"/>
            </w:pPr>
            <w:r>
              <w:rPr>
                <w:rFonts w:ascii="Helvetica" w:hAnsi="Helvetica"/>
                <w:sz w:val="19"/>
                <w:color w:val="1E293B"/>
              </w:rPr>
              <w:t xml:space="preserve">Search &amp; Retrieval
Pipeline</w:t>
            </w:r>
          </w:p>
        </w:tc>
        <w:tc>
          <w:tcPr>
            <w:tcW w:w="1800" w:type="dxa"/>
            <w:shd w:val="clear" w:color="auto" w:fill="F8FAFC"/>
          </w:tcPr>
          <w:p>
            <w:pPr>
              <w:spacing w:before="80" w:after="80"/>
              <w:jc w:val="left"/>
            </w:pPr>
            <w:r>
              <w:rPr>
                <w:rFonts w:ascii="Helvetica" w:hAnsi="Helvetica"/>
                <w:sz w:val="19"/>
                <w:color w:val="1E293B"/>
              </w:rPr>
              <w:t xml:space="preserve">pgvector cosine similarity + SQL ILIKE search + FlashRank reranker.</w:t>
            </w:r>
          </w:p>
        </w:tc>
        <w:tc>
          <w:tcPr>
            <w:tcW w:w="2000" w:type="dxa"/>
            <w:shd w:val="clear" w:color="auto" w:fill="F8FAFC"/>
          </w:tcPr>
          <w:p>
            <w:pPr>
              <w:spacing w:before="80" w:after="80"/>
              <w:jc w:val="left"/>
            </w:pPr>
            <w:r>
              <w:rPr>
                <w:rFonts w:ascii="Helvetica" w:hAnsi="Helvetica"/>
                <w:sz w:val="19"/>
                <w:color w:val="1E293B"/>
              </w:rPr>
              <w:t xml:space="preserve">Reciprocal Rank Fusion (RRF) combining BM25 keyword search (OpenSearch/pg_trgm) with dense vectors and FlashRank.</w:t>
            </w:r>
          </w:p>
        </w:tc>
        <w:tc>
          <w:tcPr>
            <w:tcW w:w="2160" w:type="dxa"/>
            <w:shd w:val="clear" w:color="auto" w:fill="F8FAFC"/>
          </w:tcPr>
          <w:p>
            <w:pPr>
              <w:spacing w:before="80" w:after="80"/>
              <w:jc w:val="left"/>
            </w:pPr>
            <w:r>
              <w:rPr>
                <w:rFonts w:ascii="Helvetica" w:hAnsi="Helvetica"/>
                <w:sz w:val="19"/>
                <w:color w:val="1E293B"/>
              </w:rPr>
              <w:t xml:space="preserve">Implement BM25 lexical index for exact part numbers (e.g., M8x40 DIN 933). Blend ranks via 1/(60 + rank_bm25) + 1/(60 + rank_vector).</w:t>
            </w:r>
          </w:p>
        </w:tc>
        <w:tc>
          <w:tcPr>
            <w:tcW w:w="2000" w:type="dxa"/>
            <w:shd w:val="clear" w:color="auto" w:fill="F8FAFC"/>
          </w:tcPr>
          <w:p>
            <w:pPr>
              <w:spacing w:before="80" w:after="80"/>
              <w:jc w:val="left"/>
            </w:pPr>
            <w:r>
              <w:rPr>
                <w:rFonts w:ascii="Helvetica" w:hAnsi="Helvetica"/>
                <w:sz w:val="19"/>
                <w:color w:val="1E293B"/>
              </w:rPr>
              <w:t xml:space="preserve">Zero failure on exact industrial alphanumeric part numbers where pure vector embeddings fail.</w:t>
            </w:r>
          </w:p>
        </w:tc>
      </w:tr>
      <w:tr>
        <w:trPr>
          <w:cantSplit/>
        </w:trPr>
        <w:tc>
          <w:tcPr>
            <w:tcW w:w="1400" w:type="dxa"/>
            <w:shd w:val="clear" w:color="auto" w:fill="FFFFFF"/>
          </w:tcPr>
          <w:p>
            <w:pPr>
              <w:spacing w:before="80" w:after="80"/>
              <w:jc w:val="left"/>
            </w:pPr>
            <w:r>
              <w:rPr>
                <w:rFonts w:ascii="Helvetica" w:hAnsi="Helvetica"/>
                <w:sz w:val="19"/>
                <w:color w:val="1E293B"/>
              </w:rPr>
              <w:t xml:space="preserve">Regulatory Audit &amp;
Traceability</w:t>
            </w:r>
          </w:p>
        </w:tc>
        <w:tc>
          <w:tcPr>
            <w:tcW w:w="1800" w:type="dxa"/>
            <w:shd w:val="clear" w:color="auto" w:fill="FFFFFF"/>
          </w:tcPr>
          <w:p>
            <w:pPr>
              <w:spacing w:before="80" w:after="80"/>
              <w:jc w:val="left"/>
            </w:pPr>
            <w:r>
              <w:rPr>
                <w:rFonts w:ascii="Helvetica" w:hAnsi="Helvetica"/>
                <w:sz w:val="19"/>
                <w:color w:val="1E293B"/>
              </w:rPr>
              <w:t xml:space="preserve">Basic conversation history logging. No compliance audit trail.</w:t>
            </w:r>
          </w:p>
        </w:tc>
        <w:tc>
          <w:tcPr>
            <w:tcW w:w="2000" w:type="dxa"/>
            <w:shd w:val="clear" w:color="auto" w:fill="FFFFFF"/>
          </w:tcPr>
          <w:p>
            <w:pPr>
              <w:spacing w:before="80" w:after="80"/>
              <w:jc w:val="left"/>
            </w:pPr>
            <w:r>
              <w:rPr>
                <w:rFonts w:ascii="Helvetica" w:hAnsi="Helvetica"/>
                <w:sz w:val="19"/>
                <w:color w:val="1E293B"/>
              </w:rPr>
              <w:t xml:space="preserve">Immutable event audit trail: User, role, IP address, timestamp, document version viewed/downloaded, AI decision logs.</w:t>
            </w:r>
          </w:p>
        </w:tc>
        <w:tc>
          <w:tcPr>
            <w:tcW w:w="2160" w:type="dxa"/>
            <w:shd w:val="clear" w:color="auto" w:fill="FFFFFF"/>
          </w:tcPr>
          <w:p>
            <w:pPr>
              <w:spacing w:before="80" w:after="80"/>
              <w:jc w:val="left"/>
            </w:pPr>
            <w:r>
              <w:rPr>
                <w:rFonts w:ascii="Helvetica" w:hAnsi="Helvetica"/>
                <w:sz w:val="19"/>
                <w:color w:val="1E293B"/>
              </w:rPr>
              <w:t xml:space="preserve">Create audit_logs table with write-only triggers. Record all document lifecycle transitions and AI chunk citations.</w:t>
            </w:r>
          </w:p>
        </w:tc>
        <w:tc>
          <w:tcPr>
            <w:tcW w:w="2000" w:type="dxa"/>
            <w:shd w:val="clear" w:color="auto" w:fill="FFFFFF"/>
          </w:tcPr>
          <w:p>
            <w:pPr>
              <w:spacing w:before="80" w:after="80"/>
              <w:jc w:val="left"/>
            </w:pPr>
            <w:r>
              <w:rPr>
                <w:rFonts w:ascii="Helvetica" w:hAnsi="Helvetica"/>
                <w:sz w:val="19"/>
                <w:color w:val="1E293B"/>
              </w:rPr>
              <w:t xml:space="preserve">Protects manufacturers from multimillion-dollar recall liabilities under EU MDR and IATF 16949 scrutiny.</w:t>
            </w:r>
          </w:p>
        </w:tc>
      </w:tr>
      <w:tr>
        <w:trPr>
          <w:cantSplit/>
        </w:trPr>
        <w:tc>
          <w:tcPr>
            <w:tcW w:w="1400" w:type="dxa"/>
            <w:shd w:val="clear" w:color="auto" w:fill="F8FAFC"/>
          </w:tcPr>
          <w:p>
            <w:pPr>
              <w:spacing w:before="80" w:after="80"/>
              <w:jc w:val="left"/>
            </w:pPr>
            <w:r>
              <w:rPr>
                <w:rFonts w:ascii="Helvetica" w:hAnsi="Helvetica"/>
                <w:sz w:val="19"/>
                <w:color w:val="1E293B"/>
              </w:rPr>
              <w:t xml:space="preserve">EU AI Act &amp;
Transparency</w:t>
            </w:r>
          </w:p>
        </w:tc>
        <w:tc>
          <w:tcPr>
            <w:tcW w:w="1800" w:type="dxa"/>
            <w:shd w:val="clear" w:color="auto" w:fill="F8FAFC"/>
          </w:tcPr>
          <w:p>
            <w:pPr>
              <w:spacing w:before="80" w:after="80"/>
              <w:jc w:val="left"/>
            </w:pPr>
            <w:r>
              <w:rPr>
                <w:rFonts w:ascii="Helvetica" w:hAnsi="Helvetica"/>
                <w:sz w:val="19"/>
                <w:color w:val="1E293B"/>
              </w:rPr>
              <w:t xml:space="preserve">Standard markdown output with citations. No regulatory badges.</w:t>
            </w:r>
          </w:p>
        </w:tc>
        <w:tc>
          <w:tcPr>
            <w:tcW w:w="2000" w:type="dxa"/>
            <w:shd w:val="clear" w:color="auto" w:fill="F8FAFC"/>
          </w:tcPr>
          <w:p>
            <w:pPr>
              <w:spacing w:before="80" w:after="80"/>
              <w:jc w:val="left"/>
            </w:pPr>
            <w:r>
              <w:rPr>
                <w:rFonts w:ascii="Helvetica" w:hAnsi="Helvetica"/>
                <w:sz w:val="19"/>
                <w:color w:val="1E293B"/>
              </w:rPr>
              <w:t xml:space="preserve">Strict AI transparency badges: 'AI-Generated Response', 'SME-Verified Translation' vs 'AI-Translated (Unverified)'.</w:t>
            </w:r>
          </w:p>
        </w:tc>
        <w:tc>
          <w:tcPr>
            <w:tcW w:w="2160" w:type="dxa"/>
            <w:shd w:val="clear" w:color="auto" w:fill="F8FAFC"/>
          </w:tcPr>
          <w:p>
            <w:pPr>
              <w:spacing w:before="80" w:after="80"/>
              <w:jc w:val="left"/>
            </w:pPr>
            <w:r>
              <w:rPr>
                <w:rFonts w:ascii="Helvetica" w:hAnsi="Helvetica"/>
                <w:sz w:val="19"/>
                <w:color w:val="1E293B"/>
              </w:rPr>
              <w:t xml:space="preserve">Add metadata flags to chat responses and translation endpoints. Render prominent UI compliance tags.</w:t>
            </w:r>
          </w:p>
        </w:tc>
        <w:tc>
          <w:tcPr>
            <w:tcW w:w="2000" w:type="dxa"/>
            <w:shd w:val="clear" w:color="auto" w:fill="F8FAFC"/>
          </w:tcPr>
          <w:p>
            <w:pPr>
              <w:spacing w:before="80" w:after="80"/>
              <w:jc w:val="left"/>
            </w:pPr>
            <w:r>
              <w:rPr>
                <w:rFonts w:ascii="Helvetica" w:hAnsi="Helvetica"/>
                <w:sz w:val="19"/>
                <w:color w:val="1E293B"/>
              </w:rPr>
              <w:t xml:space="preserve">Full compliance with the EU AI Act (high-risk AI categorization) for industrial and medical deployments.</w:t>
            </w:r>
          </w:p>
        </w:tc>
      </w:tr>
      <w:tr>
        <w:trPr>
          <w:cantSplit/>
        </w:trPr>
        <w:tc>
          <w:tcPr>
            <w:tcW w:w="1400" w:type="dxa"/>
            <w:shd w:val="clear" w:color="auto" w:fill="FFFFFF"/>
          </w:tcPr>
          <w:p>
            <w:pPr>
              <w:spacing w:before="80" w:after="80"/>
              <w:jc w:val="left"/>
            </w:pPr>
            <w:r>
              <w:rPr>
                <w:rFonts w:ascii="Helvetica" w:hAnsi="Helvetica"/>
                <w:sz w:val="19"/>
                <w:color w:val="1E293B"/>
              </w:rPr>
              <w:t xml:space="preserve">Autonomous AI
Agent Hub</w:t>
            </w:r>
          </w:p>
        </w:tc>
        <w:tc>
          <w:tcPr>
            <w:tcW w:w="1800" w:type="dxa"/>
            <w:shd w:val="clear" w:color="auto" w:fill="FFFFFF"/>
          </w:tcPr>
          <w:p>
            <w:pPr>
              <w:spacing w:before="80" w:after="80"/>
              <w:jc w:val="left"/>
            </w:pPr>
            <w:r>
              <w:rPr>
                <w:rFonts w:ascii="Helvetica" w:hAnsi="Helvetica"/>
                <w:sz w:val="19"/>
                <w:color w:val="1E293B"/>
              </w:rPr>
              <w:t xml:space="preserve">Single-turn RAG retrieval loop.</w:t>
            </w:r>
          </w:p>
        </w:tc>
        <w:tc>
          <w:tcPr>
            <w:tcW w:w="2000" w:type="dxa"/>
            <w:shd w:val="clear" w:color="auto" w:fill="FFFFFF"/>
          </w:tcPr>
          <w:p>
            <w:pPr>
              <w:spacing w:before="80" w:after="80"/>
              <w:jc w:val="left"/>
            </w:pPr>
            <w:r>
              <w:rPr>
                <w:rFonts w:ascii="Helvetica" w:hAnsi="Helvetica"/>
                <w:sz w:val="19"/>
                <w:color w:val="1E293B"/>
              </w:rPr>
              <w:t xml:space="preserve">Phase 3 Multi-actor LangGraph agents (Sales Engineering, Compliance Gap, Customer Support) with HITL approval queue.</w:t>
            </w:r>
          </w:p>
        </w:tc>
        <w:tc>
          <w:tcPr>
            <w:tcW w:w="2160" w:type="dxa"/>
            <w:shd w:val="clear" w:color="auto" w:fill="FFFFFF"/>
          </w:tcPr>
          <w:p>
            <w:pPr>
              <w:spacing w:before="80" w:after="80"/>
              <w:jc w:val="left"/>
            </w:pPr>
            <w:r>
              <w:rPr>
                <w:rFonts w:ascii="Helvetica" w:hAnsi="Helvetica"/>
                <w:sz w:val="19"/>
                <w:color w:val="1E293B"/>
              </w:rPr>
              <w:t xml:space="preserve">Integrate LangGraph. Create agent_approval_queue table for high-stakes ERP updates or public manual publishing.</w:t>
            </w:r>
          </w:p>
        </w:tc>
        <w:tc>
          <w:tcPr>
            <w:tcW w:w="2000" w:type="dxa"/>
            <w:shd w:val="clear" w:color="auto" w:fill="FFFFFF"/>
          </w:tcPr>
          <w:p>
            <w:pPr>
              <w:spacing w:before="80" w:after="80"/>
              <w:jc w:val="left"/>
            </w:pPr>
            <w:r>
              <w:rPr>
                <w:rFonts w:ascii="Helvetica" w:hAnsi="Helvetica"/>
                <w:sz w:val="19"/>
                <w:color w:val="1E293B"/>
              </w:rPr>
              <w:t xml:space="preserve">Automates complex multi-step workflows while keeping human SMEs strictly in control of critical decisions.</w:t>
            </w:r>
          </w:p>
        </w:tc>
      </w:tr>
      <w:tr>
        <w:trPr>
          <w:cantSplit/>
        </w:trPr>
        <w:tc>
          <w:tcPr>
            <w:tcW w:w="1400" w:type="dxa"/>
            <w:shd w:val="clear" w:color="auto" w:fill="F8FAFC"/>
          </w:tcPr>
          <w:p>
            <w:pPr>
              <w:spacing w:before="80" w:after="80"/>
              <w:jc w:val="left"/>
            </w:pPr>
            <w:r>
              <w:rPr>
                <w:rFonts w:ascii="Helvetica" w:hAnsi="Helvetica"/>
                <w:sz w:val="19"/>
                <w:color w:val="1E293B"/>
              </w:rPr>
              <w:t xml:space="preserve">Frontend &amp;
User Experience</w:t>
            </w:r>
          </w:p>
        </w:tc>
        <w:tc>
          <w:tcPr>
            <w:tcW w:w="1800" w:type="dxa"/>
            <w:shd w:val="clear" w:color="auto" w:fill="F8FAFC"/>
          </w:tcPr>
          <w:p>
            <w:pPr>
              <w:spacing w:before="80" w:after="80"/>
              <w:jc w:val="left"/>
            </w:pPr>
            <w:r>
              <w:rPr>
                <w:rFonts w:ascii="Helvetica" w:hAnsi="Helvetica"/>
                <w:sz w:val="19"/>
                <w:color w:val="1E293B"/>
              </w:rPr>
              <w:t xml:space="preserve">Vanilla HTML/JavaScript dashboard (dashboard.html) and live chat widget.</w:t>
            </w:r>
          </w:p>
        </w:tc>
        <w:tc>
          <w:tcPr>
            <w:tcW w:w="2000" w:type="dxa"/>
            <w:shd w:val="clear" w:color="auto" w:fill="F8FAFC"/>
          </w:tcPr>
          <w:p>
            <w:pPr>
              <w:spacing w:before="80" w:after="80"/>
              <w:jc w:val="left"/>
            </w:pPr>
            <w:r>
              <w:rPr>
                <w:rFonts w:ascii="Helvetica" w:hAnsi="Helvetica"/>
                <w:sz w:val="19"/>
                <w:color w:val="1E293B"/>
              </w:rPr>
              <w:t xml:space="preserve">Modern Next.js 14/15 + Tailwind CSS + shadcn/ui application with responsive PWA and role-specific portals.</w:t>
            </w:r>
          </w:p>
        </w:tc>
        <w:tc>
          <w:tcPr>
            <w:tcW w:w="2160" w:type="dxa"/>
            <w:shd w:val="clear" w:color="auto" w:fill="F8FAFC"/>
          </w:tcPr>
          <w:p>
            <w:pPr>
              <w:spacing w:before="80" w:after="80"/>
              <w:jc w:val="left"/>
            </w:pPr>
            <w:r>
              <w:rPr>
                <w:rFonts w:ascii="Helvetica" w:hAnsi="Helvetica"/>
                <w:sz w:val="19"/>
                <w:color w:val="1E293B"/>
              </w:rPr>
              <w:t xml:space="preserve">Refactor frontend into modern React/Next.js components. Implement TanStack Table for parametric SKU comparison.</w:t>
            </w:r>
          </w:p>
        </w:tc>
        <w:tc>
          <w:tcPr>
            <w:tcW w:w="2000" w:type="dxa"/>
            <w:shd w:val="clear" w:color="auto" w:fill="F8FAFC"/>
          </w:tcPr>
          <w:p>
            <w:pPr>
              <w:spacing w:before="80" w:after="80"/>
              <w:jc w:val="left"/>
            </w:pPr>
            <w:r>
              <w:rPr>
                <w:rFonts w:ascii="Helvetica" w:hAnsi="Helvetica"/>
                <w:sz w:val="19"/>
                <w:color w:val="1E293B"/>
              </w:rPr>
              <w:t xml:space="preserve">Enterprise-grade user experience with fast load times, accessible design, and specialized views per role.</w:t>
            </w:r>
          </w:p>
        </w:tc>
      </w:tr>
    </w:tbl>
    <w:p>
      <w:pPr>
        <w:spacing w:before="60" w:after="160"/>
      </w:pPr>
    </w:p>
    <w:p>
      <w:r>
        <w:br w:type="page"/>
      </w:r>
    </w:p>
    <w:p>
      <w:pPr>
        <w:pStyle w:val="Heading1"/>
        <w:spacing w:before="400" w:after="120"/>
      </w:pPr>
      <w:r>
        <w:rPr>
          <w:rFonts w:ascii="Helvetica" w:hAnsi="Helvetica"/>
          <w:b/>
          <w:sz w:val="36"/>
          <w:color w:val="1E3A8A"/>
        </w:rPr>
        <w:t>2. Pillar 1: Enterprise Knowledge Management &amp; Multi-Tenancy</w:t>
      </w:r>
    </w:p>
    <w:p>
      <w:pPr>
        <w:spacing w:before="60" w:after="120" w:line="276" w:lineRule="auto"/>
      </w:pPr>
      <w:r>
        <w:rPr>
          <w:rFonts w:ascii="Helvetica" w:hAnsi="Helvetica"/>
          <w:sz w:val="22"/>
          <w:color w:val="334155"/>
        </w:rPr>
        <w:t xml:space="preserve">The core thesis of KiaviIQ is solving the severe knowledge fragmentation that plagues heavy-engineering manufacturing enterprises. Technical knowledge is traditionally scattered across SharePoint drives, ERP databases, CAD vaults, local network shares, and legacy email threads. When a dealer, field engineer, or hospital technician requires an urgent technical specification, finding the correct document takes hours, and using an outdated version carries catastrophic liability.</w:t>
      </w:r>
    </w:p>
    <w:p>
      <w:pPr>
        <w:pStyle w:val="Heading2"/>
        <w:spacing w:before="300" w:after="120"/>
      </w:pPr>
      <w:r>
        <w:rPr>
          <w:rFonts w:ascii="Helvetica" w:hAnsi="Helvetica"/>
          <w:b/>
          <w:sz w:val="30"/>
          <w:color w:val="2563EB"/>
        </w:rPr>
        <w:t>Architectural Solution: Governed Closed-Loop Knowledge Hub</w:t>
      </w:r>
    </w:p>
    <w:p>
      <w:pPr>
        <w:spacing w:before="60" w:after="120" w:line="276" w:lineRule="auto"/>
      </w:pPr>
      <w:r>
        <w:rPr>
          <w:rFonts w:ascii="Helvetica" w:hAnsi="Helvetica"/>
          <w:sz w:val="22"/>
          <w:color w:val="334155"/>
        </w:rPr>
        <w:t xml:space="preserve">KiaviIQ unifies all technical documentation, installation manuals, clinical trial reports, CAD drawings, and compliance policies into a private, governed workspace. Natural language questions are grounded strictly in approved documents with exact version citations. If verified information does not exist, the system deterministically refuses to extrapolate.</w:t>
      </w:r>
    </w:p>
    <w:p>
      <w:pPr>
        <w:pStyle w:val="ListParagraph"/>
        <w:numPr>
          <w:ilvl w:val="0"/>
          <w:numId w:val="1"/>
        </w:numPr>
        <w:spacing w:before="40" w:after="60"/>
        <w:ind w:left="360"/>
      </w:pPr>
      <w:r>
        <w:rPr>
          <w:rFonts w:ascii="Helvetica" w:hAnsi="Helvetica"/>
          <w:b/>
          <w:sz w:val="22"/>
          <w:color w:val="1E293B"/>
        </w:rPr>
        <w:t xml:space="preserve">Private Tenant Workspace: </w:t>
      </w:r>
      <w:r>
        <w:rPr>
          <w:rFonts w:ascii="Helvetica" w:hAnsi="Helvetica"/>
          <w:sz w:val="22"/>
          <w:color w:val="334155"/>
        </w:rPr>
        <w:t xml:space="preserve">Each enterprise customer operates within a completely isolated private workspace. Enterprise data is never intermingled, never made public, and never used to train public LLM models.</w:t>
      </w:r>
    </w:p>
    <w:p>
      <w:pPr>
        <w:pStyle w:val="ListParagraph"/>
        <w:numPr>
          <w:ilvl w:val="0"/>
          <w:numId w:val="1"/>
        </w:numPr>
        <w:spacing w:before="40" w:after="60"/>
        <w:ind w:left="360"/>
      </w:pPr>
      <w:r>
        <w:rPr>
          <w:rFonts w:ascii="Helvetica" w:hAnsi="Helvetica"/>
          <w:b/>
          <w:sz w:val="22"/>
          <w:color w:val="1E293B"/>
        </w:rPr>
        <w:t xml:space="preserve">Database-Level Row-Level Security (RLS): </w:t>
      </w:r>
      <w:r>
        <w:rPr>
          <w:rFonts w:ascii="Helvetica" w:hAnsi="Helvetica"/>
          <w:sz w:val="22"/>
          <w:color w:val="334155"/>
        </w:rPr>
        <w:t xml:space="preserve">Tenant isolation is enforced directly in PostgreSQL via Row-Level Security (RLS) policies on tenant_id. Even in the event of an application logic defect, cross-tenant data leakage is physically prevented at the database engine level.</w:t>
      </w:r>
    </w:p>
    <w:p>
      <w:pPr>
        <w:pStyle w:val="ListParagraph"/>
        <w:numPr>
          <w:ilvl w:val="0"/>
          <w:numId w:val="1"/>
        </w:numPr>
        <w:spacing w:before="40" w:after="60"/>
        <w:ind w:left="360"/>
      </w:pPr>
      <w:r>
        <w:rPr>
          <w:rFonts w:ascii="Helvetica" w:hAnsi="Helvetica"/>
          <w:b/>
          <w:sz w:val="22"/>
          <w:color w:val="1E293B"/>
        </w:rPr>
        <w:t xml:space="preserve">Anti-Pattern: No Public Marketplace: </w:t>
      </w:r>
      <w:r>
        <w:rPr>
          <w:rFonts w:ascii="Helvetica" w:hAnsi="Helvetica"/>
          <w:sz w:val="22"/>
          <w:color w:val="334155"/>
        </w:rPr>
        <w:t xml:space="preserve">KiaviIQ explicitly rejects the public aggregator model (like Amazon or IndiaMART). It is an exclusive, closed-loop private platform designed for proprietary enterprise knowledge and authorized partner distribution.</w:t>
      </w:r>
    </w:p>
    <w:tbl>
      <w:tblPr>
        <w:tblW w:w="9360" w:type="dxa"/>
        <w:tblBorders>
          <w:top w:val="none"/>
          <w:left w:val="single" w:sz="36" w:space="0" w:color="F59E0B"/>
          <w:bottom w:val="none"/>
          <w:right w:val="none"/>
        </w:tblBorders>
        <w:tblCellMar>
          <w:top w:w="160" w:type="dxa"/>
          <w:left w:w="240" w:type="dxa"/>
          <w:bottom w:w="160" w:type="dxa"/>
          <w:right w:w="240" w:type="dxa"/>
        </w:tblCellMar>
      </w:tblPr>
      <w:tr>
        <w:tc>
          <w:tcPr>
            <w:tcW w:w="9360" w:type="dxa"/>
            <w:shd w:val="clear" w:color="auto" w:fill="FEF3C7"/>
          </w:tcPr>
          <w:p>
            <w:pPr>
              <w:spacing w:before="40" w:after="60"/>
            </w:pPr>
            <w:r>
              <w:rPr>
                <w:rFonts w:ascii="Helvetica" w:hAnsi="Helvetica"/>
                <w:b/>
                <w:sz w:val="22"/>
                <w:color w:val="92400E"/>
              </w:rPr>
              <w:t>TECHNICAL COMPARISON: CURRENT VS TARGET</w:t>
            </w:r>
          </w:p>
          <w:p>
            <w:pPr>
              <w:spacing w:before="40" w:after="40"/>
            </w:pPr>
            <w:r>
              <w:rPr>
                <w:rFonts w:ascii="Helvetica" w:hAnsi="Helvetica"/>
                <w:sz w:val="20"/>
                <w:color w:val="1E293B"/>
              </w:rPr>
              <w:t>Current Codebase: Uses a single Organization model with foreign keys on bot sources. Chunks are stored in a unified document_chunks table without PostgreSQL RLS policies.
Target Architecture: Multi-tenant schema with mandatory tenant_id UUID on every table, PostgreSQL RLS enabled, tenant-scoped vector collections, and dynamic tenant configuration (branding, custom SSO, retention policies).</w:t>
            </w:r>
          </w:p>
        </w:tc>
      </w:tr>
    </w:tbl>
    <w:p>
      <w:pPr>
        <w:spacing w:before="60" w:after="100"/>
      </w:pPr>
    </w:p>
    <w:p>
      <w:pPr>
        <w:pStyle w:val="Heading1"/>
        <w:spacing w:before="400" w:after="120"/>
      </w:pPr>
      <w:r>
        <w:rPr>
          <w:rFonts w:ascii="Helvetica" w:hAnsi="Helvetica"/>
          <w:b/>
          <w:sz w:val="36"/>
          <w:color w:val="1E3A8A"/>
        </w:rPr>
        <w:t>3. Pillar 2: The 9 User Personas &amp; Strict RBAC Matrix</w:t>
      </w:r>
    </w:p>
    <w:p>
      <w:pPr>
        <w:spacing w:before="60" w:after="120" w:line="276" w:lineRule="auto"/>
      </w:pPr>
      <w:r>
        <w:rPr>
          <w:rFonts w:ascii="Helvetica" w:hAnsi="Helvetica"/>
          <w:sz w:val="22"/>
          <w:color w:val="334155"/>
        </w:rPr>
        <w:t xml:space="preserve">In industrial B2B manufacturing, access control cannot be binary (User vs Admin). Proprietary CAD files must not leak to external dealers; unreleased medical manuals must not reach hospital procurement teams; and external auditors require immutable read-only inspection capabilities. The platform establishes 9 distinct personas:</w:t>
      </w:r>
    </w:p>
    <w:p>
      <w:pPr>
        <w:pStyle w:val="ListParagraph"/>
        <w:numPr>
          <w:ilvl w:val="0"/>
          <w:numId w:val="1"/>
        </w:numPr>
        <w:spacing w:before="40" w:after="60"/>
        <w:ind w:left="360"/>
      </w:pPr>
      <w:r>
        <w:rPr>
          <w:rFonts w:ascii="Helvetica" w:hAnsi="Helvetica"/>
          <w:b/>
          <w:sz w:val="22"/>
          <w:color w:val="1E293B"/>
        </w:rPr>
        <w:t xml:space="preserve">1. Platform Administrator (Super Admin / SaaS Owner): </w:t>
      </w:r>
      <w:r>
        <w:rPr>
          <w:rFonts w:ascii="Helvetica" w:hAnsi="Helvetica"/>
          <w:sz w:val="22"/>
          <w:color w:val="334155"/>
        </w:rPr>
        <w:t xml:space="preserve">DevOps and SaaS operations leads managing platform uptime, multi-tenant provisioning, global infrastructure, billing tiers, and security policies.</w:t>
      </w:r>
    </w:p>
    <w:p>
      <w:pPr>
        <w:pStyle w:val="ListParagraph"/>
        <w:numPr>
          <w:ilvl w:val="0"/>
          <w:numId w:val="1"/>
        </w:numPr>
        <w:spacing w:before="40" w:after="60"/>
        <w:ind w:left="360"/>
      </w:pPr>
      <w:r>
        <w:rPr>
          <w:rFonts w:ascii="Helvetica" w:hAnsi="Helvetica"/>
          <w:b/>
          <w:sz w:val="22"/>
          <w:color w:val="1E293B"/>
        </w:rPr>
        <w:t xml:space="preserve">2. Knowledge Administrator (Content Controller): </w:t>
      </w:r>
      <w:r>
        <w:rPr>
          <w:rFonts w:ascii="Helvetica" w:hAnsi="Helvetica"/>
          <w:sz w:val="22"/>
          <w:color w:val="334155"/>
        </w:rPr>
        <w:t xml:space="preserve">Corporate documentation managers who structure taxonomy, categories (e.g., 'Hydraulic Valves', 'CE Certificates 2026'), manage document lifecycles, and archive stale content.</w:t>
      </w:r>
    </w:p>
    <w:p>
      <w:pPr>
        <w:pStyle w:val="ListParagraph"/>
        <w:numPr>
          <w:ilvl w:val="0"/>
          <w:numId w:val="1"/>
        </w:numPr>
        <w:spacing w:before="40" w:after="60"/>
        <w:ind w:left="360"/>
      </w:pPr>
      <w:r>
        <w:rPr>
          <w:rFonts w:ascii="Helvetica" w:hAnsi="Helvetica"/>
          <w:b/>
          <w:sz w:val="22"/>
          <w:color w:val="1E293B"/>
        </w:rPr>
        <w:t xml:space="preserve">3. Subject Matter Expert (SME) / Approver (The Gatekeeper): </w:t>
      </w:r>
      <w:r>
        <w:rPr>
          <w:rFonts w:ascii="Helvetica" w:hAnsi="Helvetica"/>
          <w:sz w:val="22"/>
          <w:color w:val="334155"/>
        </w:rPr>
        <w:t xml:space="preserve">Lead regulatory officers and senior engineers who review and formally 'APPROVE' documents. The AI Assistant is hard-gated to answer exclusively from SME-approved content.</w:t>
      </w:r>
    </w:p>
    <w:p>
      <w:pPr>
        <w:pStyle w:val="ListParagraph"/>
        <w:numPr>
          <w:ilvl w:val="0"/>
          <w:numId w:val="1"/>
        </w:numPr>
        <w:spacing w:before="40" w:after="60"/>
        <w:ind w:left="360"/>
      </w:pPr>
      <w:r>
        <w:rPr>
          <w:rFonts w:ascii="Helvetica" w:hAnsi="Helvetica"/>
          <w:b/>
          <w:sz w:val="22"/>
          <w:color w:val="1E293B"/>
        </w:rPr>
        <w:t xml:space="preserve">4. Trainer / Learning Administrator (LMS Manager): </w:t>
      </w:r>
      <w:r>
        <w:rPr>
          <w:rFonts w:ascii="Helvetica" w:hAnsi="Helvetica"/>
          <w:sz w:val="22"/>
          <w:color w:val="334155"/>
        </w:rPr>
        <w:t xml:space="preserve">Corporate L&amp;D and training leads who create structured courses, configure video/document lessons, set quiz passing thresholds, and monitor partner certification rates.</w:t>
      </w:r>
    </w:p>
    <w:p>
      <w:pPr>
        <w:pStyle w:val="ListParagraph"/>
        <w:numPr>
          <w:ilvl w:val="0"/>
          <w:numId w:val="1"/>
        </w:numPr>
        <w:spacing w:before="40" w:after="60"/>
        <w:ind w:left="360"/>
      </w:pPr>
      <w:r>
        <w:rPr>
          <w:rFonts w:ascii="Helvetica" w:hAnsi="Helvetica"/>
          <w:b/>
          <w:sz w:val="22"/>
          <w:color w:val="1E293B"/>
        </w:rPr>
        <w:t xml:space="preserve">5. Internal Employee (Daily Consumer - Sales, Support, R&amp;D): </w:t>
      </w:r>
      <w:r>
        <w:rPr>
          <w:rFonts w:ascii="Helvetica" w:hAnsi="Helvetica"/>
          <w:sz w:val="22"/>
          <w:color w:val="334155"/>
        </w:rPr>
        <w:t xml:space="preserve">Internal staff who query the AI Assistant for instant spec verification during client meetings, field diagnostics, and complete mandatory corporate training.</w:t>
      </w:r>
    </w:p>
    <w:p>
      <w:pPr>
        <w:pStyle w:val="ListParagraph"/>
        <w:numPr>
          <w:ilvl w:val="0"/>
          <w:numId w:val="1"/>
        </w:numPr>
        <w:spacing w:before="40" w:after="60"/>
        <w:ind w:left="360"/>
      </w:pPr>
      <w:r>
        <w:rPr>
          <w:rFonts w:ascii="Helvetica" w:hAnsi="Helvetica"/>
          <w:b/>
          <w:sz w:val="22"/>
          <w:color w:val="1E293B"/>
        </w:rPr>
        <w:t xml:space="preserve">6. Distributor / Dealer / Partner (External Tier-1 Partner): </w:t>
      </w:r>
      <w:r>
        <w:rPr>
          <w:rFonts w:ascii="Helvetica" w:hAnsi="Helvetica"/>
          <w:sz w:val="22"/>
          <w:color w:val="334155"/>
        </w:rPr>
        <w:t xml:space="preserve">Authorized repair shops, certified hardware distributors, and hospital equipment dealers. Restricted to partner-tier pricing, sales kits, and technical installation manuals.</w:t>
      </w:r>
    </w:p>
    <w:p>
      <w:pPr>
        <w:pStyle w:val="ListParagraph"/>
        <w:numPr>
          <w:ilvl w:val="0"/>
          <w:numId w:val="1"/>
        </w:numPr>
        <w:spacing w:before="40" w:after="60"/>
        <w:ind w:left="360"/>
      </w:pPr>
      <w:r>
        <w:rPr>
          <w:rFonts w:ascii="Helvetica" w:hAnsi="Helvetica"/>
          <w:b/>
          <w:sz w:val="22"/>
          <w:color w:val="1E293B"/>
        </w:rPr>
        <w:t xml:space="preserve">7. B2B Customer (End Business Client): </w:t>
      </w:r>
      <w:r>
        <w:rPr>
          <w:rFonts w:ascii="Helvetica" w:hAnsi="Helvetica"/>
          <w:sz w:val="22"/>
          <w:color w:val="334155"/>
        </w:rPr>
        <w:t xml:space="preserve">Hospital procurement teams, architectural contractors, and fleet operators who access public/approved safety datasheets, maintenance guides, and product-specific training.</w:t>
      </w:r>
    </w:p>
    <w:p>
      <w:pPr>
        <w:pStyle w:val="ListParagraph"/>
        <w:numPr>
          <w:ilvl w:val="0"/>
          <w:numId w:val="1"/>
        </w:numPr>
        <w:spacing w:before="40" w:after="60"/>
        <w:ind w:left="360"/>
      </w:pPr>
      <w:r>
        <w:rPr>
          <w:rFonts w:ascii="Helvetica" w:hAnsi="Helvetica"/>
          <w:b/>
          <w:sz w:val="22"/>
          <w:color w:val="1E293B"/>
        </w:rPr>
        <w:t xml:space="preserve">8. Auditor / Compliance Reviewer (The Inspector): </w:t>
      </w:r>
      <w:r>
        <w:rPr>
          <w:rFonts w:ascii="Helvetica" w:hAnsi="Helvetica"/>
          <w:sz w:val="22"/>
          <w:color w:val="334155"/>
        </w:rPr>
        <w:t xml:space="preserve">Internal and external regulatory auditors (ISO 9001, IATF 16949, EU MDR). Granted strict read-only access to immutable document history, approval logs, and employee training records.</w:t>
      </w:r>
    </w:p>
    <w:p>
      <w:pPr>
        <w:pStyle w:val="ListParagraph"/>
        <w:numPr>
          <w:ilvl w:val="0"/>
          <w:numId w:val="1"/>
        </w:numPr>
        <w:spacing w:before="40" w:after="60"/>
        <w:ind w:left="360"/>
      </w:pPr>
      <w:r>
        <w:rPr>
          <w:rFonts w:ascii="Helvetica" w:hAnsi="Helvetica"/>
          <w:b/>
          <w:sz w:val="22"/>
          <w:color w:val="1E293B"/>
        </w:rPr>
        <w:t xml:space="preserve">9. Customer / Partner Administrator (Sub-Tenant Org Admin): </w:t>
      </w:r>
      <w:r>
        <w:rPr>
          <w:rFonts w:ascii="Helvetica" w:hAnsi="Helvetica"/>
          <w:sz w:val="22"/>
          <w:color w:val="334155"/>
        </w:rPr>
        <w:t xml:space="preserve">Local administrators at authorized dealerships or hospital systems who manage local technician rosters and monitor internal certification compliance rates.</w:t>
      </w:r>
    </w:p>
    <w:p>
      <w:pPr>
        <w:pStyle w:val="Heading2"/>
        <w:spacing w:before="300" w:after="120"/>
      </w:pPr>
      <w:r>
        <w:rPr>
          <w:rFonts w:ascii="Helvetica" w:hAnsi="Helvetica"/>
          <w:b/>
          <w:sz w:val="30"/>
          <w:color w:val="2563EB"/>
        </w:rPr>
        <w:t>Comprehensive RBAC Capability Matrix</w:t>
      </w:r>
    </w:p>
    <w:tbl>
      <w:tblPr>
        <w:tblW w:w="936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60" w:type="dxa"/>
          <w:bottom w:w="120" w:type="dxa"/>
          <w:right w:w="160" w:type="dxa"/>
        </w:tblCellMar>
      </w:tblPr>
      <w:tr>
        <w:trPr>
          <w:tblHeader/>
          <w:cantSplit/>
        </w:trPr>
        <w:tc>
          <w:tcPr>
            <w:tcW w:w="2160" w:type="dxa"/>
            <w:shd w:val="clear" w:color="auto" w:fill="1E3A8A"/>
          </w:tcPr>
          <w:p>
            <w:pPr>
              <w:spacing w:before="120" w:after="120"/>
              <w:jc w:val="left"/>
            </w:pPr>
            <w:r>
              <w:rPr>
                <w:rFonts w:ascii="Helvetica" w:hAnsi="Helvetica"/>
                <w:b/>
                <w:sz w:val="20"/>
                <w:color w:val="FFFFFF"/>
              </w:rPr>
              <w:t>Platform Capability</w:t>
            </w:r>
          </w:p>
        </w:tc>
        <w:tc>
          <w:tcPr>
            <w:tcW w:w="800" w:type="dxa"/>
            <w:shd w:val="clear" w:color="auto" w:fill="1E3A8A"/>
          </w:tcPr>
          <w:p>
            <w:pPr>
              <w:spacing w:before="120" w:after="120"/>
              <w:jc w:val="left"/>
            </w:pPr>
            <w:r>
              <w:rPr>
                <w:rFonts w:ascii="Helvetica" w:hAnsi="Helvetica"/>
                <w:b/>
                <w:sz w:val="20"/>
                <w:color w:val="FFFFFF"/>
              </w:rPr>
              <w:t>Platform Admin</w:t>
            </w:r>
          </w:p>
        </w:tc>
        <w:tc>
          <w:tcPr>
            <w:tcW w:w="800" w:type="dxa"/>
            <w:shd w:val="clear" w:color="auto" w:fill="1E3A8A"/>
          </w:tcPr>
          <w:p>
            <w:pPr>
              <w:spacing w:before="120" w:after="120"/>
              <w:jc w:val="left"/>
            </w:pPr>
            <w:r>
              <w:rPr>
                <w:rFonts w:ascii="Helvetica" w:hAnsi="Helvetica"/>
                <w:b/>
                <w:sz w:val="20"/>
                <w:color w:val="FFFFFF"/>
              </w:rPr>
              <w:t>Org Admin</w:t>
            </w:r>
          </w:p>
        </w:tc>
        <w:tc>
          <w:tcPr>
            <w:tcW w:w="800" w:type="dxa"/>
            <w:shd w:val="clear" w:color="auto" w:fill="1E3A8A"/>
          </w:tcPr>
          <w:p>
            <w:pPr>
              <w:spacing w:before="120" w:after="120"/>
              <w:jc w:val="left"/>
            </w:pPr>
            <w:r>
              <w:rPr>
                <w:rFonts w:ascii="Helvetica" w:hAnsi="Helvetica"/>
                <w:b/>
                <w:sz w:val="20"/>
                <w:color w:val="FFFFFF"/>
              </w:rPr>
              <w:t>Knowledge Admin</w:t>
            </w:r>
          </w:p>
        </w:tc>
        <w:tc>
          <w:tcPr>
            <w:tcW w:w="800" w:type="dxa"/>
            <w:shd w:val="clear" w:color="auto" w:fill="1E3A8A"/>
          </w:tcPr>
          <w:p>
            <w:pPr>
              <w:spacing w:before="120" w:after="120"/>
              <w:jc w:val="left"/>
            </w:pPr>
            <w:r>
              <w:rPr>
                <w:rFonts w:ascii="Helvetica" w:hAnsi="Helvetica"/>
                <w:b/>
                <w:sz w:val="20"/>
                <w:color w:val="FFFFFF"/>
              </w:rPr>
              <w:t>SME / Approver</w:t>
            </w:r>
          </w:p>
        </w:tc>
        <w:tc>
          <w:tcPr>
            <w:tcW w:w="800" w:type="dxa"/>
            <w:shd w:val="clear" w:color="auto" w:fill="1E3A8A"/>
          </w:tcPr>
          <w:p>
            <w:pPr>
              <w:spacing w:before="120" w:after="120"/>
              <w:jc w:val="left"/>
            </w:pPr>
            <w:r>
              <w:rPr>
                <w:rFonts w:ascii="Helvetica" w:hAnsi="Helvetica"/>
                <w:b/>
                <w:sz w:val="20"/>
                <w:color w:val="FFFFFF"/>
              </w:rPr>
              <w:t>Trainer</w:t>
            </w:r>
          </w:p>
        </w:tc>
        <w:tc>
          <w:tcPr>
            <w:tcW w:w="800" w:type="dxa"/>
            <w:shd w:val="clear" w:color="auto" w:fill="1E3A8A"/>
          </w:tcPr>
          <w:p>
            <w:pPr>
              <w:spacing w:before="120" w:after="120"/>
              <w:jc w:val="left"/>
            </w:pPr>
            <w:r>
              <w:rPr>
                <w:rFonts w:ascii="Helvetica" w:hAnsi="Helvetica"/>
                <w:b/>
                <w:sz w:val="20"/>
                <w:color w:val="FFFFFF"/>
              </w:rPr>
              <w:t>Employee</w:t>
            </w:r>
          </w:p>
        </w:tc>
        <w:tc>
          <w:tcPr>
            <w:tcW w:w="800" w:type="dxa"/>
            <w:shd w:val="clear" w:color="auto" w:fill="1E3A8A"/>
          </w:tcPr>
          <w:p>
            <w:pPr>
              <w:spacing w:before="120" w:after="120"/>
              <w:jc w:val="left"/>
            </w:pPr>
            <w:r>
              <w:rPr>
                <w:rFonts w:ascii="Helvetica" w:hAnsi="Helvetica"/>
                <w:b/>
                <w:sz w:val="20"/>
                <w:color w:val="FFFFFF"/>
              </w:rPr>
              <w:t>Dealer / Partner</w:t>
            </w:r>
          </w:p>
        </w:tc>
        <w:tc>
          <w:tcPr>
            <w:tcW w:w="800" w:type="dxa"/>
            <w:shd w:val="clear" w:color="auto" w:fill="1E3A8A"/>
          </w:tcPr>
          <w:p>
            <w:pPr>
              <w:spacing w:before="120" w:after="120"/>
              <w:jc w:val="left"/>
            </w:pPr>
            <w:r>
              <w:rPr>
                <w:rFonts w:ascii="Helvetica" w:hAnsi="Helvetica"/>
                <w:b/>
                <w:sz w:val="20"/>
                <w:color w:val="FFFFFF"/>
              </w:rPr>
              <w:t>Customer</w:t>
            </w:r>
          </w:p>
        </w:tc>
        <w:tc>
          <w:tcPr>
            <w:tcW w:w="760" w:type="dxa"/>
            <w:shd w:val="clear" w:color="auto" w:fill="1E3A8A"/>
          </w:tcPr>
          <w:p>
            <w:pPr>
              <w:spacing w:before="120" w:after="120"/>
              <w:jc w:val="left"/>
            </w:pPr>
            <w:r>
              <w:rPr>
                <w:rFonts w:ascii="Helvetica" w:hAnsi="Helvetica"/>
                <w:b/>
                <w:sz w:val="20"/>
                <w:color w:val="FFFFFF"/>
              </w:rPr>
              <w:t>Auditor</w:t>
            </w:r>
          </w:p>
        </w:tc>
      </w:tr>
      <w:tr>
        <w:trPr>
          <w:cantSplit/>
        </w:trPr>
        <w:tc>
          <w:tcPr>
            <w:tcW w:w="2160" w:type="dxa"/>
            <w:shd w:val="clear" w:color="auto" w:fill="FFFFFF"/>
          </w:tcPr>
          <w:p>
            <w:pPr>
              <w:spacing w:before="80" w:after="80"/>
              <w:jc w:val="left"/>
            </w:pPr>
            <w:r>
              <w:rPr>
                <w:rFonts w:ascii="Helvetica" w:hAnsi="Helvetica"/>
                <w:sz w:val="19"/>
                <w:color w:val="1E293B"/>
              </w:rPr>
              <w:t xml:space="preserve">Manage System Infrastructure</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760" w:type="dxa"/>
            <w:shd w:val="clear" w:color="auto" w:fill="FFFFFF"/>
          </w:tcPr>
          <w:p>
            <w:pPr>
              <w:spacing w:before="80" w:after="80"/>
              <w:jc w:val="left"/>
            </w:pPr>
            <w:r>
              <w:rPr>
                <w:rFonts w:ascii="Helvetica" w:hAnsi="Helvetica"/>
                <w:sz w:val="19"/>
                <w:color w:val="1E293B"/>
              </w:rPr>
              <w:t xml:space="preserve">NO</w:t>
            </w:r>
          </w:p>
        </w:tc>
      </w:tr>
      <w:tr>
        <w:trPr>
          <w:cantSplit/>
        </w:trPr>
        <w:tc>
          <w:tcPr>
            <w:tcW w:w="2160" w:type="dxa"/>
            <w:shd w:val="clear" w:color="auto" w:fill="F8FAFC"/>
          </w:tcPr>
          <w:p>
            <w:pPr>
              <w:spacing w:before="80" w:after="80"/>
              <w:jc w:val="left"/>
            </w:pPr>
            <w:r>
              <w:rPr>
                <w:rFonts w:ascii="Helvetica" w:hAnsi="Helvetica"/>
                <w:sz w:val="19"/>
                <w:color w:val="1E293B"/>
              </w:rPr>
              <w:t xml:space="preserve">Manage Tenant Users &amp; Roles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760" w:type="dxa"/>
            <w:shd w:val="clear" w:color="auto" w:fill="F8FAFC"/>
          </w:tcPr>
          <w:p>
            <w:pPr>
              <w:spacing w:before="80" w:after="80"/>
              <w:jc w:val="left"/>
            </w:pPr>
            <w:r>
              <w:rPr>
                <w:rFonts w:ascii="Helvetica" w:hAnsi="Helvetica"/>
                <w:sz w:val="19"/>
                <w:color w:val="1E293B"/>
              </w:rPr>
              <w:t xml:space="preserve">NO</w:t>
            </w:r>
          </w:p>
        </w:tc>
      </w:tr>
      <w:tr>
        <w:trPr>
          <w:cantSplit/>
        </w:trPr>
        <w:tc>
          <w:tcPr>
            <w:tcW w:w="2160" w:type="dxa"/>
            <w:shd w:val="clear" w:color="auto" w:fill="FFFFFF"/>
          </w:tcPr>
          <w:p>
            <w:pPr>
              <w:spacing w:before="80" w:after="80"/>
              <w:jc w:val="left"/>
            </w:pPr>
            <w:r>
              <w:rPr>
                <w:rFonts w:ascii="Helvetica" w:hAnsi="Helvetica"/>
                <w:sz w:val="19"/>
                <w:color w:val="1E293B"/>
              </w:rPr>
              <w:t xml:space="preserve">Upload &amp; Categorize Documents</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760" w:type="dxa"/>
            <w:shd w:val="clear" w:color="auto" w:fill="FFFFFF"/>
          </w:tcPr>
          <w:p>
            <w:pPr>
              <w:spacing w:before="80" w:after="80"/>
              <w:jc w:val="left"/>
            </w:pPr>
            <w:r>
              <w:rPr>
                <w:rFonts w:ascii="Helvetica" w:hAnsi="Helvetica"/>
                <w:sz w:val="19"/>
                <w:color w:val="1E293B"/>
              </w:rPr>
              <w:t xml:space="preserve">NO</w:t>
            </w:r>
          </w:p>
        </w:tc>
      </w:tr>
      <w:tr>
        <w:trPr>
          <w:cantSplit/>
        </w:trPr>
        <w:tc>
          <w:tcPr>
            <w:tcW w:w="2160" w:type="dxa"/>
            <w:shd w:val="clear" w:color="auto" w:fill="F8FAFC"/>
          </w:tcPr>
          <w:p>
            <w:pPr>
              <w:spacing w:before="80" w:after="80"/>
              <w:jc w:val="left"/>
            </w:pPr>
            <w:r>
              <w:rPr>
                <w:rFonts w:ascii="Helvetica" w:hAnsi="Helvetica"/>
                <w:sz w:val="19"/>
                <w:color w:val="1E293B"/>
              </w:rPr>
              <w:t xml:space="preserve">Review &amp; Formally Approve Docs</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760" w:type="dxa"/>
            <w:shd w:val="clear" w:color="auto" w:fill="F8FAFC"/>
          </w:tcPr>
          <w:p>
            <w:pPr>
              <w:spacing w:before="80" w:after="80"/>
              <w:jc w:val="left"/>
            </w:pPr>
            <w:r>
              <w:rPr>
                <w:rFonts w:ascii="Helvetica" w:hAnsi="Helvetica"/>
                <w:sz w:val="19"/>
                <w:color w:val="1E293B"/>
              </w:rPr>
              <w:t xml:space="preserve">NO</w:t>
            </w:r>
          </w:p>
        </w:tc>
      </w:tr>
      <w:tr>
        <w:trPr>
          <w:cantSplit/>
        </w:trPr>
        <w:tc>
          <w:tcPr>
            <w:tcW w:w="2160" w:type="dxa"/>
            <w:shd w:val="clear" w:color="auto" w:fill="FFFFFF"/>
          </w:tcPr>
          <w:p>
            <w:pPr>
              <w:spacing w:before="80" w:after="80"/>
              <w:jc w:val="left"/>
            </w:pPr>
            <w:r>
              <w:rPr>
                <w:rFonts w:ascii="Helvetica" w:hAnsi="Helvetica"/>
                <w:sz w:val="19"/>
                <w:color w:val="1E293B"/>
              </w:rPr>
              <w:t xml:space="preserve">Create Courses &amp; Set Quizzes</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760" w:type="dxa"/>
            <w:shd w:val="clear" w:color="auto" w:fill="FFFFFF"/>
          </w:tcPr>
          <w:p>
            <w:pPr>
              <w:spacing w:before="80" w:after="80"/>
              <w:jc w:val="left"/>
            </w:pPr>
            <w:r>
              <w:rPr>
                <w:rFonts w:ascii="Helvetica" w:hAnsi="Helvetica"/>
                <w:sz w:val="19"/>
                <w:color w:val="1E293B"/>
              </w:rPr>
              <w:t xml:space="preserve">NO</w:t>
            </w:r>
          </w:p>
        </w:tc>
      </w:tr>
      <w:tr>
        <w:trPr>
          <w:cantSplit/>
        </w:trPr>
        <w:tc>
          <w:tcPr>
            <w:tcW w:w="2160" w:type="dxa"/>
            <w:shd w:val="clear" w:color="auto" w:fill="F8FAFC"/>
          </w:tcPr>
          <w:p>
            <w:pPr>
              <w:spacing w:before="80" w:after="80"/>
              <w:jc w:val="left"/>
            </w:pPr>
            <w:r>
              <w:rPr>
                <w:rFonts w:ascii="Helvetica" w:hAnsi="Helvetica"/>
                <w:sz w:val="19"/>
                <w:color w:val="1E293B"/>
              </w:rPr>
              <w:t xml:space="preserve">Query AI Assistant (Internal Docs)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760" w:type="dxa"/>
            <w:shd w:val="clear" w:color="auto" w:fill="F8FAFC"/>
          </w:tcPr>
          <w:p>
            <w:pPr>
              <w:spacing w:before="80" w:after="80"/>
              <w:jc w:val="left"/>
            </w:pPr>
            <w:r>
              <w:rPr>
                <w:rFonts w:ascii="Helvetica" w:hAnsi="Helvetica"/>
                <w:sz w:val="19"/>
                <w:color w:val="1E293B"/>
              </w:rPr>
              <w:t xml:space="preserve">NO</w:t>
            </w:r>
          </w:p>
        </w:tc>
      </w:tr>
      <w:tr>
        <w:trPr>
          <w:cantSplit/>
        </w:trPr>
        <w:tc>
          <w:tcPr>
            <w:tcW w:w="2160" w:type="dxa"/>
            <w:shd w:val="clear" w:color="auto" w:fill="FFFFFF"/>
          </w:tcPr>
          <w:p>
            <w:pPr>
              <w:spacing w:before="80" w:after="80"/>
              <w:jc w:val="left"/>
            </w:pPr>
            <w:r>
              <w:rPr>
                <w:rFonts w:ascii="Helvetica" w:hAnsi="Helvetica"/>
                <w:sz w:val="19"/>
                <w:color w:val="1E293B"/>
              </w:rPr>
              <w:t xml:space="preserve">Query AI Assistant (Partner Docs)</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NO</w:t>
            </w:r>
          </w:p>
        </w:tc>
        <w:tc>
          <w:tcPr>
            <w:tcW w:w="760" w:type="dxa"/>
            <w:shd w:val="clear" w:color="auto" w:fill="FFFFFF"/>
          </w:tcPr>
          <w:p>
            <w:pPr>
              <w:spacing w:before="80" w:after="80"/>
              <w:jc w:val="left"/>
            </w:pPr>
            <w:r>
              <w:rPr>
                <w:rFonts w:ascii="Helvetica" w:hAnsi="Helvetica"/>
                <w:sz w:val="19"/>
                <w:color w:val="1E293B"/>
              </w:rPr>
              <w:t xml:space="preserve">NO</w:t>
            </w:r>
          </w:p>
        </w:tc>
      </w:tr>
      <w:tr>
        <w:trPr>
          <w:cantSplit/>
        </w:trPr>
        <w:tc>
          <w:tcPr>
            <w:tcW w:w="2160" w:type="dxa"/>
            <w:shd w:val="clear" w:color="auto" w:fill="F8FAFC"/>
          </w:tcPr>
          <w:p>
            <w:pPr>
              <w:spacing w:before="80" w:after="80"/>
              <w:jc w:val="left"/>
            </w:pPr>
            <w:r>
              <w:rPr>
                <w:rFonts w:ascii="Helvetica" w:hAnsi="Helvetica"/>
                <w:sz w:val="19"/>
                <w:color w:val="1E293B"/>
              </w:rPr>
              <w:t xml:space="preserve">Query AI Assistant (Public Docs)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760" w:type="dxa"/>
            <w:shd w:val="clear" w:color="auto" w:fill="F8FAFC"/>
          </w:tcPr>
          <w:p>
            <w:pPr>
              <w:spacing w:before="80" w:after="80"/>
              <w:jc w:val="left"/>
            </w:pPr>
            <w:r>
              <w:rPr>
                <w:rFonts w:ascii="Helvetica" w:hAnsi="Helvetica"/>
                <w:sz w:val="19"/>
                <w:color w:val="1E293B"/>
              </w:rPr>
              <w:t xml:space="preserve">READ</w:t>
            </w:r>
          </w:p>
        </w:tc>
      </w:tr>
      <w:tr>
        <w:trPr>
          <w:cantSplit/>
        </w:trPr>
        <w:tc>
          <w:tcPr>
            <w:tcW w:w="2160" w:type="dxa"/>
            <w:shd w:val="clear" w:color="auto" w:fill="FFFFFF"/>
          </w:tcPr>
          <w:p>
            <w:pPr>
              <w:spacing w:before="80" w:after="80"/>
              <w:jc w:val="left"/>
            </w:pPr>
            <w:r>
              <w:rPr>
                <w:rFonts w:ascii="Helvetica" w:hAnsi="Helvetica"/>
                <w:sz w:val="19"/>
                <w:color w:val="1E293B"/>
              </w:rPr>
              <w:t xml:space="preserve">Take Training &amp; Earn Certs</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NO</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YES</w:t>
            </w:r>
          </w:p>
        </w:tc>
        <w:tc>
          <w:tcPr>
            <w:tcW w:w="800" w:type="dxa"/>
            <w:shd w:val="clear" w:color="auto" w:fill="FFFFFF"/>
          </w:tcPr>
          <w:p>
            <w:pPr>
              <w:spacing w:before="80" w:after="80"/>
              <w:jc w:val="left"/>
            </w:pPr>
            <w:r>
              <w:rPr>
                <w:rFonts w:ascii="Helvetica" w:hAnsi="Helvetica"/>
                <w:sz w:val="19"/>
                <w:color w:val="1E293B"/>
              </w:rPr>
              <w:t xml:space="preserve">YES</w:t>
            </w:r>
          </w:p>
        </w:tc>
        <w:tc>
          <w:tcPr>
            <w:tcW w:w="760" w:type="dxa"/>
            <w:shd w:val="clear" w:color="auto" w:fill="FFFFFF"/>
          </w:tcPr>
          <w:p>
            <w:pPr>
              <w:spacing w:before="80" w:after="80"/>
              <w:jc w:val="left"/>
            </w:pPr>
            <w:r>
              <w:rPr>
                <w:rFonts w:ascii="Helvetica" w:hAnsi="Helvetica"/>
                <w:sz w:val="19"/>
                <w:color w:val="1E293B"/>
              </w:rPr>
              <w:t xml:space="preserve">NO</w:t>
            </w:r>
          </w:p>
        </w:tc>
      </w:tr>
      <w:tr>
        <w:trPr>
          <w:cantSplit/>
        </w:trPr>
        <w:tc>
          <w:tcPr>
            <w:tcW w:w="2160" w:type="dxa"/>
            <w:shd w:val="clear" w:color="auto" w:fill="F8FAFC"/>
          </w:tcPr>
          <w:p>
            <w:pPr>
              <w:spacing w:before="80" w:after="80"/>
              <w:jc w:val="left"/>
            </w:pPr>
            <w:r>
              <w:rPr>
                <w:rFonts w:ascii="Helvetica" w:hAnsi="Helvetica"/>
                <w:sz w:val="19"/>
                <w:color w:val="1E293B"/>
              </w:rPr>
              <w:t xml:space="preserve">View Immutable Audit Trail</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YES</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800" w:type="dxa"/>
            <w:shd w:val="clear" w:color="auto" w:fill="F8FAFC"/>
          </w:tcPr>
          <w:p>
            <w:pPr>
              <w:spacing w:before="80" w:after="80"/>
              <w:jc w:val="left"/>
            </w:pPr>
            <w:r>
              <w:rPr>
                <w:rFonts w:ascii="Helvetica" w:hAnsi="Helvetica"/>
                <w:sz w:val="19"/>
                <w:color w:val="1E293B"/>
              </w:rPr>
              <w:t xml:space="preserve">NO</w:t>
            </w:r>
          </w:p>
        </w:tc>
        <w:tc>
          <w:tcPr>
            <w:tcW w:w="760" w:type="dxa"/>
            <w:shd w:val="clear" w:color="auto" w:fill="F8FAFC"/>
          </w:tcPr>
          <w:p>
            <w:pPr>
              <w:spacing w:before="80" w:after="80"/>
              <w:jc w:val="left"/>
            </w:pPr>
            <w:r>
              <w:rPr>
                <w:rFonts w:ascii="Helvetica" w:hAnsi="Helvetica"/>
                <w:sz w:val="19"/>
                <w:color w:val="1E293B"/>
              </w:rPr>
              <w:t xml:space="preserve">YES</w:t>
            </w:r>
          </w:p>
        </w:tc>
      </w:tr>
    </w:tbl>
    <w:p>
      <w:pPr>
        <w:spacing w:before="60" w:after="160"/>
      </w:pPr>
    </w:p>
    <w:p>
      <w:r>
        <w:br w:type="page"/>
      </w:r>
    </w:p>
    <w:p>
      <w:pPr>
        <w:pStyle w:val="Heading1"/>
        <w:spacing w:before="400" w:after="120"/>
      </w:pPr>
      <w:r>
        <w:rPr>
          <w:rFonts w:ascii="Helvetica" w:hAnsi="Helvetica"/>
          <w:b/>
          <w:sz w:val="36"/>
          <w:color w:val="1E3A8A"/>
        </w:rPr>
        <w:t>4. Pillar 3: Specialized Modules Deep Dive</w:t>
      </w:r>
    </w:p>
    <w:p>
      <w:pPr>
        <w:spacing w:before="60" w:after="120" w:line="276" w:lineRule="auto"/>
      </w:pPr>
      <w:r>
        <w:rPr>
          <w:rFonts w:ascii="Helvetica" w:hAnsi="Helvetica"/>
          <w:sz w:val="22"/>
          <w:color w:val="334155"/>
        </w:rPr>
        <w:t xml:space="preserve">Generic enterprise search engines treat all documents as flat text. KiaviIQ introduces three specialized domain engines that bridge unstructured documentation, physical product engineering, and corporate training.</w:t>
      </w:r>
    </w:p>
    <w:p>
      <w:pPr>
        <w:pStyle w:val="Heading2"/>
        <w:spacing w:before="300" w:after="120"/>
      </w:pPr>
      <w:r>
        <w:rPr>
          <w:rFonts w:ascii="Helvetica" w:hAnsi="Helvetica"/>
          <w:b/>
          <w:sz w:val="30"/>
          <w:color w:val="2563EB"/>
        </w:rPr>
        <w:t>Module A: Document Lifecycle, Verification &amp; Expiry State Machine</w:t>
      </w:r>
    </w:p>
    <w:p>
      <w:pPr>
        <w:spacing w:before="60" w:after="120" w:line="276" w:lineRule="auto"/>
      </w:pPr>
      <w:r>
        <w:rPr>
          <w:rFonts w:ascii="Helvetica" w:hAnsi="Helvetica"/>
          <w:sz w:val="22"/>
          <w:color w:val="334155"/>
        </w:rPr>
        <w:t xml:space="preserve">To prevent unverified or outdated technical specifications from reaching end users, KiaviIQ implements an automated document lifecycle state machine:</w:t>
      </w:r>
    </w:p>
    <w:p>
      <w:pPr>
        <w:pStyle w:val="ListParagraph"/>
        <w:numPr>
          <w:ilvl w:val="0"/>
          <w:numId w:val="1"/>
        </w:numPr>
        <w:spacing w:before="40" w:after="60"/>
        <w:ind w:left="360"/>
      </w:pPr>
      <w:r>
        <w:rPr>
          <w:rFonts w:ascii="Helvetica" w:hAnsi="Helvetica"/>
          <w:b/>
          <w:sz w:val="22"/>
          <w:color w:val="1E293B"/>
        </w:rPr>
        <w:t xml:space="preserve">Draft State: </w:t>
      </w:r>
      <w:r>
        <w:rPr>
          <w:rFonts w:ascii="Helvetica" w:hAnsi="Helvetica"/>
          <w:sz w:val="22"/>
          <w:color w:val="334155"/>
        </w:rPr>
        <w:t xml:space="preserve">Document uploaded by technical writer or engineer. Visible only to author and Knowledge Admin. Not indexed in vector database.</w:t>
      </w:r>
    </w:p>
    <w:p>
      <w:pPr>
        <w:pStyle w:val="ListParagraph"/>
        <w:numPr>
          <w:ilvl w:val="0"/>
          <w:numId w:val="1"/>
        </w:numPr>
        <w:spacing w:before="40" w:after="60"/>
        <w:ind w:left="360"/>
      </w:pPr>
      <w:r>
        <w:rPr>
          <w:rFonts w:ascii="Helvetica" w:hAnsi="Helvetica"/>
          <w:b/>
          <w:sz w:val="22"/>
          <w:color w:val="1E293B"/>
        </w:rPr>
        <w:t xml:space="preserve">Under Review State: </w:t>
      </w:r>
      <w:r>
        <w:rPr>
          <w:rFonts w:ascii="Helvetica" w:hAnsi="Helvetica"/>
          <w:sz w:val="22"/>
          <w:color w:val="334155"/>
        </w:rPr>
        <w:t xml:space="preserve">Submitted to assigned SME/Approver. Notifications dispatched. Pending approval queue populated.</w:t>
      </w:r>
    </w:p>
    <w:p>
      <w:pPr>
        <w:pStyle w:val="ListParagraph"/>
        <w:numPr>
          <w:ilvl w:val="0"/>
          <w:numId w:val="1"/>
        </w:numPr>
        <w:spacing w:before="40" w:after="60"/>
        <w:ind w:left="360"/>
      </w:pPr>
      <w:r>
        <w:rPr>
          <w:rFonts w:ascii="Helvetica" w:hAnsi="Helvetica"/>
          <w:b/>
          <w:sz w:val="22"/>
          <w:color w:val="1E293B"/>
        </w:rPr>
        <w:t xml:space="preserve">Approved / Verified State: </w:t>
      </w:r>
      <w:r>
        <w:rPr>
          <w:rFonts w:ascii="Helvetica" w:hAnsi="Helvetica"/>
          <w:sz w:val="22"/>
          <w:color w:val="334155"/>
        </w:rPr>
        <w:t xml:space="preserve">Formally verified by SME. Automatically chunked, embedded, and tagged with status='APPROVED'. AI Assistant actively retrieves from this document.</w:t>
      </w:r>
    </w:p>
    <w:p>
      <w:pPr>
        <w:pStyle w:val="ListParagraph"/>
        <w:numPr>
          <w:ilvl w:val="0"/>
          <w:numId w:val="1"/>
        </w:numPr>
        <w:spacing w:before="40" w:after="60"/>
        <w:ind w:left="360"/>
      </w:pPr>
      <w:r>
        <w:rPr>
          <w:rFonts w:ascii="Helvetica" w:hAnsi="Helvetica"/>
          <w:b/>
          <w:sz w:val="22"/>
          <w:color w:val="1E293B"/>
        </w:rPr>
        <w:t xml:space="preserve">Review Required State: </w:t>
      </w:r>
      <w:r>
        <w:rPr>
          <w:rFonts w:ascii="Helvetica" w:hAnsi="Helvetica"/>
          <w:sz w:val="22"/>
          <w:color w:val="334155"/>
        </w:rPr>
        <w:t xml:space="preserve">Triggered automatically when a document reaches its scheduled review interval (e.g., 180 days) or regulatory standard changes.</w:t>
      </w:r>
    </w:p>
    <w:p>
      <w:pPr>
        <w:pStyle w:val="ListParagraph"/>
        <w:numPr>
          <w:ilvl w:val="0"/>
          <w:numId w:val="1"/>
        </w:numPr>
        <w:spacing w:before="40" w:after="60"/>
        <w:ind w:left="360"/>
      </w:pPr>
      <w:r>
        <w:rPr>
          <w:rFonts w:ascii="Helvetica" w:hAnsi="Helvetica"/>
          <w:b/>
          <w:sz w:val="22"/>
          <w:color w:val="1E293B"/>
        </w:rPr>
        <w:t xml:space="preserve">Archived State: </w:t>
      </w:r>
      <w:r>
        <w:rPr>
          <w:rFonts w:ascii="Helvetica" w:hAnsi="Helvetica"/>
          <w:sz w:val="22"/>
          <w:color w:val="334155"/>
        </w:rPr>
        <w:t xml:space="preserve">Deprecated versions (e.g., v1.0 superseded by v2.0). Chunks removed from active AI retrieval but preserved for audit compliance.</w:t>
      </w:r>
    </w:p>
    <w:p>
      <w:pPr>
        <w:pStyle w:val="ListParagraph"/>
        <w:numPr>
          <w:ilvl w:val="0"/>
          <w:numId w:val="1"/>
        </w:numPr>
        <w:spacing w:before="40" w:after="60"/>
        <w:ind w:left="360"/>
      </w:pPr>
      <w:r>
        <w:rPr>
          <w:rFonts w:ascii="Helvetica" w:hAnsi="Helvetica"/>
          <w:b/>
          <w:sz w:val="22"/>
          <w:color w:val="1E293B"/>
        </w:rPr>
        <w:t xml:space="preserve">Automated Expiration Alerts: </w:t>
      </w:r>
      <w:r>
        <w:rPr>
          <w:rFonts w:ascii="Helvetica" w:hAnsi="Helvetica"/>
          <w:sz w:val="22"/>
          <w:color w:val="334155"/>
        </w:rPr>
        <w:t xml:space="preserve">Tracks validity dates for CE Marks, ISO certificates, and safety certifications. Dispatches automated alerts 60 and 30 days prior to expiry.</w:t>
      </w:r>
    </w:p>
    <w:p>
      <w:pPr>
        <w:pStyle w:val="Heading2"/>
        <w:spacing w:before="300" w:after="120"/>
      </w:pPr>
      <w:r>
        <w:rPr>
          <w:rFonts w:ascii="Helvetica" w:hAnsi="Helvetica"/>
          <w:b/>
          <w:sz w:val="30"/>
          <w:color w:val="2563EB"/>
        </w:rPr>
        <w:t>Module B: Structured Product Catalog &amp; SKU 360°</w:t>
      </w:r>
    </w:p>
    <w:p>
      <w:pPr>
        <w:spacing w:before="60" w:after="120" w:line="276" w:lineRule="auto"/>
      </w:pPr>
      <w:r>
        <w:rPr>
          <w:rFonts w:ascii="Helvetica" w:hAnsi="Helvetica"/>
          <w:sz w:val="22"/>
          <w:color w:val="334155"/>
        </w:rPr>
        <w:t xml:space="preserve">Industrial buyers and engineers do not search by keywords alone; they search by technical tolerances and exact physical parameters. KiaviIQ models products as structured entities with parametric specifications and compatibility relationships.</w:t>
      </w:r>
    </w:p>
    <w:p>
      <w:pPr>
        <w:pStyle w:val="ListParagraph"/>
        <w:numPr>
          <w:ilvl w:val="0"/>
          <w:numId w:val="1"/>
        </w:numPr>
        <w:spacing w:before="40" w:after="60"/>
        <w:ind w:left="360"/>
      </w:pPr>
      <w:r>
        <w:rPr>
          <w:rFonts w:ascii="Helvetica" w:hAnsi="Helvetica"/>
          <w:b/>
          <w:sz w:val="22"/>
          <w:color w:val="1E293B"/>
        </w:rPr>
        <w:t xml:space="preserve">SKU 360° Identity: </w:t>
      </w:r>
      <w:r>
        <w:rPr>
          <w:rFonts w:ascii="Helvetica" w:hAnsi="Helvetica"/>
          <w:sz w:val="22"/>
          <w:color w:val="334155"/>
        </w:rPr>
        <w:t xml:space="preserve">Unified record containing SKU part number, dimensional blueprints, material grade (e.g., SS316, Grade 8.8), electrical ratings, CAD links, and certificates.</w:t>
      </w:r>
    </w:p>
    <w:p>
      <w:pPr>
        <w:pStyle w:val="ListParagraph"/>
        <w:numPr>
          <w:ilvl w:val="0"/>
          <w:numId w:val="1"/>
        </w:numPr>
        <w:spacing w:before="40" w:after="60"/>
        <w:ind w:left="360"/>
      </w:pPr>
      <w:r>
        <w:rPr>
          <w:rFonts w:ascii="Helvetica" w:hAnsi="Helvetica"/>
          <w:b/>
          <w:sz w:val="22"/>
          <w:color w:val="1E293B"/>
        </w:rPr>
        <w:t xml:space="preserve">Parametric Filtering: </w:t>
      </w:r>
      <w:r>
        <w:rPr>
          <w:rFonts w:ascii="Helvetica" w:hAnsi="Helvetica"/>
          <w:sz w:val="22"/>
          <w:color w:val="334155"/>
        </w:rPr>
        <w:t xml:space="preserve">Multi-attribute filtering interface allowing users to filter by dimensional range, operating temperature (-40°C to +120°C), and fire safety rating.</w:t>
      </w:r>
    </w:p>
    <w:p>
      <w:pPr>
        <w:pStyle w:val="ListParagraph"/>
        <w:numPr>
          <w:ilvl w:val="0"/>
          <w:numId w:val="1"/>
        </w:numPr>
        <w:spacing w:before="40" w:after="60"/>
        <w:ind w:left="360"/>
      </w:pPr>
      <w:r>
        <w:rPr>
          <w:rFonts w:ascii="Helvetica" w:hAnsi="Helvetica"/>
          <w:b/>
          <w:sz w:val="22"/>
          <w:color w:val="1E293B"/>
        </w:rPr>
        <w:t xml:space="preserve">Side-by-Side Spec Comparison Matrix: </w:t>
      </w:r>
      <w:r>
        <w:rPr>
          <w:rFonts w:ascii="Helvetica" w:hAnsi="Helvetica"/>
          <w:sz w:val="22"/>
          <w:color w:val="334155"/>
        </w:rPr>
        <w:t xml:space="preserve">Interactive dynamic matrix (built with TanStack Table) that compares up to 4 SKUs side-by-side across 25+ technical attributes with delta highlighting.</w:t>
      </w:r>
    </w:p>
    <w:p>
      <w:pPr>
        <w:pStyle w:val="ListParagraph"/>
        <w:numPr>
          <w:ilvl w:val="0"/>
          <w:numId w:val="1"/>
        </w:numPr>
        <w:spacing w:before="40" w:after="60"/>
        <w:ind w:left="360"/>
      </w:pPr>
      <w:r>
        <w:rPr>
          <w:rFonts w:ascii="Helvetica" w:hAnsi="Helvetica"/>
          <w:b/>
          <w:sz w:val="22"/>
          <w:color w:val="1E293B"/>
        </w:rPr>
        <w:t xml:space="preserve">Cross-Fitment &amp; Compatibility Graph: </w:t>
      </w:r>
      <w:r>
        <w:rPr>
          <w:rFonts w:ascii="Helvetica" w:hAnsi="Helvetica"/>
          <w:sz w:val="22"/>
          <w:color w:val="334155"/>
        </w:rPr>
        <w:t xml:space="preserve">Relational mapping connecting parts to host systems (e.g., Brake Pad BP-44 -&gt; Honda Civic 2024; Surgical Catheter C-12 -&gt; Steerable Sheath SS-01).</w:t>
      </w:r>
    </w:p>
    <w:p>
      <w:pPr>
        <w:pStyle w:val="Heading2"/>
        <w:spacing w:before="300" w:after="120"/>
      </w:pPr>
      <w:r>
        <w:rPr>
          <w:rFonts w:ascii="Helvetica" w:hAnsi="Helvetica"/>
          <w:b/>
          <w:sz w:val="30"/>
          <w:color w:val="2563EB"/>
        </w:rPr>
        <w:t>Module C: Integrated B2B Corporate LMS (Learning Management System)</w:t>
      </w:r>
    </w:p>
    <w:p>
      <w:pPr>
        <w:spacing w:before="60" w:after="120" w:line="276" w:lineRule="auto"/>
      </w:pPr>
      <w:r>
        <w:rPr>
          <w:rFonts w:ascii="Helvetica" w:hAnsi="Helvetica"/>
          <w:sz w:val="22"/>
          <w:color w:val="334155"/>
        </w:rPr>
        <w:t xml:space="preserve">The platform achieves a critical industry convergence: unifying documentation with workforce education. When an engineering manual updates, the corresponding training curriculum updates simultaneously.</w:t>
      </w:r>
    </w:p>
    <w:p>
      <w:pPr>
        <w:pStyle w:val="ListParagraph"/>
        <w:numPr>
          <w:ilvl w:val="0"/>
          <w:numId w:val="1"/>
        </w:numPr>
        <w:spacing w:before="40" w:after="60"/>
        <w:ind w:left="360"/>
      </w:pPr>
      <w:r>
        <w:rPr>
          <w:rFonts w:ascii="Helvetica" w:hAnsi="Helvetica"/>
          <w:b/>
          <w:sz w:val="22"/>
          <w:color w:val="1E293B"/>
        </w:rPr>
        <w:t xml:space="preserve">AI-Assisted Course Authoring: </w:t>
      </w:r>
      <w:r>
        <w:rPr>
          <w:rFonts w:ascii="Helvetica" w:hAnsi="Helvetica"/>
          <w:sz w:val="22"/>
          <w:color w:val="334155"/>
        </w:rPr>
        <w:t xml:space="preserve">Trainers upload approved technical PDFs. The AI pipeline analyzes the document and automatically drafts a structured course syllabus, chapter outlines, key takeaways, and a randomized quiz question bank for human trainer review.</w:t>
      </w:r>
    </w:p>
    <w:p>
      <w:pPr>
        <w:pStyle w:val="ListParagraph"/>
        <w:numPr>
          <w:ilvl w:val="0"/>
          <w:numId w:val="1"/>
        </w:numPr>
        <w:spacing w:before="40" w:after="60"/>
        <w:ind w:left="360"/>
      </w:pPr>
      <w:r>
        <w:rPr>
          <w:rFonts w:ascii="Helvetica" w:hAnsi="Helvetica"/>
          <w:b/>
          <w:sz w:val="22"/>
          <w:color w:val="1E293B"/>
        </w:rPr>
        <w:t xml:space="preserve">Multimedia Course Player: </w:t>
      </w:r>
      <w:r>
        <w:rPr>
          <w:rFonts w:ascii="Helvetica" w:hAnsi="Helvetica"/>
          <w:sz w:val="22"/>
          <w:color w:val="334155"/>
        </w:rPr>
        <w:t xml:space="preserve">Custom video and document player tracking timestamp progress, resume playback, bookmarking, and preventing fast-forward skipping on mandatory compliance modules.</w:t>
      </w:r>
    </w:p>
    <w:p>
      <w:pPr>
        <w:pStyle w:val="ListParagraph"/>
        <w:numPr>
          <w:ilvl w:val="0"/>
          <w:numId w:val="1"/>
        </w:numPr>
        <w:spacing w:before="40" w:after="60"/>
        <w:ind w:left="360"/>
      </w:pPr>
      <w:r>
        <w:rPr>
          <w:rFonts w:ascii="Helvetica" w:hAnsi="Helvetica"/>
          <w:b/>
          <w:sz w:val="22"/>
          <w:color w:val="1E293B"/>
        </w:rPr>
        <w:t xml:space="preserve">Assessments &amp; QR-Verifiable Certificates: </w:t>
      </w:r>
      <w:r>
        <w:rPr>
          <w:rFonts w:ascii="Helvetica" w:hAnsi="Helvetica"/>
          <w:sz w:val="22"/>
          <w:color w:val="334155"/>
        </w:rPr>
        <w:t xml:space="preserve">Randomized quizzes with configurable passing scores (e.g., 80%). Upon passing, generates an official PDF certificate with an immutable cryptographic QR verification token.</w:t>
      </w:r>
    </w:p>
    <w:p>
      <w:pPr>
        <w:pStyle w:val="ListParagraph"/>
        <w:numPr>
          <w:ilvl w:val="0"/>
          <w:numId w:val="1"/>
        </w:numPr>
        <w:spacing w:before="40" w:after="60"/>
        <w:ind w:left="360"/>
      </w:pPr>
      <w:r>
        <w:rPr>
          <w:rFonts w:ascii="Helvetica" w:hAnsi="Helvetica"/>
          <w:b/>
          <w:sz w:val="22"/>
          <w:color w:val="1E293B"/>
        </w:rPr>
        <w:t xml:space="preserve">In-Course AI Co-Pilot (Tutor): </w:t>
      </w:r>
      <w:r>
        <w:rPr>
          <w:rFonts w:ascii="Helvetica" w:hAnsi="Helvetica"/>
          <w:sz w:val="22"/>
          <w:color w:val="334155"/>
        </w:rPr>
        <w:t xml:space="preserve">Embedded side-panel tutor bot that answers technical questions strictly from the current course transcript and linked engineering datasheets without leaving the player.</w:t>
      </w:r>
    </w:p>
    <w:p>
      <w:r>
        <w:br w:type="page"/>
      </w:r>
    </w:p>
    <w:p>
      <w:pPr>
        <w:pStyle w:val="Heading1"/>
        <w:spacing w:before="400" w:after="120"/>
      </w:pPr>
      <w:r>
        <w:rPr>
          <w:rFonts w:ascii="Helvetica" w:hAnsi="Helvetica"/>
          <w:b/>
          <w:sz w:val="36"/>
          <w:color w:val="1E3A8A"/>
        </w:rPr>
        <w:t>5. Detailed Audit of All 22 Core Platform Features</w:t>
      </w:r>
    </w:p>
    <w:p>
      <w:pPr>
        <w:spacing w:before="60" w:after="120" w:line="276" w:lineRule="auto"/>
      </w:pPr>
      <w:r>
        <w:rPr>
          <w:rFonts w:ascii="Helvetica" w:hAnsi="Helvetica"/>
          <w:sz w:val="22"/>
          <w:color w:val="334155"/>
        </w:rPr>
        <w:t xml:space="preserve">The following audit details the implementation status across all 22 core platform features defined in the enterprise specification, identifying the exact refactoring required and the strategic benefit delivered.</w:t>
      </w:r>
    </w:p>
    <w:tbl>
      <w:tblPr>
        <w:tblW w:w="936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60" w:type="dxa"/>
          <w:bottom w:w="120" w:type="dxa"/>
          <w:right w:w="160" w:type="dxa"/>
        </w:tblCellMar>
      </w:tblPr>
      <w:tr>
        <w:trPr>
          <w:tblHeader/>
          <w:cantSplit/>
        </w:trPr>
        <w:tc>
          <w:tcPr>
            <w:tcW w:w="480" w:type="dxa"/>
            <w:shd w:val="clear" w:color="auto" w:fill="1E3A8A"/>
          </w:tcPr>
          <w:p>
            <w:pPr>
              <w:spacing w:before="120" w:after="120"/>
              <w:jc w:val="left"/>
            </w:pPr>
            <w:r>
              <w:rPr>
                <w:rFonts w:ascii="Helvetica" w:hAnsi="Helvetica"/>
                <w:b/>
                <w:sz w:val="20"/>
                <w:color w:val="FFFFFF"/>
              </w:rPr>
              <w:t>#</w:t>
            </w:r>
          </w:p>
        </w:tc>
        <w:tc>
          <w:tcPr>
            <w:tcW w:w="1880" w:type="dxa"/>
            <w:shd w:val="clear" w:color="auto" w:fill="1E3A8A"/>
          </w:tcPr>
          <w:p>
            <w:pPr>
              <w:spacing w:before="120" w:after="120"/>
              <w:jc w:val="left"/>
            </w:pPr>
            <w:r>
              <w:rPr>
                <w:rFonts w:ascii="Helvetica" w:hAnsi="Helvetica"/>
                <w:b/>
                <w:sz w:val="20"/>
                <w:color w:val="FFFFFF"/>
              </w:rPr>
              <w:t>Core Feature Name</w:t>
            </w:r>
          </w:p>
        </w:tc>
        <w:tc>
          <w:tcPr>
            <w:tcW w:w="1800" w:type="dxa"/>
            <w:shd w:val="clear" w:color="auto" w:fill="1E3A8A"/>
          </w:tcPr>
          <w:p>
            <w:pPr>
              <w:spacing w:before="120" w:after="120"/>
              <w:jc w:val="left"/>
            </w:pPr>
            <w:r>
              <w:rPr>
                <w:rFonts w:ascii="Helvetica" w:hAnsi="Helvetica"/>
                <w:b/>
                <w:sz w:val="20"/>
                <w:color w:val="FFFFFF"/>
              </w:rPr>
              <w:t>Current Codebase Status</w:t>
            </w:r>
          </w:p>
        </w:tc>
        <w:tc>
          <w:tcPr>
            <w:tcW w:w="3200" w:type="dxa"/>
            <w:shd w:val="clear" w:color="auto" w:fill="1E3A8A"/>
          </w:tcPr>
          <w:p>
            <w:pPr>
              <w:spacing w:before="120" w:after="120"/>
              <w:jc w:val="left"/>
            </w:pPr>
            <w:r>
              <w:rPr>
                <w:rFonts w:ascii="Helvetica" w:hAnsi="Helvetica"/>
                <w:b/>
                <w:sz w:val="20"/>
                <w:color w:val="FFFFFF"/>
              </w:rPr>
              <w:t>Required Engineering Refactoring</w:t>
            </w:r>
          </w:p>
        </w:tc>
        <w:tc>
          <w:tcPr>
            <w:tcW w:w="2000" w:type="dxa"/>
            <w:shd w:val="clear" w:color="auto" w:fill="1E3A8A"/>
          </w:tcPr>
          <w:p>
            <w:pPr>
              <w:spacing w:before="120" w:after="120"/>
              <w:jc w:val="left"/>
            </w:pPr>
            <w:r>
              <w:rPr>
                <w:rFonts w:ascii="Helvetica" w:hAnsi="Helvetica"/>
                <w:b/>
                <w:sz w:val="20"/>
                <w:color w:val="FFFFFF"/>
              </w:rPr>
              <w:t>Strategic Benefit &amp; Moat</w:t>
            </w:r>
          </w:p>
        </w:tc>
      </w:tr>
      <w:tr>
        <w:trPr>
          <w:cantSplit/>
        </w:trPr>
        <w:tc>
          <w:tcPr>
            <w:tcW w:w="480" w:type="dxa"/>
            <w:shd w:val="clear" w:color="auto" w:fill="FFFFFF"/>
          </w:tcPr>
          <w:p>
            <w:pPr>
              <w:spacing w:before="80" w:after="80"/>
              <w:jc w:val="left"/>
            </w:pPr>
            <w:r>
              <w:rPr>
                <w:rFonts w:ascii="Helvetica" w:hAnsi="Helvetica"/>
                <w:sz w:val="19"/>
                <w:color w:val="1E293B"/>
              </w:rPr>
              <w:t xml:space="preserve">1</w:t>
            </w:r>
          </w:p>
        </w:tc>
        <w:tc>
          <w:tcPr>
            <w:tcW w:w="1880" w:type="dxa"/>
            <w:shd w:val="clear" w:color="auto" w:fill="FFFFFF"/>
          </w:tcPr>
          <w:p>
            <w:pPr>
              <w:spacing w:before="80" w:after="80"/>
              <w:jc w:val="left"/>
            </w:pPr>
            <w:r>
              <w:rPr>
                <w:rFonts w:ascii="Helvetica" w:hAnsi="Helvetica"/>
                <w:sz w:val="19"/>
                <w:color w:val="1E293B"/>
              </w:rPr>
              <w:t xml:space="preserve">Centralized Product &amp;
Knowledge Management</w:t>
            </w:r>
          </w:p>
        </w:tc>
        <w:tc>
          <w:tcPr>
            <w:tcW w:w="1800" w:type="dxa"/>
            <w:shd w:val="clear" w:color="auto" w:fill="FFFFFF"/>
          </w:tcPr>
          <w:p>
            <w:pPr>
              <w:spacing w:before="80" w:after="80"/>
              <w:jc w:val="left"/>
            </w:pPr>
            <w:r>
              <w:rPr>
                <w:rFonts w:ascii="Helvetica" w:hAnsi="Helvetica"/>
                <w:sz w:val="19"/>
                <w:color w:val="1E293B"/>
              </w:rPr>
              <w:t xml:space="preserve">Partially Implemented
(Basic PDF/Doc upload)</w:t>
            </w:r>
          </w:p>
        </w:tc>
        <w:tc>
          <w:tcPr>
            <w:tcW w:w="3200" w:type="dxa"/>
            <w:shd w:val="clear" w:color="auto" w:fill="FFFFFF"/>
          </w:tcPr>
          <w:p>
            <w:pPr>
              <w:spacing w:before="80" w:after="80"/>
              <w:jc w:val="left"/>
            </w:pPr>
            <w:r>
              <w:rPr>
                <w:rFonts w:ascii="Helvetica" w:hAnsi="Helvetica"/>
                <w:sz w:val="19"/>
                <w:color w:val="1E293B"/>
              </w:rPr>
              <w:t xml:space="preserve">Add hierarchical categories, department tags, metadata schema validation, and S3/R2 storage.</w:t>
            </w:r>
          </w:p>
        </w:tc>
        <w:tc>
          <w:tcPr>
            <w:tcW w:w="2000" w:type="dxa"/>
            <w:shd w:val="clear" w:color="auto" w:fill="FFFFFF"/>
          </w:tcPr>
          <w:p>
            <w:pPr>
              <w:spacing w:before="80" w:after="80"/>
              <w:jc w:val="left"/>
            </w:pPr>
            <w:r>
              <w:rPr>
                <w:rFonts w:ascii="Helvetica" w:hAnsi="Helvetica"/>
                <w:sz w:val="19"/>
                <w:color w:val="1E293B"/>
              </w:rPr>
              <w:t xml:space="preserve">Unified corporate repository eliminating fragmented file storage.</w:t>
            </w:r>
          </w:p>
        </w:tc>
      </w:tr>
      <w:tr>
        <w:trPr>
          <w:cantSplit/>
        </w:trPr>
        <w:tc>
          <w:tcPr>
            <w:tcW w:w="480" w:type="dxa"/>
            <w:shd w:val="clear" w:color="auto" w:fill="F8FAFC"/>
          </w:tcPr>
          <w:p>
            <w:pPr>
              <w:spacing w:before="80" w:after="80"/>
              <w:jc w:val="left"/>
            </w:pPr>
            <w:r>
              <w:rPr>
                <w:rFonts w:ascii="Helvetica" w:hAnsi="Helvetica"/>
                <w:sz w:val="19"/>
                <w:color w:val="1E293B"/>
              </w:rPr>
              <w:t xml:space="preserve">2</w:t>
            </w:r>
          </w:p>
        </w:tc>
        <w:tc>
          <w:tcPr>
            <w:tcW w:w="1880" w:type="dxa"/>
            <w:shd w:val="clear" w:color="auto" w:fill="F8FAFC"/>
          </w:tcPr>
          <w:p>
            <w:pPr>
              <w:spacing w:before="80" w:after="80"/>
              <w:jc w:val="left"/>
            </w:pPr>
            <w:r>
              <w:rPr>
                <w:rFonts w:ascii="Helvetica" w:hAnsi="Helvetica"/>
                <w:sz w:val="19"/>
                <w:color w:val="1E293B"/>
              </w:rPr>
              <w:t xml:space="preserve">Product Catalogue &amp;
Information (SKU 360°)</w:t>
            </w:r>
          </w:p>
        </w:tc>
        <w:tc>
          <w:tcPr>
            <w:tcW w:w="1800" w:type="dxa"/>
            <w:shd w:val="clear" w:color="auto" w:fill="F8FAFC"/>
          </w:tcPr>
          <w:p>
            <w:pPr>
              <w:spacing w:before="80" w:after="80"/>
              <w:jc w:val="left"/>
            </w:pPr>
            <w:r>
              <w:rPr>
                <w:rFonts w:ascii="Helvetica" w:hAnsi="Helvetica"/>
                <w:sz w:val="19"/>
                <w:color w:val="1E293B"/>
              </w:rPr>
              <w:t xml:space="preserve">Missing
(0% structured catalog)</w:t>
            </w:r>
          </w:p>
        </w:tc>
        <w:tc>
          <w:tcPr>
            <w:tcW w:w="3200" w:type="dxa"/>
            <w:shd w:val="clear" w:color="auto" w:fill="F8FAFC"/>
          </w:tcPr>
          <w:p>
            <w:pPr>
              <w:spacing w:before="80" w:after="80"/>
              <w:jc w:val="left"/>
            </w:pPr>
            <w:r>
              <w:rPr>
                <w:rFonts w:ascii="Helvetica" w:hAnsi="Helvetica"/>
                <w:sz w:val="19"/>
                <w:color w:val="1E293B"/>
              </w:rPr>
              <w:t xml:space="preserve">Build products, attributes, and media tables. Add JSONB attribute schemas and SKU management API.</w:t>
            </w:r>
          </w:p>
        </w:tc>
        <w:tc>
          <w:tcPr>
            <w:tcW w:w="2000" w:type="dxa"/>
            <w:shd w:val="clear" w:color="auto" w:fill="F8FAFC"/>
          </w:tcPr>
          <w:p>
            <w:pPr>
              <w:spacing w:before="80" w:after="80"/>
              <w:jc w:val="left"/>
            </w:pPr>
            <w:r>
              <w:rPr>
                <w:rFonts w:ascii="Helvetica" w:hAnsi="Helvetica"/>
                <w:sz w:val="19"/>
                <w:color w:val="1E293B"/>
              </w:rPr>
              <w:t xml:space="preserve">Deep structured physical product modeling unlike generic text search.</w:t>
            </w:r>
          </w:p>
        </w:tc>
      </w:tr>
      <w:tr>
        <w:trPr>
          <w:cantSplit/>
        </w:trPr>
        <w:tc>
          <w:tcPr>
            <w:tcW w:w="480" w:type="dxa"/>
            <w:shd w:val="clear" w:color="auto" w:fill="FFFFFF"/>
          </w:tcPr>
          <w:p>
            <w:pPr>
              <w:spacing w:before="80" w:after="80"/>
              <w:jc w:val="left"/>
            </w:pPr>
            <w:r>
              <w:rPr>
                <w:rFonts w:ascii="Helvetica" w:hAnsi="Helvetica"/>
                <w:sz w:val="19"/>
                <w:color w:val="1E293B"/>
              </w:rPr>
              <w:t xml:space="preserve">3</w:t>
            </w:r>
          </w:p>
        </w:tc>
        <w:tc>
          <w:tcPr>
            <w:tcW w:w="1880" w:type="dxa"/>
            <w:shd w:val="clear" w:color="auto" w:fill="FFFFFF"/>
          </w:tcPr>
          <w:p>
            <w:pPr>
              <w:spacing w:before="80" w:after="80"/>
              <w:jc w:val="left"/>
            </w:pPr>
            <w:r>
              <w:rPr>
                <w:rFonts w:ascii="Helvetica" w:hAnsi="Helvetica"/>
                <w:sz w:val="19"/>
                <w:color w:val="1E293B"/>
              </w:rPr>
              <w:t xml:space="preserve">Product Search, Filtering &amp;
Discovery (Parametric)</w:t>
            </w:r>
          </w:p>
        </w:tc>
        <w:tc>
          <w:tcPr>
            <w:tcW w:w="1800" w:type="dxa"/>
            <w:shd w:val="clear" w:color="auto" w:fill="FFFFFF"/>
          </w:tcPr>
          <w:p>
            <w:pPr>
              <w:spacing w:before="80" w:after="80"/>
              <w:jc w:val="left"/>
            </w:pPr>
            <w:r>
              <w:rPr>
                <w:rFonts w:ascii="Helvetica" w:hAnsi="Helvetica"/>
                <w:sz w:val="19"/>
                <w:color w:val="1E293B"/>
              </w:rPr>
              <w:t xml:space="preserve">Missing
(Only free-text search)</w:t>
            </w:r>
          </w:p>
        </w:tc>
        <w:tc>
          <w:tcPr>
            <w:tcW w:w="3200" w:type="dxa"/>
            <w:shd w:val="clear" w:color="auto" w:fill="FFFFFF"/>
          </w:tcPr>
          <w:p>
            <w:pPr>
              <w:spacing w:before="80" w:after="80"/>
              <w:jc w:val="left"/>
            </w:pPr>
            <w:r>
              <w:rPr>
                <w:rFonts w:ascii="Helvetica" w:hAnsi="Helvetica"/>
                <w:sz w:val="19"/>
                <w:color w:val="1E293B"/>
              </w:rPr>
              <w:t xml:space="preserve">Implement parametric multi-attribute filtering engine with faceted SQL queries.</w:t>
            </w:r>
          </w:p>
        </w:tc>
        <w:tc>
          <w:tcPr>
            <w:tcW w:w="2000" w:type="dxa"/>
            <w:shd w:val="clear" w:color="auto" w:fill="FFFFFF"/>
          </w:tcPr>
          <w:p>
            <w:pPr>
              <w:spacing w:before="80" w:after="80"/>
              <w:jc w:val="left"/>
            </w:pPr>
            <w:r>
              <w:rPr>
                <w:rFonts w:ascii="Helvetica" w:hAnsi="Helvetica"/>
                <w:sz w:val="19"/>
                <w:color w:val="1E293B"/>
              </w:rPr>
              <w:t xml:space="preserve">Allows engineers to find exact physical components in seconds.</w:t>
            </w:r>
          </w:p>
        </w:tc>
      </w:tr>
      <w:tr>
        <w:trPr>
          <w:cantSplit/>
        </w:trPr>
        <w:tc>
          <w:tcPr>
            <w:tcW w:w="480" w:type="dxa"/>
            <w:shd w:val="clear" w:color="auto" w:fill="F8FAFC"/>
          </w:tcPr>
          <w:p>
            <w:pPr>
              <w:spacing w:before="80" w:after="80"/>
              <w:jc w:val="left"/>
            </w:pPr>
            <w:r>
              <w:rPr>
                <w:rFonts w:ascii="Helvetica" w:hAnsi="Helvetica"/>
                <w:sz w:val="19"/>
                <w:color w:val="1E293B"/>
              </w:rPr>
              <w:t xml:space="preserve">4</w:t>
            </w:r>
          </w:p>
        </w:tc>
        <w:tc>
          <w:tcPr>
            <w:tcW w:w="1880" w:type="dxa"/>
            <w:shd w:val="clear" w:color="auto" w:fill="F8FAFC"/>
          </w:tcPr>
          <w:p>
            <w:pPr>
              <w:spacing w:before="80" w:after="80"/>
              <w:jc w:val="left"/>
            </w:pPr>
            <w:r>
              <w:rPr>
                <w:rFonts w:ascii="Helvetica" w:hAnsi="Helvetica"/>
                <w:sz w:val="19"/>
                <w:color w:val="1E293B"/>
              </w:rPr>
              <w:t xml:space="preserve">AI-Powered Search
(Hybrid Vector + BM25)</w:t>
            </w:r>
          </w:p>
        </w:tc>
        <w:tc>
          <w:tcPr>
            <w:tcW w:w="1800" w:type="dxa"/>
            <w:shd w:val="clear" w:color="auto" w:fill="F8FAFC"/>
          </w:tcPr>
          <w:p>
            <w:pPr>
              <w:spacing w:before="80" w:after="80"/>
              <w:jc w:val="left"/>
            </w:pPr>
            <w:r>
              <w:rPr>
                <w:rFonts w:ascii="Helvetica" w:hAnsi="Helvetica"/>
                <w:sz w:val="19"/>
                <w:color w:val="1E293B"/>
              </w:rPr>
              <w:t xml:space="preserve">Partially Implemented
(pgvector + ILIKE)</w:t>
            </w:r>
          </w:p>
        </w:tc>
        <w:tc>
          <w:tcPr>
            <w:tcW w:w="3200" w:type="dxa"/>
            <w:shd w:val="clear" w:color="auto" w:fill="F8FAFC"/>
          </w:tcPr>
          <w:p>
            <w:pPr>
              <w:spacing w:before="80" w:after="80"/>
              <w:jc w:val="left"/>
            </w:pPr>
            <w:r>
              <w:rPr>
                <w:rFonts w:ascii="Helvetica" w:hAnsi="Helvetica"/>
                <w:sz w:val="19"/>
                <w:color w:val="1E293B"/>
              </w:rPr>
              <w:t xml:space="preserve">Upgrade to Reciprocal Rank Fusion (RRF) combining BM25 keyword index and pgvector dense embeddings.</w:t>
            </w:r>
          </w:p>
        </w:tc>
        <w:tc>
          <w:tcPr>
            <w:tcW w:w="2000" w:type="dxa"/>
            <w:shd w:val="clear" w:color="auto" w:fill="F8FAFC"/>
          </w:tcPr>
          <w:p>
            <w:pPr>
              <w:spacing w:before="80" w:after="80"/>
              <w:jc w:val="left"/>
            </w:pPr>
            <w:r>
              <w:rPr>
                <w:rFonts w:ascii="Helvetica" w:hAnsi="Helvetica"/>
                <w:sz w:val="19"/>
                <w:color w:val="1E293B"/>
              </w:rPr>
              <w:t xml:space="preserve">Flawless retrieval on exact industrial part codes and numbers.</w:t>
            </w:r>
          </w:p>
        </w:tc>
      </w:tr>
      <w:tr>
        <w:trPr>
          <w:cantSplit/>
        </w:trPr>
        <w:tc>
          <w:tcPr>
            <w:tcW w:w="480" w:type="dxa"/>
            <w:shd w:val="clear" w:color="auto" w:fill="FFFFFF"/>
          </w:tcPr>
          <w:p>
            <w:pPr>
              <w:spacing w:before="80" w:after="80"/>
              <w:jc w:val="left"/>
            </w:pPr>
            <w:r>
              <w:rPr>
                <w:rFonts w:ascii="Helvetica" w:hAnsi="Helvetica"/>
                <w:sz w:val="19"/>
                <w:color w:val="1E293B"/>
              </w:rPr>
              <w:t xml:space="preserve">5</w:t>
            </w:r>
          </w:p>
        </w:tc>
        <w:tc>
          <w:tcPr>
            <w:tcW w:w="1880" w:type="dxa"/>
            <w:shd w:val="clear" w:color="auto" w:fill="FFFFFF"/>
          </w:tcPr>
          <w:p>
            <w:pPr>
              <w:spacing w:before="80" w:after="80"/>
              <w:jc w:val="left"/>
            </w:pPr>
            <w:r>
              <w:rPr>
                <w:rFonts w:ascii="Helvetica" w:hAnsi="Helvetica"/>
                <w:sz w:val="19"/>
                <w:color w:val="1E293B"/>
              </w:rPr>
              <w:t xml:space="preserve">AI Assistant
(Conversational Q&amp;A)</w:t>
            </w:r>
          </w:p>
        </w:tc>
        <w:tc>
          <w:tcPr>
            <w:tcW w:w="1800" w:type="dxa"/>
            <w:shd w:val="clear" w:color="auto" w:fill="FFFFFF"/>
          </w:tcPr>
          <w:p>
            <w:pPr>
              <w:spacing w:before="80" w:after="80"/>
              <w:jc w:val="left"/>
            </w:pPr>
            <w:r>
              <w:rPr>
                <w:rFonts w:ascii="Helvetica" w:hAnsi="Helvetica"/>
                <w:sz w:val="19"/>
                <w:color w:val="1E293B"/>
              </w:rPr>
              <w:t xml:space="preserve">Implemented
(FastAPI + NIM + Humanizer)</w:t>
            </w:r>
          </w:p>
        </w:tc>
        <w:tc>
          <w:tcPr>
            <w:tcW w:w="3200" w:type="dxa"/>
            <w:shd w:val="clear" w:color="auto" w:fill="FFFFFF"/>
          </w:tcPr>
          <w:p>
            <w:pPr>
              <w:spacing w:before="80" w:after="80"/>
              <w:jc w:val="left"/>
            </w:pPr>
            <w:r>
              <w:rPr>
                <w:rFonts w:ascii="Helvetica" w:hAnsi="Helvetica"/>
                <w:sz w:val="19"/>
                <w:color w:val="1E293B"/>
              </w:rPr>
              <w:t xml:space="preserve">Add role-based context trimming and document version citation enforcement in prompt templates.</w:t>
            </w:r>
          </w:p>
        </w:tc>
        <w:tc>
          <w:tcPr>
            <w:tcW w:w="2000" w:type="dxa"/>
            <w:shd w:val="clear" w:color="auto" w:fill="FFFFFF"/>
          </w:tcPr>
          <w:p>
            <w:pPr>
              <w:spacing w:before="80" w:after="80"/>
              <w:jc w:val="left"/>
            </w:pPr>
            <w:r>
              <w:rPr>
                <w:rFonts w:ascii="Helvetica" w:hAnsi="Helvetica"/>
                <w:sz w:val="19"/>
                <w:color w:val="1E293B"/>
              </w:rPr>
              <w:t xml:space="preserve">Natural language conversational answers grounded in proprietary data.</w:t>
            </w:r>
          </w:p>
        </w:tc>
      </w:tr>
      <w:tr>
        <w:trPr>
          <w:cantSplit/>
        </w:trPr>
        <w:tc>
          <w:tcPr>
            <w:tcW w:w="480" w:type="dxa"/>
            <w:shd w:val="clear" w:color="auto" w:fill="F8FAFC"/>
          </w:tcPr>
          <w:p>
            <w:pPr>
              <w:spacing w:before="80" w:after="80"/>
              <w:jc w:val="left"/>
            </w:pPr>
            <w:r>
              <w:rPr>
                <w:rFonts w:ascii="Helvetica" w:hAnsi="Helvetica"/>
                <w:sz w:val="19"/>
                <w:color w:val="1E293B"/>
              </w:rPr>
              <w:t xml:space="preserve">6</w:t>
            </w:r>
          </w:p>
        </w:tc>
        <w:tc>
          <w:tcPr>
            <w:tcW w:w="1880" w:type="dxa"/>
            <w:shd w:val="clear" w:color="auto" w:fill="F8FAFC"/>
          </w:tcPr>
          <w:p>
            <w:pPr>
              <w:spacing w:before="80" w:after="80"/>
              <w:jc w:val="left"/>
            </w:pPr>
            <w:r>
              <w:rPr>
                <w:rFonts w:ascii="Helvetica" w:hAnsi="Helvetica"/>
                <w:sz w:val="19"/>
                <w:color w:val="1E293B"/>
              </w:rPr>
              <w:t xml:space="preserve">Source References &amp;
No Hallucination</w:t>
            </w:r>
          </w:p>
        </w:tc>
        <w:tc>
          <w:tcPr>
            <w:tcW w:w="1800" w:type="dxa"/>
            <w:shd w:val="clear" w:color="auto" w:fill="F8FAFC"/>
          </w:tcPr>
          <w:p>
            <w:pPr>
              <w:spacing w:before="80" w:after="80"/>
              <w:jc w:val="left"/>
            </w:pPr>
            <w:r>
              <w:rPr>
                <w:rFonts w:ascii="Helvetica" w:hAnsi="Helvetica"/>
                <w:sz w:val="19"/>
                <w:color w:val="1E293B"/>
              </w:rPr>
              <w:t xml:space="preserve">Implemented
(Basic citation brackets)</w:t>
            </w:r>
          </w:p>
        </w:tc>
        <w:tc>
          <w:tcPr>
            <w:tcW w:w="3200" w:type="dxa"/>
            <w:shd w:val="clear" w:color="auto" w:fill="F8FAFC"/>
          </w:tcPr>
          <w:p>
            <w:pPr>
              <w:spacing w:before="80" w:after="80"/>
              <w:jc w:val="left"/>
            </w:pPr>
            <w:r>
              <w:rPr>
                <w:rFonts w:ascii="Helvetica" w:hAnsi="Helvetica"/>
                <w:sz w:val="19"/>
                <w:color w:val="1E293B"/>
              </w:rPr>
              <w:t xml:space="preserve">Enforce strict system prompt refusal rules: return exact doc title, page, and version; refuse unverified queries.</w:t>
            </w:r>
          </w:p>
        </w:tc>
        <w:tc>
          <w:tcPr>
            <w:tcW w:w="2000" w:type="dxa"/>
            <w:shd w:val="clear" w:color="auto" w:fill="F8FAFC"/>
          </w:tcPr>
          <w:p>
            <w:pPr>
              <w:spacing w:before="80" w:after="80"/>
              <w:jc w:val="left"/>
            </w:pPr>
            <w:r>
              <w:rPr>
                <w:rFonts w:ascii="Helvetica" w:hAnsi="Helvetica"/>
                <w:sz w:val="19"/>
                <w:color w:val="1E293B"/>
              </w:rPr>
              <w:t xml:space="preserve">Zero hallucination risk in high-stakes medical and safety decisions.</w:t>
            </w:r>
          </w:p>
        </w:tc>
      </w:tr>
      <w:tr>
        <w:trPr>
          <w:cantSplit/>
        </w:trPr>
        <w:tc>
          <w:tcPr>
            <w:tcW w:w="480" w:type="dxa"/>
            <w:shd w:val="clear" w:color="auto" w:fill="FFFFFF"/>
          </w:tcPr>
          <w:p>
            <w:pPr>
              <w:spacing w:before="80" w:after="80"/>
              <w:jc w:val="left"/>
            </w:pPr>
            <w:r>
              <w:rPr>
                <w:rFonts w:ascii="Helvetica" w:hAnsi="Helvetica"/>
                <w:sz w:val="19"/>
                <w:color w:val="1E293B"/>
              </w:rPr>
              <w:t xml:space="preserve">7</w:t>
            </w:r>
          </w:p>
        </w:tc>
        <w:tc>
          <w:tcPr>
            <w:tcW w:w="1880" w:type="dxa"/>
            <w:shd w:val="clear" w:color="auto" w:fill="FFFFFF"/>
          </w:tcPr>
          <w:p>
            <w:pPr>
              <w:spacing w:before="80" w:after="80"/>
              <w:jc w:val="left"/>
            </w:pPr>
            <w:r>
              <w:rPr>
                <w:rFonts w:ascii="Helvetica" w:hAnsi="Helvetica"/>
                <w:sz w:val="19"/>
                <w:color w:val="1E293B"/>
              </w:rPr>
              <w:t xml:space="preserve">Knowledge Verification &amp;
Approval State Machine</w:t>
            </w:r>
          </w:p>
        </w:tc>
        <w:tc>
          <w:tcPr>
            <w:tcW w:w="1800" w:type="dxa"/>
            <w:shd w:val="clear" w:color="auto" w:fill="FFFFFF"/>
          </w:tcPr>
          <w:p>
            <w:pPr>
              <w:spacing w:before="80" w:after="80"/>
              <w:jc w:val="left"/>
            </w:pPr>
            <w:r>
              <w:rPr>
                <w:rFonts w:ascii="Helvetica" w:hAnsi="Helvetica"/>
                <w:sz w:val="19"/>
                <w:color w:val="1E293B"/>
              </w:rPr>
              <w:t xml:space="preserve">Missing
(Direct indexing)</w:t>
            </w:r>
          </w:p>
        </w:tc>
        <w:tc>
          <w:tcPr>
            <w:tcW w:w="3200" w:type="dxa"/>
            <w:shd w:val="clear" w:color="auto" w:fill="FFFFFF"/>
          </w:tcPr>
          <w:p>
            <w:pPr>
              <w:spacing w:before="80" w:after="80"/>
              <w:jc w:val="left"/>
            </w:pPr>
            <w:r>
              <w:rPr>
                <w:rFonts w:ascii="Helvetica" w:hAnsi="Helvetica"/>
                <w:sz w:val="19"/>
                <w:color w:val="1E293B"/>
              </w:rPr>
              <w:t xml:space="preserve">Build 5-stage lifecycle state machine. Add SME approval queue and hard vector filter for APPROVED docs.</w:t>
            </w:r>
          </w:p>
        </w:tc>
        <w:tc>
          <w:tcPr>
            <w:tcW w:w="2000" w:type="dxa"/>
            <w:shd w:val="clear" w:color="auto" w:fill="FFFFFF"/>
          </w:tcPr>
          <w:p>
            <w:pPr>
              <w:spacing w:before="80" w:after="80"/>
              <w:jc w:val="left"/>
            </w:pPr>
            <w:r>
              <w:rPr>
                <w:rFonts w:ascii="Helvetica" w:hAnsi="Helvetica"/>
                <w:sz w:val="19"/>
                <w:color w:val="1E293B"/>
              </w:rPr>
              <w:t xml:space="preserve">Prevents unapproved or draft documents from contaminating AI answers.</w:t>
            </w:r>
          </w:p>
        </w:tc>
      </w:tr>
      <w:tr>
        <w:trPr>
          <w:cantSplit/>
        </w:trPr>
        <w:tc>
          <w:tcPr>
            <w:tcW w:w="480" w:type="dxa"/>
            <w:shd w:val="clear" w:color="auto" w:fill="F8FAFC"/>
          </w:tcPr>
          <w:p>
            <w:pPr>
              <w:spacing w:before="80" w:after="80"/>
              <w:jc w:val="left"/>
            </w:pPr>
            <w:r>
              <w:rPr>
                <w:rFonts w:ascii="Helvetica" w:hAnsi="Helvetica"/>
                <w:sz w:val="19"/>
                <w:color w:val="1E293B"/>
              </w:rPr>
              <w:t xml:space="preserve">8</w:t>
            </w:r>
          </w:p>
        </w:tc>
        <w:tc>
          <w:tcPr>
            <w:tcW w:w="1880" w:type="dxa"/>
            <w:shd w:val="clear" w:color="auto" w:fill="F8FAFC"/>
          </w:tcPr>
          <w:p>
            <w:pPr>
              <w:spacing w:before="80" w:after="80"/>
              <w:jc w:val="left"/>
            </w:pPr>
            <w:r>
              <w:rPr>
                <w:rFonts w:ascii="Helvetica" w:hAnsi="Helvetica"/>
                <w:sz w:val="19"/>
                <w:color w:val="1E293B"/>
              </w:rPr>
              <w:t xml:space="preserve">Document Version, Review
&amp; Expiry Management</w:t>
            </w:r>
          </w:p>
        </w:tc>
        <w:tc>
          <w:tcPr>
            <w:tcW w:w="1800" w:type="dxa"/>
            <w:shd w:val="clear" w:color="auto" w:fill="F8FAFC"/>
          </w:tcPr>
          <w:p>
            <w:pPr>
              <w:spacing w:before="80" w:after="80"/>
              <w:jc w:val="left"/>
            </w:pPr>
            <w:r>
              <w:rPr>
                <w:rFonts w:ascii="Helvetica" w:hAnsi="Helvetica"/>
                <w:sz w:val="19"/>
                <w:color w:val="1E293B"/>
              </w:rPr>
              <w:t xml:space="preserve">Missing
(No version history)</w:t>
            </w:r>
          </w:p>
        </w:tc>
        <w:tc>
          <w:tcPr>
            <w:tcW w:w="3200" w:type="dxa"/>
            <w:shd w:val="clear" w:color="auto" w:fill="F8FAFC"/>
          </w:tcPr>
          <w:p>
            <w:pPr>
              <w:spacing w:before="80" w:after="80"/>
              <w:jc w:val="left"/>
            </w:pPr>
            <w:r>
              <w:rPr>
                <w:rFonts w:ascii="Helvetica" w:hAnsi="Helvetica"/>
                <w:sz w:val="19"/>
                <w:color w:val="1E293B"/>
              </w:rPr>
              <w:t xml:space="preserve">Create document_versions table. Implement Celery cron job for 60-day certificate expiry notifications.</w:t>
            </w:r>
          </w:p>
        </w:tc>
        <w:tc>
          <w:tcPr>
            <w:tcW w:w="2000" w:type="dxa"/>
            <w:shd w:val="clear" w:color="auto" w:fill="F8FAFC"/>
          </w:tcPr>
          <w:p>
            <w:pPr>
              <w:spacing w:before="80" w:after="80"/>
              <w:jc w:val="left"/>
            </w:pPr>
            <w:r>
              <w:rPr>
                <w:rFonts w:ascii="Helvetica" w:hAnsi="Helvetica"/>
                <w:sz w:val="19"/>
                <w:color w:val="1E293B"/>
              </w:rPr>
              <w:t xml:space="preserve">Automates compliance renewals and prevents obsolete doc usage.</w:t>
            </w:r>
          </w:p>
        </w:tc>
      </w:tr>
      <w:tr>
        <w:trPr>
          <w:cantSplit/>
        </w:trPr>
        <w:tc>
          <w:tcPr>
            <w:tcW w:w="480" w:type="dxa"/>
            <w:shd w:val="clear" w:color="auto" w:fill="FFFFFF"/>
          </w:tcPr>
          <w:p>
            <w:pPr>
              <w:spacing w:before="80" w:after="80"/>
              <w:jc w:val="left"/>
            </w:pPr>
            <w:r>
              <w:rPr>
                <w:rFonts w:ascii="Helvetica" w:hAnsi="Helvetica"/>
                <w:sz w:val="19"/>
                <w:color w:val="1E293B"/>
              </w:rPr>
              <w:t xml:space="preserve">9</w:t>
            </w:r>
          </w:p>
        </w:tc>
        <w:tc>
          <w:tcPr>
            <w:tcW w:w="1880" w:type="dxa"/>
            <w:shd w:val="clear" w:color="auto" w:fill="FFFFFF"/>
          </w:tcPr>
          <w:p>
            <w:pPr>
              <w:spacing w:before="80" w:after="80"/>
              <w:jc w:val="left"/>
            </w:pPr>
            <w:r>
              <w:rPr>
                <w:rFonts w:ascii="Helvetica" w:hAnsi="Helvetica"/>
                <w:sz w:val="19"/>
                <w:color w:val="1E293B"/>
              </w:rPr>
              <w:t xml:space="preserve">Product Comparison
(Side-by-Side Matrix)</w:t>
            </w:r>
          </w:p>
        </w:tc>
        <w:tc>
          <w:tcPr>
            <w:tcW w:w="1800" w:type="dxa"/>
            <w:shd w:val="clear" w:color="auto" w:fill="FFFFFF"/>
          </w:tcPr>
          <w:p>
            <w:pPr>
              <w:spacing w:before="80" w:after="80"/>
              <w:jc w:val="left"/>
            </w:pPr>
            <w:r>
              <w:rPr>
                <w:rFonts w:ascii="Helvetica" w:hAnsi="Helvetica"/>
                <w:sz w:val="19"/>
                <w:color w:val="1E293B"/>
              </w:rPr>
              <w:t xml:space="preserve">Missing
(No comparison tool)</w:t>
            </w:r>
          </w:p>
        </w:tc>
        <w:tc>
          <w:tcPr>
            <w:tcW w:w="3200" w:type="dxa"/>
            <w:shd w:val="clear" w:color="auto" w:fill="FFFFFF"/>
          </w:tcPr>
          <w:p>
            <w:pPr>
              <w:spacing w:before="80" w:after="80"/>
              <w:jc w:val="left"/>
            </w:pPr>
            <w:r>
              <w:rPr>
                <w:rFonts w:ascii="Helvetica" w:hAnsi="Helvetica"/>
                <w:sz w:val="19"/>
                <w:color w:val="1E293B"/>
              </w:rPr>
              <w:t xml:space="preserve">Build comparison API endpoint and TanStack Table UI with dynamic delta highlighting.</w:t>
            </w:r>
          </w:p>
        </w:tc>
        <w:tc>
          <w:tcPr>
            <w:tcW w:w="2000" w:type="dxa"/>
            <w:shd w:val="clear" w:color="auto" w:fill="FFFFFF"/>
          </w:tcPr>
          <w:p>
            <w:pPr>
              <w:spacing w:before="80" w:after="80"/>
              <w:jc w:val="left"/>
            </w:pPr>
            <w:r>
              <w:rPr>
                <w:rFonts w:ascii="Helvetica" w:hAnsi="Helvetica"/>
                <w:sz w:val="19"/>
                <w:color w:val="1E293B"/>
              </w:rPr>
              <w:t xml:space="preserve">Accelerates B2B sales cycles and technical spec evaluation.</w:t>
            </w:r>
          </w:p>
        </w:tc>
      </w:tr>
      <w:tr>
        <w:trPr>
          <w:cantSplit/>
        </w:trPr>
        <w:tc>
          <w:tcPr>
            <w:tcW w:w="480" w:type="dxa"/>
            <w:shd w:val="clear" w:color="auto" w:fill="F8FAFC"/>
          </w:tcPr>
          <w:p>
            <w:pPr>
              <w:spacing w:before="80" w:after="80"/>
              <w:jc w:val="left"/>
            </w:pPr>
            <w:r>
              <w:rPr>
                <w:rFonts w:ascii="Helvetica" w:hAnsi="Helvetica"/>
                <w:sz w:val="19"/>
                <w:color w:val="1E293B"/>
              </w:rPr>
              <w:t xml:space="preserve">10</w:t>
            </w:r>
          </w:p>
        </w:tc>
        <w:tc>
          <w:tcPr>
            <w:tcW w:w="1880" w:type="dxa"/>
            <w:shd w:val="clear" w:color="auto" w:fill="F8FAFC"/>
          </w:tcPr>
          <w:p>
            <w:pPr>
              <w:spacing w:before="80" w:after="80"/>
              <w:jc w:val="left"/>
            </w:pPr>
            <w:r>
              <w:rPr>
                <w:rFonts w:ascii="Helvetica" w:hAnsi="Helvetica"/>
                <w:sz w:val="19"/>
                <w:color w:val="1E293B"/>
              </w:rPr>
              <w:t xml:space="preserve">Product Compatibility
(Cross-Fitment Graph)</w:t>
            </w:r>
          </w:p>
        </w:tc>
        <w:tc>
          <w:tcPr>
            <w:tcW w:w="1800" w:type="dxa"/>
            <w:shd w:val="clear" w:color="auto" w:fill="F8FAFC"/>
          </w:tcPr>
          <w:p>
            <w:pPr>
              <w:spacing w:before="80" w:after="80"/>
              <w:jc w:val="left"/>
            </w:pPr>
            <w:r>
              <w:rPr>
                <w:rFonts w:ascii="Helvetica" w:hAnsi="Helvetica"/>
                <w:sz w:val="19"/>
                <w:color w:val="1E293B"/>
              </w:rPr>
              <w:t xml:space="preserve">Missing
(No compatibility data)</w:t>
            </w:r>
          </w:p>
        </w:tc>
        <w:tc>
          <w:tcPr>
            <w:tcW w:w="3200" w:type="dxa"/>
            <w:shd w:val="clear" w:color="auto" w:fill="F8FAFC"/>
          </w:tcPr>
          <w:p>
            <w:pPr>
              <w:spacing w:before="80" w:after="80"/>
              <w:jc w:val="left"/>
            </w:pPr>
            <w:r>
              <w:rPr>
                <w:rFonts w:ascii="Helvetica" w:hAnsi="Helvetica"/>
                <w:sz w:val="19"/>
                <w:color w:val="1E293B"/>
              </w:rPr>
              <w:t xml:space="preserve">Create product_compatibilities table with relational fitment rules and bi-directional graph API.</w:t>
            </w:r>
          </w:p>
        </w:tc>
        <w:tc>
          <w:tcPr>
            <w:tcW w:w="2000" w:type="dxa"/>
            <w:shd w:val="clear" w:color="auto" w:fill="F8FAFC"/>
          </w:tcPr>
          <w:p>
            <w:pPr>
              <w:spacing w:before="80" w:after="80"/>
              <w:jc w:val="left"/>
            </w:pPr>
            <w:r>
              <w:rPr>
                <w:rFonts w:ascii="Helvetica" w:hAnsi="Helvetica"/>
                <w:sz w:val="19"/>
                <w:color w:val="1E293B"/>
              </w:rPr>
              <w:t xml:space="preserve">Drastically cuts warranty claims, return rates, and incorrect installations.</w:t>
            </w:r>
          </w:p>
        </w:tc>
      </w:tr>
      <w:tr>
        <w:trPr>
          <w:cantSplit/>
        </w:trPr>
        <w:tc>
          <w:tcPr>
            <w:tcW w:w="480" w:type="dxa"/>
            <w:shd w:val="clear" w:color="auto" w:fill="FFFFFF"/>
          </w:tcPr>
          <w:p>
            <w:pPr>
              <w:spacing w:before="80" w:after="80"/>
              <w:jc w:val="left"/>
            </w:pPr>
            <w:r>
              <w:rPr>
                <w:rFonts w:ascii="Helvetica" w:hAnsi="Helvetica"/>
                <w:sz w:val="19"/>
                <w:color w:val="1E293B"/>
              </w:rPr>
              <w:t xml:space="preserve">11</w:t>
            </w:r>
          </w:p>
        </w:tc>
        <w:tc>
          <w:tcPr>
            <w:tcW w:w="1880" w:type="dxa"/>
            <w:shd w:val="clear" w:color="auto" w:fill="FFFFFF"/>
          </w:tcPr>
          <w:p>
            <w:pPr>
              <w:spacing w:before="80" w:after="80"/>
              <w:jc w:val="left"/>
            </w:pPr>
            <w:r>
              <w:rPr>
                <w:rFonts w:ascii="Helvetica" w:hAnsi="Helvetica"/>
                <w:sz w:val="19"/>
                <w:color w:val="1E293B"/>
              </w:rPr>
              <w:t xml:space="preserve">Customer-Specific Content
&amp; Granular RBAC</w:t>
            </w:r>
          </w:p>
        </w:tc>
        <w:tc>
          <w:tcPr>
            <w:tcW w:w="1800" w:type="dxa"/>
            <w:shd w:val="clear" w:color="auto" w:fill="FFFFFF"/>
          </w:tcPr>
          <w:p>
            <w:pPr>
              <w:spacing w:before="80" w:after="80"/>
              <w:jc w:val="left"/>
            </w:pPr>
            <w:r>
              <w:rPr>
                <w:rFonts w:ascii="Helvetica" w:hAnsi="Helvetica"/>
                <w:sz w:val="19"/>
                <w:color w:val="1E293B"/>
              </w:rPr>
              <w:t xml:space="preserve">Missing
(Only 2 coarse roles)</w:t>
            </w:r>
          </w:p>
        </w:tc>
        <w:tc>
          <w:tcPr>
            <w:tcW w:w="3200" w:type="dxa"/>
            <w:shd w:val="clear" w:color="auto" w:fill="FFFFFF"/>
          </w:tcPr>
          <w:p>
            <w:pPr>
              <w:spacing w:before="80" w:after="80"/>
              <w:jc w:val="left"/>
            </w:pPr>
            <w:r>
              <w:rPr>
                <w:rFonts w:ascii="Helvetica" w:hAnsi="Helvetica"/>
                <w:sz w:val="19"/>
                <w:color w:val="1E293B"/>
              </w:rPr>
              <w:t xml:space="preserve">Implement 9 roles with claim-based JWT authorization and metadata-filtered vector retrieval.</w:t>
            </w:r>
          </w:p>
        </w:tc>
        <w:tc>
          <w:tcPr>
            <w:tcW w:w="2000" w:type="dxa"/>
            <w:shd w:val="clear" w:color="auto" w:fill="FFFFFF"/>
          </w:tcPr>
          <w:p>
            <w:pPr>
              <w:spacing w:before="80" w:after="80"/>
              <w:jc w:val="left"/>
            </w:pPr>
            <w:r>
              <w:rPr>
                <w:rFonts w:ascii="Helvetica" w:hAnsi="Helvetica"/>
                <w:sz w:val="19"/>
                <w:color w:val="1E293B"/>
              </w:rPr>
              <w:t xml:space="preserve">Enables multi-tiered portals for internal R&amp;D, dealers, and customers.</w:t>
            </w:r>
          </w:p>
        </w:tc>
      </w:tr>
      <w:tr>
        <w:trPr>
          <w:cantSplit/>
        </w:trPr>
        <w:tc>
          <w:tcPr>
            <w:tcW w:w="480" w:type="dxa"/>
            <w:shd w:val="clear" w:color="auto" w:fill="F8FAFC"/>
          </w:tcPr>
          <w:p>
            <w:pPr>
              <w:spacing w:before="80" w:after="80"/>
              <w:jc w:val="left"/>
            </w:pPr>
            <w:r>
              <w:rPr>
                <w:rFonts w:ascii="Helvetica" w:hAnsi="Helvetica"/>
                <w:sz w:val="19"/>
                <w:color w:val="1E293B"/>
              </w:rPr>
              <w:t xml:space="preserve">12</w:t>
            </w:r>
          </w:p>
        </w:tc>
        <w:tc>
          <w:tcPr>
            <w:tcW w:w="1880" w:type="dxa"/>
            <w:shd w:val="clear" w:color="auto" w:fill="F8FAFC"/>
          </w:tcPr>
          <w:p>
            <w:pPr>
              <w:spacing w:before="80" w:after="80"/>
              <w:jc w:val="left"/>
            </w:pPr>
            <w:r>
              <w:rPr>
                <w:rFonts w:ascii="Helvetica" w:hAnsi="Helvetica"/>
                <w:sz w:val="19"/>
                <w:color w:val="1E293B"/>
              </w:rPr>
              <w:t xml:space="preserve">Personalized User
Experience &amp; Dashboards</w:t>
            </w:r>
          </w:p>
        </w:tc>
        <w:tc>
          <w:tcPr>
            <w:tcW w:w="1800" w:type="dxa"/>
            <w:shd w:val="clear" w:color="auto" w:fill="F8FAFC"/>
          </w:tcPr>
          <w:p>
            <w:pPr>
              <w:spacing w:before="80" w:after="80"/>
              <w:jc w:val="left"/>
            </w:pPr>
            <w:r>
              <w:rPr>
                <w:rFonts w:ascii="Helvetica" w:hAnsi="Helvetica"/>
                <w:sz w:val="19"/>
                <w:color w:val="1E293B"/>
              </w:rPr>
              <w:t xml:space="preserve">Missing
(Generic dashboard)</w:t>
            </w:r>
          </w:p>
        </w:tc>
        <w:tc>
          <w:tcPr>
            <w:tcW w:w="3200" w:type="dxa"/>
            <w:shd w:val="clear" w:color="auto" w:fill="F8FAFC"/>
          </w:tcPr>
          <w:p>
            <w:pPr>
              <w:spacing w:before="80" w:after="80"/>
              <w:jc w:val="left"/>
            </w:pPr>
            <w:r>
              <w:rPr>
                <w:rFonts w:ascii="Helvetica" w:hAnsi="Helvetica"/>
                <w:sz w:val="19"/>
                <w:color w:val="1E293B"/>
              </w:rPr>
              <w:t xml:space="preserve">Build role-aware homepage widgets showing assigned courses, recent docs, and domain-specific stats.</w:t>
            </w:r>
          </w:p>
        </w:tc>
        <w:tc>
          <w:tcPr>
            <w:tcW w:w="2000" w:type="dxa"/>
            <w:shd w:val="clear" w:color="auto" w:fill="F8FAFC"/>
          </w:tcPr>
          <w:p>
            <w:pPr>
              <w:spacing w:before="80" w:after="80"/>
              <w:jc w:val="left"/>
            </w:pPr>
            <w:r>
              <w:rPr>
                <w:rFonts w:ascii="Helvetica" w:hAnsi="Helvetica"/>
                <w:sz w:val="19"/>
                <w:color w:val="1E293B"/>
              </w:rPr>
              <w:t xml:space="preserve">Increases user engagement and surfaces immediate role-relevant tasks.</w:t>
            </w:r>
          </w:p>
        </w:tc>
      </w:tr>
      <w:tr>
        <w:trPr>
          <w:cantSplit/>
        </w:trPr>
        <w:tc>
          <w:tcPr>
            <w:tcW w:w="480" w:type="dxa"/>
            <w:shd w:val="clear" w:color="auto" w:fill="FFFFFF"/>
          </w:tcPr>
          <w:p>
            <w:pPr>
              <w:spacing w:before="80" w:after="80"/>
              <w:jc w:val="left"/>
            </w:pPr>
            <w:r>
              <w:rPr>
                <w:rFonts w:ascii="Helvetica" w:hAnsi="Helvetica"/>
                <w:sz w:val="19"/>
                <w:color w:val="1E293B"/>
              </w:rPr>
              <w:t xml:space="preserve">13</w:t>
            </w:r>
          </w:p>
        </w:tc>
        <w:tc>
          <w:tcPr>
            <w:tcW w:w="1880" w:type="dxa"/>
            <w:shd w:val="clear" w:color="auto" w:fill="FFFFFF"/>
          </w:tcPr>
          <w:p>
            <w:pPr>
              <w:spacing w:before="80" w:after="80"/>
              <w:jc w:val="left"/>
            </w:pPr>
            <w:r>
              <w:rPr>
                <w:rFonts w:ascii="Helvetica" w:hAnsi="Helvetica"/>
                <w:sz w:val="19"/>
                <w:color w:val="1E293B"/>
              </w:rPr>
              <w:t xml:space="preserve">Product Learning &amp;
Integrated B2B LMS</w:t>
            </w:r>
          </w:p>
        </w:tc>
        <w:tc>
          <w:tcPr>
            <w:tcW w:w="1800" w:type="dxa"/>
            <w:shd w:val="clear" w:color="auto" w:fill="FFFFFF"/>
          </w:tcPr>
          <w:p>
            <w:pPr>
              <w:spacing w:before="80" w:after="80"/>
              <w:jc w:val="left"/>
            </w:pPr>
            <w:r>
              <w:rPr>
                <w:rFonts w:ascii="Helvetica" w:hAnsi="Helvetica"/>
                <w:sz w:val="19"/>
                <w:color w:val="1E293B"/>
              </w:rPr>
              <w:t xml:space="preserve">Missing
(0% LMS functionality)</w:t>
            </w:r>
          </w:p>
        </w:tc>
        <w:tc>
          <w:tcPr>
            <w:tcW w:w="3200" w:type="dxa"/>
            <w:shd w:val="clear" w:color="auto" w:fill="FFFFFF"/>
          </w:tcPr>
          <w:p>
            <w:pPr>
              <w:spacing w:before="80" w:after="80"/>
              <w:jc w:val="left"/>
            </w:pPr>
            <w:r>
              <w:rPr>
                <w:rFonts w:ascii="Helvetica" w:hAnsi="Helvetica"/>
                <w:sz w:val="19"/>
                <w:color w:val="1E293B"/>
              </w:rPr>
              <w:t xml:space="preserve">Create courses, modules, lessons, and progress tracking tables with video playback tracking.</w:t>
            </w:r>
          </w:p>
        </w:tc>
        <w:tc>
          <w:tcPr>
            <w:tcW w:w="2000" w:type="dxa"/>
            <w:shd w:val="clear" w:color="auto" w:fill="FFFFFF"/>
          </w:tcPr>
          <w:p>
            <w:pPr>
              <w:spacing w:before="80" w:after="80"/>
              <w:jc w:val="left"/>
            </w:pPr>
            <w:r>
              <w:rPr>
                <w:rFonts w:ascii="Helvetica" w:hAnsi="Helvetica"/>
                <w:sz w:val="19"/>
                <w:color w:val="1E293B"/>
              </w:rPr>
              <w:t xml:space="preserve">Eliminates need for separate third-party LMS subscription.</w:t>
            </w:r>
          </w:p>
        </w:tc>
      </w:tr>
      <w:tr>
        <w:trPr>
          <w:cantSplit/>
        </w:trPr>
        <w:tc>
          <w:tcPr>
            <w:tcW w:w="480" w:type="dxa"/>
            <w:shd w:val="clear" w:color="auto" w:fill="F8FAFC"/>
          </w:tcPr>
          <w:p>
            <w:pPr>
              <w:spacing w:before="80" w:after="80"/>
              <w:jc w:val="left"/>
            </w:pPr>
            <w:r>
              <w:rPr>
                <w:rFonts w:ascii="Helvetica" w:hAnsi="Helvetica"/>
                <w:sz w:val="19"/>
                <w:color w:val="1E293B"/>
              </w:rPr>
              <w:t xml:space="preserve">14</w:t>
            </w:r>
          </w:p>
        </w:tc>
        <w:tc>
          <w:tcPr>
            <w:tcW w:w="1880" w:type="dxa"/>
            <w:shd w:val="clear" w:color="auto" w:fill="F8FAFC"/>
          </w:tcPr>
          <w:p>
            <w:pPr>
              <w:spacing w:before="80" w:after="80"/>
              <w:jc w:val="left"/>
            </w:pPr>
            <w:r>
              <w:rPr>
                <w:rFonts w:ascii="Helvetica" w:hAnsi="Helvetica"/>
                <w:sz w:val="19"/>
                <w:color w:val="1E293B"/>
              </w:rPr>
              <w:t xml:space="preserve">Course Creation &amp;
AI-Assisted Authoring</w:t>
            </w:r>
          </w:p>
        </w:tc>
        <w:tc>
          <w:tcPr>
            <w:tcW w:w="1800" w:type="dxa"/>
            <w:shd w:val="clear" w:color="auto" w:fill="F8FAFC"/>
          </w:tcPr>
          <w:p>
            <w:pPr>
              <w:spacing w:before="80" w:after="80"/>
              <w:jc w:val="left"/>
            </w:pPr>
            <w:r>
              <w:rPr>
                <w:rFonts w:ascii="Helvetica" w:hAnsi="Helvetica"/>
                <w:sz w:val="19"/>
                <w:color w:val="1E293B"/>
              </w:rPr>
              <w:t xml:space="preserve">Missing
(No authoring tools)</w:t>
            </w:r>
          </w:p>
        </w:tc>
        <w:tc>
          <w:tcPr>
            <w:tcW w:w="3200" w:type="dxa"/>
            <w:shd w:val="clear" w:color="auto" w:fill="F8FAFC"/>
          </w:tcPr>
          <w:p>
            <w:pPr>
              <w:spacing w:before="80" w:after="80"/>
              <w:jc w:val="left"/>
            </w:pPr>
            <w:r>
              <w:rPr>
                <w:rFonts w:ascii="Helvetica" w:hAnsi="Helvetica"/>
                <w:sz w:val="19"/>
                <w:color w:val="1E293B"/>
              </w:rPr>
              <w:t xml:space="preserve">Build LLM authoring pipeline to extract course outlines and quizzes from uploaded PDFs with SME edit UI.</w:t>
            </w:r>
          </w:p>
        </w:tc>
        <w:tc>
          <w:tcPr>
            <w:tcW w:w="2000" w:type="dxa"/>
            <w:shd w:val="clear" w:color="auto" w:fill="F8FAFC"/>
          </w:tcPr>
          <w:p>
            <w:pPr>
              <w:spacing w:before="80" w:after="80"/>
              <w:jc w:val="left"/>
            </w:pPr>
            <w:r>
              <w:rPr>
                <w:rFonts w:ascii="Helvetica" w:hAnsi="Helvetica"/>
                <w:sz w:val="19"/>
                <w:color w:val="1E293B"/>
              </w:rPr>
              <w:t xml:space="preserve">Cuts training content authoring time by over 80%.</w:t>
            </w:r>
          </w:p>
        </w:tc>
      </w:tr>
      <w:tr>
        <w:trPr>
          <w:cantSplit/>
        </w:trPr>
        <w:tc>
          <w:tcPr>
            <w:tcW w:w="480" w:type="dxa"/>
            <w:shd w:val="clear" w:color="auto" w:fill="FFFFFF"/>
          </w:tcPr>
          <w:p>
            <w:pPr>
              <w:spacing w:before="80" w:after="80"/>
              <w:jc w:val="left"/>
            </w:pPr>
            <w:r>
              <w:rPr>
                <w:rFonts w:ascii="Helvetica" w:hAnsi="Helvetica"/>
                <w:sz w:val="19"/>
                <w:color w:val="1E293B"/>
              </w:rPr>
              <w:t xml:space="preserve">15</w:t>
            </w:r>
          </w:p>
        </w:tc>
        <w:tc>
          <w:tcPr>
            <w:tcW w:w="1880" w:type="dxa"/>
            <w:shd w:val="clear" w:color="auto" w:fill="FFFFFF"/>
          </w:tcPr>
          <w:p>
            <w:pPr>
              <w:spacing w:before="80" w:after="80"/>
              <w:jc w:val="left"/>
            </w:pPr>
            <w:r>
              <w:rPr>
                <w:rFonts w:ascii="Helvetica" w:hAnsi="Helvetica"/>
                <w:sz w:val="19"/>
                <w:color w:val="1E293B"/>
              </w:rPr>
              <w:t xml:space="preserve">Assessments, Progress &amp;
QR Certifications</w:t>
            </w:r>
          </w:p>
        </w:tc>
        <w:tc>
          <w:tcPr>
            <w:tcW w:w="1800" w:type="dxa"/>
            <w:shd w:val="clear" w:color="auto" w:fill="FFFFFF"/>
          </w:tcPr>
          <w:p>
            <w:pPr>
              <w:spacing w:before="80" w:after="80"/>
              <w:jc w:val="left"/>
            </w:pPr>
            <w:r>
              <w:rPr>
                <w:rFonts w:ascii="Helvetica" w:hAnsi="Helvetica"/>
                <w:sz w:val="19"/>
                <w:color w:val="1E293B"/>
              </w:rPr>
              <w:t xml:space="preserve">Missing
(No assessments)</w:t>
            </w:r>
          </w:p>
        </w:tc>
        <w:tc>
          <w:tcPr>
            <w:tcW w:w="3200" w:type="dxa"/>
            <w:shd w:val="clear" w:color="auto" w:fill="FFFFFF"/>
          </w:tcPr>
          <w:p>
            <w:pPr>
              <w:spacing w:before="80" w:after="80"/>
              <w:jc w:val="left"/>
            </w:pPr>
            <w:r>
              <w:rPr>
                <w:rFonts w:ascii="Helvetica" w:hAnsi="Helvetica"/>
                <w:sz w:val="19"/>
                <w:color w:val="1E293B"/>
              </w:rPr>
              <w:t xml:space="preserve">Build quiz scoring engine and ReportLab PDF certificate generator with verifiable QR code tokens.</w:t>
            </w:r>
          </w:p>
        </w:tc>
        <w:tc>
          <w:tcPr>
            <w:tcW w:w="2000" w:type="dxa"/>
            <w:shd w:val="clear" w:color="auto" w:fill="FFFFFF"/>
          </w:tcPr>
          <w:p>
            <w:pPr>
              <w:spacing w:before="80" w:after="80"/>
              <w:jc w:val="left"/>
            </w:pPr>
            <w:r>
              <w:rPr>
                <w:rFonts w:ascii="Helvetica" w:hAnsi="Helvetica"/>
                <w:sz w:val="19"/>
                <w:color w:val="1E293B"/>
              </w:rPr>
              <w:t xml:space="preserve">Provides verifiable legal compliance records for audits and warranty.</w:t>
            </w:r>
          </w:p>
        </w:tc>
      </w:tr>
      <w:tr>
        <w:trPr>
          <w:cantSplit/>
        </w:trPr>
        <w:tc>
          <w:tcPr>
            <w:tcW w:w="480" w:type="dxa"/>
            <w:shd w:val="clear" w:color="auto" w:fill="F8FAFC"/>
          </w:tcPr>
          <w:p>
            <w:pPr>
              <w:spacing w:before="80" w:after="80"/>
              <w:jc w:val="left"/>
            </w:pPr>
            <w:r>
              <w:rPr>
                <w:rFonts w:ascii="Helvetica" w:hAnsi="Helvetica"/>
                <w:sz w:val="19"/>
                <w:color w:val="1E293B"/>
              </w:rPr>
              <w:t xml:space="preserve">16</w:t>
            </w:r>
          </w:p>
        </w:tc>
        <w:tc>
          <w:tcPr>
            <w:tcW w:w="1880" w:type="dxa"/>
            <w:shd w:val="clear" w:color="auto" w:fill="F8FAFC"/>
          </w:tcPr>
          <w:p>
            <w:pPr>
              <w:spacing w:before="80" w:after="80"/>
              <w:jc w:val="left"/>
            </w:pPr>
            <w:r>
              <w:rPr>
                <w:rFonts w:ascii="Helvetica" w:hAnsi="Helvetica"/>
                <w:sz w:val="19"/>
                <w:color w:val="1E293B"/>
              </w:rPr>
              <w:t xml:space="preserve">AI Learning Assistant
(In-Course Co-Pilot)</w:t>
            </w:r>
          </w:p>
        </w:tc>
        <w:tc>
          <w:tcPr>
            <w:tcW w:w="1800" w:type="dxa"/>
            <w:shd w:val="clear" w:color="auto" w:fill="F8FAFC"/>
          </w:tcPr>
          <w:p>
            <w:pPr>
              <w:spacing w:before="80" w:after="80"/>
              <w:jc w:val="left"/>
            </w:pPr>
            <w:r>
              <w:rPr>
                <w:rFonts w:ascii="Helvetica" w:hAnsi="Helvetica"/>
                <w:sz w:val="19"/>
                <w:color w:val="1E293B"/>
              </w:rPr>
              <w:t xml:space="preserve">Missing
(No lesson co-pilot)</w:t>
            </w:r>
          </w:p>
        </w:tc>
        <w:tc>
          <w:tcPr>
            <w:tcW w:w="3200" w:type="dxa"/>
            <w:shd w:val="clear" w:color="auto" w:fill="F8FAFC"/>
          </w:tcPr>
          <w:p>
            <w:pPr>
              <w:spacing w:before="80" w:after="80"/>
              <w:jc w:val="left"/>
            </w:pPr>
            <w:r>
              <w:rPr>
                <w:rFonts w:ascii="Helvetica" w:hAnsi="Helvetica"/>
                <w:sz w:val="19"/>
                <w:color w:val="1E293B"/>
              </w:rPr>
              <w:t xml:space="preserve">Create scoped chat endpoint injecting active course transcript and lesson manual as context.</w:t>
            </w:r>
          </w:p>
        </w:tc>
        <w:tc>
          <w:tcPr>
            <w:tcW w:w="2000" w:type="dxa"/>
            <w:shd w:val="clear" w:color="auto" w:fill="F8FAFC"/>
          </w:tcPr>
          <w:p>
            <w:pPr>
              <w:spacing w:before="80" w:after="80"/>
              <w:jc w:val="left"/>
            </w:pPr>
            <w:r>
              <w:rPr>
                <w:rFonts w:ascii="Helvetica" w:hAnsi="Helvetica"/>
                <w:sz w:val="19"/>
                <w:color w:val="1E293B"/>
              </w:rPr>
              <w:t xml:space="preserve">Immediate on-demand tutoring for mechanics and technicians.</w:t>
            </w:r>
          </w:p>
        </w:tc>
      </w:tr>
      <w:tr>
        <w:trPr>
          <w:cantSplit/>
        </w:trPr>
        <w:tc>
          <w:tcPr>
            <w:tcW w:w="480" w:type="dxa"/>
            <w:shd w:val="clear" w:color="auto" w:fill="FFFFFF"/>
          </w:tcPr>
          <w:p>
            <w:pPr>
              <w:spacing w:before="80" w:after="80"/>
              <w:jc w:val="left"/>
            </w:pPr>
            <w:r>
              <w:rPr>
                <w:rFonts w:ascii="Helvetica" w:hAnsi="Helvetica"/>
                <w:sz w:val="19"/>
                <w:color w:val="1E293B"/>
              </w:rPr>
              <w:t xml:space="preserve">17</w:t>
            </w:r>
          </w:p>
        </w:tc>
        <w:tc>
          <w:tcPr>
            <w:tcW w:w="1880" w:type="dxa"/>
            <w:shd w:val="clear" w:color="auto" w:fill="FFFFFF"/>
          </w:tcPr>
          <w:p>
            <w:pPr>
              <w:spacing w:before="80" w:after="80"/>
              <w:jc w:val="left"/>
            </w:pPr>
            <w:r>
              <w:rPr>
                <w:rFonts w:ascii="Helvetica" w:hAnsi="Helvetica"/>
                <w:sz w:val="19"/>
                <w:color w:val="1E293B"/>
              </w:rPr>
              <w:t xml:space="preserve">Multilingual Experience
(European Compliance)</w:t>
            </w:r>
          </w:p>
        </w:tc>
        <w:tc>
          <w:tcPr>
            <w:tcW w:w="1800" w:type="dxa"/>
            <w:shd w:val="clear" w:color="auto" w:fill="FFFFFF"/>
          </w:tcPr>
          <w:p>
            <w:pPr>
              <w:spacing w:before="80" w:after="80"/>
              <w:jc w:val="left"/>
            </w:pPr>
            <w:r>
              <w:rPr>
                <w:rFonts w:ascii="Helvetica" w:hAnsi="Helvetica"/>
                <w:sz w:val="19"/>
                <w:color w:val="1E293B"/>
              </w:rPr>
              <w:t xml:space="preserve">Missing
(English-only UI)</w:t>
            </w:r>
          </w:p>
        </w:tc>
        <w:tc>
          <w:tcPr>
            <w:tcW w:w="3200" w:type="dxa"/>
            <w:shd w:val="clear" w:color="auto" w:fill="FFFFFF"/>
          </w:tcPr>
          <w:p>
            <w:pPr>
              <w:spacing w:before="80" w:after="80"/>
              <w:jc w:val="left"/>
            </w:pPr>
            <w:r>
              <w:rPr>
                <w:rFonts w:ascii="Helvetica" w:hAnsi="Helvetica"/>
                <w:sz w:val="19"/>
                <w:color w:val="1E293B"/>
              </w:rPr>
              <w:t xml:space="preserve">Implement i18n translation engine with visual badges: 'SME-Verified' vs 'AI-Generated Translation'.</w:t>
            </w:r>
          </w:p>
        </w:tc>
        <w:tc>
          <w:tcPr>
            <w:tcW w:w="2000" w:type="dxa"/>
            <w:shd w:val="clear" w:color="auto" w:fill="FFFFFF"/>
          </w:tcPr>
          <w:p>
            <w:pPr>
              <w:spacing w:before="80" w:after="80"/>
              <w:jc w:val="left"/>
            </w:pPr>
            <w:r>
              <w:rPr>
                <w:rFonts w:ascii="Helvetica" w:hAnsi="Helvetica"/>
                <w:sz w:val="19"/>
                <w:color w:val="1E293B"/>
              </w:rPr>
              <w:t xml:space="preserve">Safe global deployment across European markets under EU AI Act.</w:t>
            </w:r>
          </w:p>
        </w:tc>
      </w:tr>
      <w:tr>
        <w:trPr>
          <w:cantSplit/>
        </w:trPr>
        <w:tc>
          <w:tcPr>
            <w:tcW w:w="480" w:type="dxa"/>
            <w:shd w:val="clear" w:color="auto" w:fill="F8FAFC"/>
          </w:tcPr>
          <w:p>
            <w:pPr>
              <w:spacing w:before="80" w:after="80"/>
              <w:jc w:val="left"/>
            </w:pPr>
            <w:r>
              <w:rPr>
                <w:rFonts w:ascii="Helvetica" w:hAnsi="Helvetica"/>
                <w:sz w:val="19"/>
                <w:color w:val="1E293B"/>
              </w:rPr>
              <w:t xml:space="preserve">18</w:t>
            </w:r>
          </w:p>
        </w:tc>
        <w:tc>
          <w:tcPr>
            <w:tcW w:w="1880" w:type="dxa"/>
            <w:shd w:val="clear" w:color="auto" w:fill="F8FAFC"/>
          </w:tcPr>
          <w:p>
            <w:pPr>
              <w:spacing w:before="80" w:after="80"/>
              <w:jc w:val="left"/>
            </w:pPr>
            <w:r>
              <w:rPr>
                <w:rFonts w:ascii="Helvetica" w:hAnsi="Helvetica"/>
                <w:sz w:val="19"/>
                <w:color w:val="1E293B"/>
              </w:rPr>
              <w:t xml:space="preserve">Notifications &amp; Alerts
(Omnichannel)</w:t>
            </w:r>
          </w:p>
        </w:tc>
        <w:tc>
          <w:tcPr>
            <w:tcW w:w="1800" w:type="dxa"/>
            <w:shd w:val="clear" w:color="auto" w:fill="F8FAFC"/>
          </w:tcPr>
          <w:p>
            <w:pPr>
              <w:spacing w:before="80" w:after="80"/>
              <w:jc w:val="left"/>
            </w:pPr>
            <w:r>
              <w:rPr>
                <w:rFonts w:ascii="Helvetica" w:hAnsi="Helvetica"/>
                <w:sz w:val="19"/>
                <w:color w:val="1E293B"/>
              </w:rPr>
              <w:t xml:space="preserve">Missing
(No notification system)</w:t>
            </w:r>
          </w:p>
        </w:tc>
        <w:tc>
          <w:tcPr>
            <w:tcW w:w="3200" w:type="dxa"/>
            <w:shd w:val="clear" w:color="auto" w:fill="F8FAFC"/>
          </w:tcPr>
          <w:p>
            <w:pPr>
              <w:spacing w:before="80" w:after="80"/>
              <w:jc w:val="left"/>
            </w:pPr>
            <w:r>
              <w:rPr>
                <w:rFonts w:ascii="Helvetica" w:hAnsi="Helvetica"/>
                <w:sz w:val="19"/>
                <w:color w:val="1E293B"/>
              </w:rPr>
              <w:t xml:space="preserve">Build notification service supporting in-app alerts, transactional emails, and webhook events.</w:t>
            </w:r>
          </w:p>
        </w:tc>
        <w:tc>
          <w:tcPr>
            <w:tcW w:w="2000" w:type="dxa"/>
            <w:shd w:val="clear" w:color="auto" w:fill="F8FAFC"/>
          </w:tcPr>
          <w:p>
            <w:pPr>
              <w:spacing w:before="80" w:after="80"/>
              <w:jc w:val="left"/>
            </w:pPr>
            <w:r>
              <w:rPr>
                <w:rFonts w:ascii="Helvetica" w:hAnsi="Helvetica"/>
                <w:sz w:val="19"/>
                <w:color w:val="1E293B"/>
              </w:rPr>
              <w:t xml:space="preserve">Keeps teams synchronized on document changes and expired certs.</w:t>
            </w:r>
          </w:p>
        </w:tc>
      </w:tr>
      <w:tr>
        <w:trPr>
          <w:cantSplit/>
        </w:trPr>
        <w:tc>
          <w:tcPr>
            <w:tcW w:w="480" w:type="dxa"/>
            <w:shd w:val="clear" w:color="auto" w:fill="FFFFFF"/>
          </w:tcPr>
          <w:p>
            <w:pPr>
              <w:spacing w:before="80" w:after="80"/>
              <w:jc w:val="left"/>
            </w:pPr>
            <w:r>
              <w:rPr>
                <w:rFonts w:ascii="Helvetica" w:hAnsi="Helvetica"/>
                <w:sz w:val="19"/>
                <w:color w:val="1E293B"/>
              </w:rPr>
              <w:t xml:space="preserve">19</w:t>
            </w:r>
          </w:p>
        </w:tc>
        <w:tc>
          <w:tcPr>
            <w:tcW w:w="1880" w:type="dxa"/>
            <w:shd w:val="clear" w:color="auto" w:fill="FFFFFF"/>
          </w:tcPr>
          <w:p>
            <w:pPr>
              <w:spacing w:before="80" w:after="80"/>
              <w:jc w:val="left"/>
            </w:pPr>
            <w:r>
              <w:rPr>
                <w:rFonts w:ascii="Helvetica" w:hAnsi="Helvetica"/>
                <w:sz w:val="19"/>
                <w:color w:val="1E293B"/>
              </w:rPr>
              <w:t xml:space="preserve">Feedback &amp; Knowledge
Improvement Loop</w:t>
            </w:r>
          </w:p>
        </w:tc>
        <w:tc>
          <w:tcPr>
            <w:tcW w:w="1800" w:type="dxa"/>
            <w:shd w:val="clear" w:color="auto" w:fill="FFFFFF"/>
          </w:tcPr>
          <w:p>
            <w:pPr>
              <w:spacing w:before="80" w:after="80"/>
              <w:jc w:val="left"/>
            </w:pPr>
            <w:r>
              <w:rPr>
                <w:rFonts w:ascii="Helvetica" w:hAnsi="Helvetica"/>
                <w:sz w:val="19"/>
                <w:color w:val="1E293B"/>
              </w:rPr>
              <w:t xml:space="preserve">Missing
(No feedback buttons)</w:t>
            </w:r>
          </w:p>
        </w:tc>
        <w:tc>
          <w:tcPr>
            <w:tcW w:w="3200" w:type="dxa"/>
            <w:shd w:val="clear" w:color="auto" w:fill="FFFFFF"/>
          </w:tcPr>
          <w:p>
            <w:pPr>
              <w:spacing w:before="80" w:after="80"/>
              <w:jc w:val="left"/>
            </w:pPr>
            <w:r>
              <w:rPr>
                <w:rFonts w:ascii="Helvetica" w:hAnsi="Helvetica"/>
                <w:sz w:val="19"/>
                <w:color w:val="1E293B"/>
              </w:rPr>
              <w:t xml:space="preserve">Add thumbs up/down and report issue buttons on AI answers; create ticket escalation for doc owners.</w:t>
            </w:r>
          </w:p>
        </w:tc>
        <w:tc>
          <w:tcPr>
            <w:tcW w:w="2000" w:type="dxa"/>
            <w:shd w:val="clear" w:color="auto" w:fill="FFFFFF"/>
          </w:tcPr>
          <w:p>
            <w:pPr>
              <w:spacing w:before="80" w:after="80"/>
              <w:jc w:val="left"/>
            </w:pPr>
            <w:r>
              <w:rPr>
                <w:rFonts w:ascii="Helvetica" w:hAnsi="Helvetica"/>
                <w:sz w:val="19"/>
                <w:color w:val="1E293B"/>
              </w:rPr>
              <w:t xml:space="preserve">Continuous automated refinement of documentation accuracy.</w:t>
            </w:r>
          </w:p>
        </w:tc>
      </w:tr>
      <w:tr>
        <w:trPr>
          <w:cantSplit/>
        </w:trPr>
        <w:tc>
          <w:tcPr>
            <w:tcW w:w="480" w:type="dxa"/>
            <w:shd w:val="clear" w:color="auto" w:fill="F8FAFC"/>
          </w:tcPr>
          <w:p>
            <w:pPr>
              <w:spacing w:before="80" w:after="80"/>
              <w:jc w:val="left"/>
            </w:pPr>
            <w:r>
              <w:rPr>
                <w:rFonts w:ascii="Helvetica" w:hAnsi="Helvetica"/>
                <w:sz w:val="19"/>
                <w:color w:val="1E293B"/>
              </w:rPr>
              <w:t xml:space="preserve">20</w:t>
            </w:r>
          </w:p>
        </w:tc>
        <w:tc>
          <w:tcPr>
            <w:tcW w:w="1880" w:type="dxa"/>
            <w:shd w:val="clear" w:color="auto" w:fill="F8FAFC"/>
          </w:tcPr>
          <w:p>
            <w:pPr>
              <w:spacing w:before="80" w:after="80"/>
              <w:jc w:val="left"/>
            </w:pPr>
            <w:r>
              <w:rPr>
                <w:rFonts w:ascii="Helvetica" w:hAnsi="Helvetica"/>
                <w:sz w:val="19"/>
                <w:color w:val="1E293B"/>
              </w:rPr>
              <w:t xml:space="preserve">Analytics &amp; Reporting
(Knowledge Intelligence)</w:t>
            </w:r>
          </w:p>
        </w:tc>
        <w:tc>
          <w:tcPr>
            <w:tcW w:w="1800" w:type="dxa"/>
            <w:shd w:val="clear" w:color="auto" w:fill="F8FAFC"/>
          </w:tcPr>
          <w:p>
            <w:pPr>
              <w:spacing w:before="80" w:after="80"/>
              <w:jc w:val="left"/>
            </w:pPr>
            <w:r>
              <w:rPr>
                <w:rFonts w:ascii="Helvetica" w:hAnsi="Helvetica"/>
                <w:sz w:val="19"/>
                <w:color w:val="1E293B"/>
              </w:rPr>
              <w:t xml:space="preserve">Missing
(Basic lead table)</w:t>
            </w:r>
          </w:p>
        </w:tc>
        <w:tc>
          <w:tcPr>
            <w:tcW w:w="3200" w:type="dxa"/>
            <w:shd w:val="clear" w:color="auto" w:fill="F8FAFC"/>
          </w:tcPr>
          <w:p>
            <w:pPr>
              <w:spacing w:before="80" w:after="80"/>
              <w:jc w:val="left"/>
            </w:pPr>
            <w:r>
              <w:rPr>
                <w:rFonts w:ascii="Helvetica" w:hAnsi="Helvetica"/>
                <w:sz w:val="19"/>
                <w:color w:val="1E293B"/>
              </w:rPr>
              <w:t xml:space="preserve">Build analytics dashboard showing top search terms, knowledge gaps, and quiz fail distributions.</w:t>
            </w:r>
          </w:p>
        </w:tc>
        <w:tc>
          <w:tcPr>
            <w:tcW w:w="2000" w:type="dxa"/>
            <w:shd w:val="clear" w:color="auto" w:fill="F8FAFC"/>
          </w:tcPr>
          <w:p>
            <w:pPr>
              <w:spacing w:before="80" w:after="80"/>
              <w:jc w:val="left"/>
            </w:pPr>
            <w:r>
              <w:rPr>
                <w:rFonts w:ascii="Helvetica" w:hAnsi="Helvetica"/>
                <w:sz w:val="19"/>
                <w:color w:val="1E293B"/>
              </w:rPr>
              <w:t xml:space="preserve">Provides actionable business intelligence on documentation gaps.</w:t>
            </w:r>
          </w:p>
        </w:tc>
      </w:tr>
      <w:tr>
        <w:trPr>
          <w:cantSplit/>
        </w:trPr>
        <w:tc>
          <w:tcPr>
            <w:tcW w:w="480" w:type="dxa"/>
            <w:shd w:val="clear" w:color="auto" w:fill="FFFFFF"/>
          </w:tcPr>
          <w:p>
            <w:pPr>
              <w:spacing w:before="80" w:after="80"/>
              <w:jc w:val="left"/>
            </w:pPr>
            <w:r>
              <w:rPr>
                <w:rFonts w:ascii="Helvetica" w:hAnsi="Helvetica"/>
                <w:sz w:val="19"/>
                <w:color w:val="1E293B"/>
              </w:rPr>
              <w:t xml:space="preserve">21</w:t>
            </w:r>
          </w:p>
        </w:tc>
        <w:tc>
          <w:tcPr>
            <w:tcW w:w="1880" w:type="dxa"/>
            <w:shd w:val="clear" w:color="auto" w:fill="FFFFFF"/>
          </w:tcPr>
          <w:p>
            <w:pPr>
              <w:spacing w:before="80" w:after="80"/>
              <w:jc w:val="left"/>
            </w:pPr>
            <w:r>
              <w:rPr>
                <w:rFonts w:ascii="Helvetica" w:hAnsi="Helvetica"/>
                <w:sz w:val="19"/>
                <w:color w:val="1E293B"/>
              </w:rPr>
              <w:t xml:space="preserve">Activity &amp; Audit History
(Immutable Logs)</w:t>
            </w:r>
          </w:p>
        </w:tc>
        <w:tc>
          <w:tcPr>
            <w:tcW w:w="1800" w:type="dxa"/>
            <w:shd w:val="clear" w:color="auto" w:fill="FFFFFF"/>
          </w:tcPr>
          <w:p>
            <w:pPr>
              <w:spacing w:before="80" w:after="80"/>
              <w:jc w:val="left"/>
            </w:pPr>
            <w:r>
              <w:rPr>
                <w:rFonts w:ascii="Helvetica" w:hAnsi="Helvetica"/>
                <w:sz w:val="19"/>
                <w:color w:val="1E293B"/>
              </w:rPr>
              <w:t xml:space="preserve">Missing
(Basic chat logs)</w:t>
            </w:r>
          </w:p>
        </w:tc>
        <w:tc>
          <w:tcPr>
            <w:tcW w:w="3200" w:type="dxa"/>
            <w:shd w:val="clear" w:color="auto" w:fill="FFFFFF"/>
          </w:tcPr>
          <w:p>
            <w:pPr>
              <w:spacing w:before="80" w:after="80"/>
              <w:jc w:val="left"/>
            </w:pPr>
            <w:r>
              <w:rPr>
                <w:rFonts w:ascii="Helvetica" w:hAnsi="Helvetica"/>
                <w:sz w:val="19"/>
                <w:color w:val="1E293B"/>
              </w:rPr>
              <w:t xml:space="preserve">Build append-only audit_logs table tracking user, IP, action, timestamp, and version accessed.</w:t>
            </w:r>
          </w:p>
        </w:tc>
        <w:tc>
          <w:tcPr>
            <w:tcW w:w="2000" w:type="dxa"/>
            <w:shd w:val="clear" w:color="auto" w:fill="FFFFFF"/>
          </w:tcPr>
          <w:p>
            <w:pPr>
              <w:spacing w:before="80" w:after="80"/>
              <w:jc w:val="left"/>
            </w:pPr>
            <w:r>
              <w:rPr>
                <w:rFonts w:ascii="Helvetica" w:hAnsi="Helvetica"/>
                <w:sz w:val="19"/>
                <w:color w:val="1E293B"/>
              </w:rPr>
              <w:t xml:space="preserve">Guarantees full audit readiness for ISO 9001 and EU MDR inspectors.</w:t>
            </w:r>
          </w:p>
        </w:tc>
      </w:tr>
      <w:tr>
        <w:trPr>
          <w:cantSplit/>
        </w:trPr>
        <w:tc>
          <w:tcPr>
            <w:tcW w:w="480" w:type="dxa"/>
            <w:shd w:val="clear" w:color="auto" w:fill="F8FAFC"/>
          </w:tcPr>
          <w:p>
            <w:pPr>
              <w:spacing w:before="80" w:after="80"/>
              <w:jc w:val="left"/>
            </w:pPr>
            <w:r>
              <w:rPr>
                <w:rFonts w:ascii="Helvetica" w:hAnsi="Helvetica"/>
                <w:sz w:val="19"/>
                <w:color w:val="1E293B"/>
              </w:rPr>
              <w:t xml:space="preserve">22</w:t>
            </w:r>
          </w:p>
        </w:tc>
        <w:tc>
          <w:tcPr>
            <w:tcW w:w="1880" w:type="dxa"/>
            <w:shd w:val="clear" w:color="auto" w:fill="F8FAFC"/>
          </w:tcPr>
          <w:p>
            <w:pPr>
              <w:spacing w:before="80" w:after="80"/>
              <w:jc w:val="left"/>
            </w:pPr>
            <w:r>
              <w:rPr>
                <w:rFonts w:ascii="Helvetica" w:hAnsi="Helvetica"/>
                <w:sz w:val="19"/>
                <w:color w:val="1E293B"/>
              </w:rPr>
              <w:t xml:space="preserve">Enterprise Integrations
(Connected Knowledge)</w:t>
            </w:r>
          </w:p>
        </w:tc>
        <w:tc>
          <w:tcPr>
            <w:tcW w:w="1800" w:type="dxa"/>
            <w:shd w:val="clear" w:color="auto" w:fill="F8FAFC"/>
          </w:tcPr>
          <w:p>
            <w:pPr>
              <w:spacing w:before="80" w:after="80"/>
              <w:jc w:val="left"/>
            </w:pPr>
            <w:r>
              <w:rPr>
                <w:rFonts w:ascii="Helvetica" w:hAnsi="Helvetica"/>
                <w:sz w:val="19"/>
                <w:color w:val="1E293B"/>
              </w:rPr>
              <w:t xml:space="preserve">Missing
(Uploads only)</w:t>
            </w:r>
          </w:p>
        </w:tc>
        <w:tc>
          <w:tcPr>
            <w:tcW w:w="3200" w:type="dxa"/>
            <w:shd w:val="clear" w:color="auto" w:fill="F8FAFC"/>
          </w:tcPr>
          <w:p>
            <w:pPr>
              <w:spacing w:before="80" w:after="80"/>
              <w:jc w:val="left"/>
            </w:pPr>
            <w:r>
              <w:rPr>
                <w:rFonts w:ascii="Helvetica" w:hAnsi="Helvetica"/>
                <w:sz w:val="19"/>
                <w:color w:val="1E293B"/>
              </w:rPr>
              <w:t xml:space="preserve">Build sync connectors for SharePoint, Google Drive, SAP, and Akeneo PIM with ACL inheritance.</w:t>
            </w:r>
          </w:p>
        </w:tc>
        <w:tc>
          <w:tcPr>
            <w:tcW w:w="2000" w:type="dxa"/>
            <w:shd w:val="clear" w:color="auto" w:fill="F8FAFC"/>
          </w:tcPr>
          <w:p>
            <w:pPr>
              <w:spacing w:before="80" w:after="80"/>
              <w:jc w:val="left"/>
            </w:pPr>
            <w:r>
              <w:rPr>
                <w:rFonts w:ascii="Helvetica" w:hAnsi="Helvetica"/>
                <w:sz w:val="19"/>
                <w:color w:val="1E293B"/>
              </w:rPr>
              <w:t xml:space="preserve">Automates enterprise knowledge ingestion from existing corporate silos.</w:t>
            </w:r>
          </w:p>
        </w:tc>
      </w:tr>
    </w:tbl>
    <w:p>
      <w:pPr>
        <w:spacing w:before="60" w:after="160"/>
      </w:pPr>
    </w:p>
    <w:p>
      <w:r>
        <w:br w:type="page"/>
      </w:r>
    </w:p>
    <w:p>
      <w:pPr>
        <w:pStyle w:val="Heading1"/>
        <w:spacing w:before="400" w:after="120"/>
      </w:pPr>
      <w:r>
        <w:rPr>
          <w:rFonts w:ascii="Helvetica" w:hAnsi="Helvetica"/>
          <w:b/>
          <w:sz w:val="36"/>
          <w:color w:val="1E3A8A"/>
        </w:rPr>
        <w:t>6. Pillar 4: Compliance, Governance &amp; Security Blueprint</w:t>
      </w:r>
    </w:p>
    <w:p>
      <w:pPr>
        <w:spacing w:before="60" w:after="120" w:line="276" w:lineRule="auto"/>
      </w:pPr>
      <w:r>
        <w:rPr>
          <w:rFonts w:ascii="Helvetica" w:hAnsi="Helvetica"/>
          <w:sz w:val="22"/>
          <w:color w:val="334155"/>
        </w:rPr>
        <w:t xml:space="preserve">Unlike generic B2B software, KiaviIQ is engineered specifically for regulated manufacturing environments. The system architecture directly incorporates compliance requirements for EU MDR, IATF 16949, EU AI Act, and GDPR.</w:t>
      </w:r>
    </w:p>
    <w:p>
      <w:pPr>
        <w:pStyle w:val="ListParagraph"/>
        <w:numPr>
          <w:ilvl w:val="0"/>
          <w:numId w:val="1"/>
        </w:numPr>
        <w:spacing w:before="40" w:after="60"/>
        <w:ind w:left="360"/>
      </w:pPr>
      <w:r>
        <w:rPr>
          <w:rFonts w:ascii="Helvetica" w:hAnsi="Helvetica"/>
          <w:b/>
          <w:sz w:val="22"/>
          <w:color w:val="1E293B"/>
        </w:rPr>
        <w:t xml:space="preserve">EU MDR &amp; IATF 16949 Audit Traceability: </w:t>
      </w:r>
      <w:r>
        <w:rPr>
          <w:rFonts w:ascii="Helvetica" w:hAnsi="Helvetica"/>
          <w:sz w:val="22"/>
          <w:color w:val="334155"/>
        </w:rPr>
        <w:t xml:space="preserve">In the event of a product recall or liability investigation, the platform provides immutable cryptographic proof that on a specific date, a specific technician downloaded version 1.2 of an installation guide and successfully passed certification with an 85% score.</w:t>
      </w:r>
    </w:p>
    <w:p>
      <w:pPr>
        <w:pStyle w:val="ListParagraph"/>
        <w:numPr>
          <w:ilvl w:val="0"/>
          <w:numId w:val="1"/>
        </w:numPr>
        <w:spacing w:before="40" w:after="60"/>
        <w:ind w:left="360"/>
      </w:pPr>
      <w:r>
        <w:rPr>
          <w:rFonts w:ascii="Helvetica" w:hAnsi="Helvetica"/>
          <w:b/>
          <w:sz w:val="22"/>
          <w:color w:val="1E293B"/>
        </w:rPr>
        <w:t xml:space="preserve">EU AI Act Transparency Compliance: </w:t>
      </w:r>
      <w:r>
        <w:rPr>
          <w:rFonts w:ascii="Helvetica" w:hAnsi="Helvetica"/>
          <w:sz w:val="22"/>
          <w:color w:val="334155"/>
        </w:rPr>
        <w:t xml:space="preserve">All AI-generated answers display mandatory visual indicators: 'AI-Generated Response grounded in Verified Sources'. Furthermore, translations display explicit badges distinguishing 'SME-Verified Translation' (green) from 'AI-Generated Translation (Unverified)' (amber).</w:t>
      </w:r>
    </w:p>
    <w:p>
      <w:pPr>
        <w:pStyle w:val="ListParagraph"/>
        <w:numPr>
          <w:ilvl w:val="0"/>
          <w:numId w:val="1"/>
        </w:numPr>
        <w:spacing w:before="40" w:after="60"/>
        <w:ind w:left="360"/>
      </w:pPr>
      <w:r>
        <w:rPr>
          <w:rFonts w:ascii="Helvetica" w:hAnsi="Helvetica"/>
          <w:b/>
          <w:sz w:val="22"/>
          <w:color w:val="1E293B"/>
        </w:rPr>
        <w:t xml:space="preserve">Immutable AI Decision Audit Trail: </w:t>
      </w:r>
      <w:r>
        <w:rPr>
          <w:rFonts w:ascii="Helvetica" w:hAnsi="Helvetica"/>
          <w:sz w:val="22"/>
          <w:color w:val="334155"/>
        </w:rPr>
        <w:t xml:space="preserve">For every conversational inference or automated agent decision, the system logs the exact retrieved chunk IDs, source document versions, and model parameters into an append-only compliance table.</w:t>
      </w:r>
    </w:p>
    <w:p>
      <w:pPr>
        <w:pStyle w:val="ListParagraph"/>
        <w:numPr>
          <w:ilvl w:val="0"/>
          <w:numId w:val="1"/>
        </w:numPr>
        <w:spacing w:before="40" w:after="60"/>
        <w:ind w:left="360"/>
      </w:pPr>
      <w:r>
        <w:rPr>
          <w:rFonts w:ascii="Helvetica" w:hAnsi="Helvetica"/>
          <w:b/>
          <w:sz w:val="22"/>
          <w:color w:val="1E293B"/>
        </w:rPr>
        <w:t xml:space="preserve">GDPR Data Residency &amp; RTBF: </w:t>
      </w:r>
      <w:r>
        <w:rPr>
          <w:rFonts w:ascii="Helvetica" w:hAnsi="Helvetica"/>
          <w:sz w:val="22"/>
          <w:color w:val="334155"/>
        </w:rPr>
        <w:t xml:space="preserve">All European customer data, embeddings, and object storage are strictly hosted in EU AWS regions (Frankfurt / Ireland). Automated Right to be Forgotten (RTBF) workflows purge personal identifiers while preserving anonymized training compliance records.</w:t>
      </w:r>
    </w:p>
    <w:p>
      <w:r>
        <w:br w:type="page"/>
      </w:r>
    </w:p>
    <w:p>
      <w:pPr>
        <w:pStyle w:val="Heading1"/>
        <w:spacing w:before="400" w:after="120"/>
      </w:pPr>
      <w:r>
        <w:rPr>
          <w:rFonts w:ascii="Helvetica" w:hAnsi="Helvetica"/>
          <w:b/>
          <w:sz w:val="36"/>
          <w:color w:val="1E3A8A"/>
        </w:rPr>
        <w:t>7. Competitor Comparison &amp; Unique Strategic Moat</w:t>
      </w:r>
    </w:p>
    <w:p>
      <w:pPr>
        <w:spacing w:before="60" w:after="120" w:line="276" w:lineRule="auto"/>
      </w:pPr>
      <w:r>
        <w:rPr>
          <w:rFonts w:ascii="Helvetica" w:hAnsi="Helvetica"/>
          <w:sz w:val="22"/>
          <w:color w:val="334155"/>
        </w:rPr>
        <w:t xml:space="preserve">A common misconception is that KiaviIQ competes directly with horizontal workplace search tools like Glean or knowledge wikis like Guru. KiaviIQ occupies a distinct, defensible market position at the intersection of physical engineering specifications, external B2B partner distribution, and certified workforce education.</w:t>
      </w:r>
    </w:p>
    <w:tbl>
      <w:tblPr>
        <w:tblW w:w="936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60" w:type="dxa"/>
          <w:bottom w:w="120" w:type="dxa"/>
          <w:right w:w="160" w:type="dxa"/>
        </w:tblCellMar>
      </w:tblPr>
      <w:tr>
        <w:trPr>
          <w:tblHeader/>
          <w:cantSplit/>
        </w:trPr>
        <w:tc>
          <w:tcPr>
            <w:tcW w:w="1600" w:type="dxa"/>
            <w:shd w:val="clear" w:color="auto" w:fill="1E3A8A"/>
          </w:tcPr>
          <w:p>
            <w:pPr>
              <w:spacing w:before="120" w:after="120"/>
              <w:jc w:val="left"/>
            </w:pPr>
            <w:r>
              <w:rPr>
                <w:rFonts w:ascii="Helvetica" w:hAnsi="Helvetica"/>
                <w:b/>
                <w:sz w:val="20"/>
                <w:color w:val="FFFFFF"/>
              </w:rPr>
              <w:t>Competitor</w:t>
            </w:r>
          </w:p>
        </w:tc>
        <w:tc>
          <w:tcPr>
            <w:tcW w:w="2200" w:type="dxa"/>
            <w:shd w:val="clear" w:color="auto" w:fill="1E3A8A"/>
          </w:tcPr>
          <w:p>
            <w:pPr>
              <w:spacing w:before="120" w:after="120"/>
              <w:jc w:val="left"/>
            </w:pPr>
            <w:r>
              <w:rPr>
                <w:rFonts w:ascii="Helvetica" w:hAnsi="Helvetica"/>
                <w:b/>
                <w:sz w:val="20"/>
                <w:color w:val="FFFFFF"/>
              </w:rPr>
              <w:t>Primary Focus</w:t>
            </w:r>
          </w:p>
        </w:tc>
        <w:tc>
          <w:tcPr>
            <w:tcW w:w="2400" w:type="dxa"/>
            <w:shd w:val="clear" w:color="auto" w:fill="1E3A8A"/>
          </w:tcPr>
          <w:p>
            <w:pPr>
              <w:spacing w:before="120" w:after="120"/>
              <w:jc w:val="left"/>
            </w:pPr>
            <w:r>
              <w:rPr>
                <w:rFonts w:ascii="Helvetica" w:hAnsi="Helvetica"/>
                <w:b/>
                <w:sz w:val="20"/>
                <w:color w:val="FFFFFF"/>
              </w:rPr>
              <w:t>Where KiaviIQ is Identical</w:t>
            </w:r>
          </w:p>
        </w:tc>
        <w:tc>
          <w:tcPr>
            <w:tcW w:w="3160" w:type="dxa"/>
            <w:shd w:val="clear" w:color="auto" w:fill="1E3A8A"/>
          </w:tcPr>
          <w:p>
            <w:pPr>
              <w:spacing w:before="120" w:after="120"/>
              <w:jc w:val="left"/>
            </w:pPr>
            <w:r>
              <w:rPr>
                <w:rFonts w:ascii="Helvetica" w:hAnsi="Helvetica"/>
                <w:b/>
                <w:sz w:val="20"/>
                <w:color w:val="FFFFFF"/>
              </w:rPr>
              <w:t>Where KiaviIQ Wins / Differentiates</w:t>
            </w:r>
          </w:p>
        </w:tc>
      </w:tr>
      <w:tr>
        <w:trPr>
          <w:cantSplit/>
        </w:trPr>
        <w:tc>
          <w:tcPr>
            <w:tcW w:w="1600" w:type="dxa"/>
            <w:shd w:val="clear" w:color="auto" w:fill="FFFFFF"/>
          </w:tcPr>
          <w:p>
            <w:pPr>
              <w:spacing w:before="80" w:after="80"/>
              <w:jc w:val="left"/>
            </w:pPr>
            <w:r>
              <w:rPr>
                <w:rFonts w:ascii="Helvetica" w:hAnsi="Helvetica"/>
                <w:sz w:val="19"/>
                <w:color w:val="1E293B"/>
              </w:rPr>
              <w:t xml:space="preserve">Glean</w:t>
            </w:r>
          </w:p>
        </w:tc>
        <w:tc>
          <w:tcPr>
            <w:tcW w:w="2200" w:type="dxa"/>
            <w:shd w:val="clear" w:color="auto" w:fill="FFFFFF"/>
          </w:tcPr>
          <w:p>
            <w:pPr>
              <w:spacing w:before="80" w:after="80"/>
              <w:jc w:val="left"/>
            </w:pPr>
            <w:r>
              <w:rPr>
                <w:rFonts w:ascii="Helvetica" w:hAnsi="Helvetica"/>
                <w:sz w:val="19"/>
                <w:color w:val="1E293B"/>
              </w:rPr>
              <w:t xml:space="preserve">Horizontal internal enterprise search across workplace tools (Google Drive, Slack, Jira).</w:t>
            </w:r>
          </w:p>
        </w:tc>
        <w:tc>
          <w:tcPr>
            <w:tcW w:w="2400" w:type="dxa"/>
            <w:shd w:val="clear" w:color="auto" w:fill="FFFFFF"/>
          </w:tcPr>
          <w:p>
            <w:pPr>
              <w:spacing w:before="80" w:after="80"/>
              <w:jc w:val="left"/>
            </w:pPr>
            <w:r>
              <w:rPr>
                <w:rFonts w:ascii="Helvetica" w:hAnsi="Helvetica"/>
                <w:sz w:val="19"/>
                <w:color w:val="1E293B"/>
              </w:rPr>
              <w:t xml:space="preserve">Natural language RAG with strict permission checks and multi-source connectors.</w:t>
            </w:r>
          </w:p>
        </w:tc>
        <w:tc>
          <w:tcPr>
            <w:tcW w:w="3160" w:type="dxa"/>
            <w:shd w:val="clear" w:color="auto" w:fill="FFFFFF"/>
          </w:tcPr>
          <w:p>
            <w:pPr>
              <w:spacing w:before="80" w:after="80"/>
              <w:jc w:val="left"/>
            </w:pPr>
            <w:r>
              <w:rPr>
                <w:rFonts w:ascii="Helvetica" w:hAnsi="Helvetica"/>
                <w:sz w:val="19"/>
                <w:color w:val="1E293B"/>
              </w:rPr>
              <w:t xml:space="preserve">Glean is strictly internal and lacks external B2B partner portals, parametric SKU catalogs, physical part fitment, and an integrated certified LMS.</w:t>
            </w:r>
          </w:p>
        </w:tc>
      </w:tr>
      <w:tr>
        <w:trPr>
          <w:cantSplit/>
        </w:trPr>
        <w:tc>
          <w:tcPr>
            <w:tcW w:w="1600" w:type="dxa"/>
            <w:shd w:val="clear" w:color="auto" w:fill="F8FAFC"/>
          </w:tcPr>
          <w:p>
            <w:pPr>
              <w:spacing w:before="80" w:after="80"/>
              <w:jc w:val="left"/>
            </w:pPr>
            <w:r>
              <w:rPr>
                <w:rFonts w:ascii="Helvetica" w:hAnsi="Helvetica"/>
                <w:sz w:val="19"/>
                <w:color w:val="1E293B"/>
              </w:rPr>
              <w:t xml:space="preserve">Guru</w:t>
            </w:r>
          </w:p>
        </w:tc>
        <w:tc>
          <w:tcPr>
            <w:tcW w:w="2200" w:type="dxa"/>
            <w:shd w:val="clear" w:color="auto" w:fill="F8FAFC"/>
          </w:tcPr>
          <w:p>
            <w:pPr>
              <w:spacing w:before="80" w:after="80"/>
              <w:jc w:val="left"/>
            </w:pPr>
            <w:r>
              <w:rPr>
                <w:rFonts w:ascii="Helvetica" w:hAnsi="Helvetica"/>
                <w:sz w:val="19"/>
                <w:color w:val="1E293B"/>
              </w:rPr>
              <w:t xml:space="preserve">Internal knowledge base cards and browser extensions for support/sales teams.</w:t>
            </w:r>
          </w:p>
        </w:tc>
        <w:tc>
          <w:tcPr>
            <w:tcW w:w="2400" w:type="dxa"/>
            <w:shd w:val="clear" w:color="auto" w:fill="F8FAFC"/>
          </w:tcPr>
          <w:p>
            <w:pPr>
              <w:spacing w:before="80" w:after="80"/>
              <w:jc w:val="left"/>
            </w:pPr>
            <w:r>
              <w:rPr>
                <w:rFonts w:ascii="Helvetica" w:hAnsi="Helvetica"/>
                <w:sz w:val="19"/>
                <w:color w:val="1E293B"/>
              </w:rPr>
              <w:t xml:space="preserve">Verified knowledge workflows, SME verification badges, and duplicate content detection.</w:t>
            </w:r>
          </w:p>
        </w:tc>
        <w:tc>
          <w:tcPr>
            <w:tcW w:w="3160" w:type="dxa"/>
            <w:shd w:val="clear" w:color="auto" w:fill="F8FAFC"/>
          </w:tcPr>
          <w:p>
            <w:pPr>
              <w:spacing w:before="80" w:after="80"/>
              <w:jc w:val="left"/>
            </w:pPr>
            <w:r>
              <w:rPr>
                <w:rFonts w:ascii="Helvetica" w:hAnsi="Helvetica"/>
                <w:sz w:val="19"/>
                <w:color w:val="1E293B"/>
              </w:rPr>
              <w:t xml:space="preserve">Guru lacks deep parametric SKU filtering, physical CAD/specification modeling, and a complete course/quiz certification LMS engine.</w:t>
            </w:r>
          </w:p>
        </w:tc>
      </w:tr>
      <w:tr>
        <w:trPr>
          <w:cantSplit/>
        </w:trPr>
        <w:tc>
          <w:tcPr>
            <w:tcW w:w="1600" w:type="dxa"/>
            <w:shd w:val="clear" w:color="auto" w:fill="FFFFFF"/>
          </w:tcPr>
          <w:p>
            <w:pPr>
              <w:spacing w:before="80" w:after="80"/>
              <w:jc w:val="left"/>
            </w:pPr>
            <w:r>
              <w:rPr>
                <w:rFonts w:ascii="Helvetica" w:hAnsi="Helvetica"/>
                <w:sz w:val="19"/>
                <w:color w:val="1E293B"/>
              </w:rPr>
              <w:t xml:space="preserve">Sana Labs</w:t>
            </w:r>
          </w:p>
        </w:tc>
        <w:tc>
          <w:tcPr>
            <w:tcW w:w="2200" w:type="dxa"/>
            <w:shd w:val="clear" w:color="auto" w:fill="FFFFFF"/>
          </w:tcPr>
          <w:p>
            <w:pPr>
              <w:spacing w:before="80" w:after="80"/>
              <w:jc w:val="left"/>
            </w:pPr>
            <w:r>
              <w:rPr>
                <w:rFonts w:ascii="Helvetica" w:hAnsi="Helvetica"/>
                <w:sz w:val="19"/>
                <w:color w:val="1E293B"/>
              </w:rPr>
              <w:t xml:space="preserve">AI-first corporate LMS and internal corporate learning assistant.</w:t>
            </w:r>
          </w:p>
        </w:tc>
        <w:tc>
          <w:tcPr>
            <w:tcW w:w="2400" w:type="dxa"/>
            <w:shd w:val="clear" w:color="auto" w:fill="FFFFFF"/>
          </w:tcPr>
          <w:p>
            <w:pPr>
              <w:spacing w:before="80" w:after="80"/>
              <w:jc w:val="left"/>
            </w:pPr>
            <w:r>
              <w:rPr>
                <w:rFonts w:ascii="Helvetica" w:hAnsi="Helvetica"/>
                <w:sz w:val="19"/>
                <w:color w:val="1E293B"/>
              </w:rPr>
              <w:t xml:space="preserve">AI course authoring, in-course AI tutor, learning paths, and interactive quizzes.</w:t>
            </w:r>
          </w:p>
        </w:tc>
        <w:tc>
          <w:tcPr>
            <w:tcW w:w="3160" w:type="dxa"/>
            <w:shd w:val="clear" w:color="auto" w:fill="FFFFFF"/>
          </w:tcPr>
          <w:p>
            <w:pPr>
              <w:spacing w:before="80" w:after="80"/>
              <w:jc w:val="left"/>
            </w:pPr>
            <w:r>
              <w:rPr>
                <w:rFonts w:ascii="Helvetica" w:hAnsi="Helvetica"/>
                <w:sz w:val="19"/>
                <w:color w:val="1E293B"/>
              </w:rPr>
              <w:t xml:space="preserve">Sana is built for generic corporate HR training. KiaviIQ models physical engineered products, PLM/PIM syncing, CAD datasheets, and part fitment.</w:t>
            </w:r>
          </w:p>
        </w:tc>
      </w:tr>
      <w:tr>
        <w:trPr>
          <w:cantSplit/>
        </w:trPr>
        <w:tc>
          <w:tcPr>
            <w:tcW w:w="1600" w:type="dxa"/>
            <w:shd w:val="clear" w:color="auto" w:fill="F8FAFC"/>
          </w:tcPr>
          <w:p>
            <w:pPr>
              <w:spacing w:before="80" w:after="80"/>
              <w:jc w:val="left"/>
            </w:pPr>
            <w:r>
              <w:rPr>
                <w:rFonts w:ascii="Helvetica" w:hAnsi="Helvetica"/>
                <w:sz w:val="19"/>
                <w:color w:val="1E293B"/>
              </w:rPr>
              <w:t xml:space="preserve">Coveo</w:t>
            </w:r>
          </w:p>
        </w:tc>
        <w:tc>
          <w:tcPr>
            <w:tcW w:w="2200" w:type="dxa"/>
            <w:shd w:val="clear" w:color="auto" w:fill="F8FAFC"/>
          </w:tcPr>
          <w:p>
            <w:pPr>
              <w:spacing w:before="80" w:after="80"/>
              <w:jc w:val="left"/>
            </w:pPr>
            <w:r>
              <w:rPr>
                <w:rFonts w:ascii="Helvetica" w:hAnsi="Helvetica"/>
                <w:sz w:val="19"/>
                <w:color w:val="1E293B"/>
              </w:rPr>
              <w:t xml:space="preserve">Search-as-a-service infrastructure for eCommerce and customer support.</w:t>
            </w:r>
          </w:p>
        </w:tc>
        <w:tc>
          <w:tcPr>
            <w:tcW w:w="2400" w:type="dxa"/>
            <w:shd w:val="clear" w:color="auto" w:fill="F8FAFC"/>
          </w:tcPr>
          <w:p>
            <w:pPr>
              <w:spacing w:before="80" w:after="80"/>
              <w:jc w:val="left"/>
            </w:pPr>
            <w:r>
              <w:rPr>
                <w:rFonts w:ascii="Helvetica" w:hAnsi="Helvetica"/>
                <w:sz w:val="19"/>
                <w:color w:val="1E293B"/>
              </w:rPr>
              <w:t xml:space="preserve">Highly accurate hybrid search, faceted filtering, and relevance tuning.</w:t>
            </w:r>
          </w:p>
        </w:tc>
        <w:tc>
          <w:tcPr>
            <w:tcW w:w="3160" w:type="dxa"/>
            <w:shd w:val="clear" w:color="auto" w:fill="F8FAFC"/>
          </w:tcPr>
          <w:p>
            <w:pPr>
              <w:spacing w:before="80" w:after="80"/>
              <w:jc w:val="left"/>
            </w:pPr>
            <w:r>
              <w:rPr>
                <w:rFonts w:ascii="Helvetica" w:hAnsi="Helvetica"/>
                <w:sz w:val="19"/>
                <w:color w:val="1E293B"/>
              </w:rPr>
              <w:t xml:space="preserve">Coveo is raw developer infrastructure requiring extensive custom code. KiaviIQ is a turnkey SaaS platform with built-in knowledge lifecycles and an LMS.</w:t>
            </w:r>
          </w:p>
        </w:tc>
      </w:tr>
      <w:tr>
        <w:trPr>
          <w:cantSplit/>
        </w:trPr>
        <w:tc>
          <w:tcPr>
            <w:tcW w:w="1600" w:type="dxa"/>
            <w:shd w:val="clear" w:color="auto" w:fill="FFFFFF"/>
          </w:tcPr>
          <w:p>
            <w:pPr>
              <w:spacing w:before="80" w:after="80"/>
              <w:jc w:val="left"/>
            </w:pPr>
            <w:r>
              <w:rPr>
                <w:rFonts w:ascii="Helvetica" w:hAnsi="Helvetica"/>
                <w:sz w:val="19"/>
                <w:color w:val="1E293B"/>
              </w:rPr>
              <w:t xml:space="preserve">Moveworks</w:t>
            </w:r>
          </w:p>
        </w:tc>
        <w:tc>
          <w:tcPr>
            <w:tcW w:w="2200" w:type="dxa"/>
            <w:shd w:val="clear" w:color="auto" w:fill="FFFFFF"/>
          </w:tcPr>
          <w:p>
            <w:pPr>
              <w:spacing w:before="80" w:after="80"/>
              <w:jc w:val="left"/>
            </w:pPr>
            <w:r>
              <w:rPr>
                <w:rFonts w:ascii="Helvetica" w:hAnsi="Helvetica"/>
                <w:sz w:val="19"/>
                <w:color w:val="1E293B"/>
              </w:rPr>
              <w:t xml:space="preserve">Automated IT/HR employee support bot for Slack/Teams ticket deflection.</w:t>
            </w:r>
          </w:p>
        </w:tc>
        <w:tc>
          <w:tcPr>
            <w:tcW w:w="2400" w:type="dxa"/>
            <w:shd w:val="clear" w:color="auto" w:fill="FFFFFF"/>
          </w:tcPr>
          <w:p>
            <w:pPr>
              <w:spacing w:before="80" w:after="80"/>
              <w:jc w:val="left"/>
            </w:pPr>
            <w:r>
              <w:rPr>
                <w:rFonts w:ascii="Helvetica" w:hAnsi="Helvetica"/>
                <w:sz w:val="19"/>
                <w:color w:val="1E293B"/>
              </w:rPr>
              <w:t xml:space="preserve">Conversational natural language Q&amp;A and enterprise connector access.</w:t>
            </w:r>
          </w:p>
        </w:tc>
        <w:tc>
          <w:tcPr>
            <w:tcW w:w="3160" w:type="dxa"/>
            <w:shd w:val="clear" w:color="auto" w:fill="FFFFFF"/>
          </w:tcPr>
          <w:p>
            <w:pPr>
              <w:spacing w:before="80" w:after="80"/>
              <w:jc w:val="left"/>
            </w:pPr>
            <w:r>
              <w:rPr>
                <w:rFonts w:ascii="Helvetica" w:hAnsi="Helvetica"/>
                <w:sz w:val="19"/>
                <w:color w:val="1E293B"/>
              </w:rPr>
              <w:t xml:space="preserve">Moveworks focuses exclusively on internal IT ticketing. KiaviIQ focuses on complex engineering specifications, external dealer education, and physical SKUs.</w:t>
            </w:r>
          </w:p>
        </w:tc>
      </w:tr>
      <w:tr>
        <w:trPr>
          <w:cantSplit/>
        </w:trPr>
        <w:tc>
          <w:tcPr>
            <w:tcW w:w="1600" w:type="dxa"/>
            <w:shd w:val="clear" w:color="auto" w:fill="F8FAFC"/>
          </w:tcPr>
          <w:p>
            <w:pPr>
              <w:spacing w:before="80" w:after="80"/>
              <w:jc w:val="left"/>
            </w:pPr>
            <w:r>
              <w:rPr>
                <w:rFonts w:ascii="Helvetica" w:hAnsi="Helvetica"/>
                <w:sz w:val="19"/>
                <w:color w:val="1E293B"/>
              </w:rPr>
              <w:t xml:space="preserve">Microsoft Copilot</w:t>
            </w:r>
          </w:p>
        </w:tc>
        <w:tc>
          <w:tcPr>
            <w:tcW w:w="2200" w:type="dxa"/>
            <w:shd w:val="clear" w:color="auto" w:fill="F8FAFC"/>
          </w:tcPr>
          <w:p>
            <w:pPr>
              <w:spacing w:before="80" w:after="80"/>
              <w:jc w:val="left"/>
            </w:pPr>
            <w:r>
              <w:rPr>
                <w:rFonts w:ascii="Helvetica" w:hAnsi="Helvetica"/>
                <w:sz w:val="19"/>
                <w:color w:val="1E293B"/>
              </w:rPr>
              <w:t xml:space="preserve">M365 productivity suite copilot (Word, Excel, Outlook, Teams).</w:t>
            </w:r>
          </w:p>
        </w:tc>
        <w:tc>
          <w:tcPr>
            <w:tcW w:w="2400" w:type="dxa"/>
            <w:shd w:val="clear" w:color="auto" w:fill="F8FAFC"/>
          </w:tcPr>
          <w:p>
            <w:pPr>
              <w:spacing w:before="80" w:after="80"/>
              <w:jc w:val="left"/>
            </w:pPr>
            <w:r>
              <w:rPr>
                <w:rFonts w:ascii="Helvetica" w:hAnsi="Helvetica"/>
                <w:sz w:val="19"/>
                <w:color w:val="1E293B"/>
              </w:rPr>
              <w:t xml:space="preserve">Enterprise data grounding, Microsoft 365 integrations, and security compliance.</w:t>
            </w:r>
          </w:p>
        </w:tc>
        <w:tc>
          <w:tcPr>
            <w:tcW w:w="3160" w:type="dxa"/>
            <w:shd w:val="clear" w:color="auto" w:fill="F8FAFC"/>
          </w:tcPr>
          <w:p>
            <w:pPr>
              <w:spacing w:before="80" w:after="80"/>
              <w:jc w:val="left"/>
            </w:pPr>
            <w:r>
              <w:rPr>
                <w:rFonts w:ascii="Helvetica" w:hAnsi="Helvetica"/>
                <w:sz w:val="19"/>
                <w:color w:val="1E293B"/>
              </w:rPr>
              <w:t xml:space="preserve">Copilot is strictly internal to M365. Its $30/user/month cost makes it financially impossible to deploy across 5,000 external dealership mechanics.</w:t>
            </w:r>
          </w:p>
        </w:tc>
      </w:tr>
      <w:tr>
        <w:trPr>
          <w:cantSplit/>
        </w:trPr>
        <w:tc>
          <w:tcPr>
            <w:tcW w:w="1600" w:type="dxa"/>
            <w:shd w:val="clear" w:color="auto" w:fill="FFFFFF"/>
          </w:tcPr>
          <w:p>
            <w:pPr>
              <w:spacing w:before="80" w:after="80"/>
              <w:jc w:val="left"/>
            </w:pPr>
            <w:r>
              <w:rPr>
                <w:rFonts w:ascii="Helvetica" w:hAnsi="Helvetica"/>
                <w:sz w:val="19"/>
                <w:color w:val="1E293B"/>
              </w:rPr>
              <w:t xml:space="preserve">Atlassian Rovo</w:t>
            </w:r>
          </w:p>
        </w:tc>
        <w:tc>
          <w:tcPr>
            <w:tcW w:w="2200" w:type="dxa"/>
            <w:shd w:val="clear" w:color="auto" w:fill="FFFFFF"/>
          </w:tcPr>
          <w:p>
            <w:pPr>
              <w:spacing w:before="80" w:after="80"/>
              <w:jc w:val="left"/>
            </w:pPr>
            <w:r>
              <w:rPr>
                <w:rFonts w:ascii="Helvetica" w:hAnsi="Helvetica"/>
                <w:sz w:val="19"/>
                <w:color w:val="1E293B"/>
              </w:rPr>
              <w:t xml:space="preserve">Cross-Atlassian search and agents (Jira, Confluence, Bitbucket).</w:t>
            </w:r>
          </w:p>
        </w:tc>
        <w:tc>
          <w:tcPr>
            <w:tcW w:w="2400" w:type="dxa"/>
            <w:shd w:val="clear" w:color="auto" w:fill="FFFFFF"/>
          </w:tcPr>
          <w:p>
            <w:pPr>
              <w:spacing w:before="80" w:after="80"/>
              <w:jc w:val="left"/>
            </w:pPr>
            <w:r>
              <w:rPr>
                <w:rFonts w:ascii="Helvetica" w:hAnsi="Helvetica"/>
                <w:sz w:val="19"/>
                <w:color w:val="1E293B"/>
              </w:rPr>
              <w:t xml:space="preserve">Knowledge synthesis across tickets and software documentation.</w:t>
            </w:r>
          </w:p>
        </w:tc>
        <w:tc>
          <w:tcPr>
            <w:tcW w:w="3160" w:type="dxa"/>
            <w:shd w:val="clear" w:color="auto" w:fill="FFFFFF"/>
          </w:tcPr>
          <w:p>
            <w:pPr>
              <w:spacing w:before="80" w:after="80"/>
              <w:jc w:val="left"/>
            </w:pPr>
            <w:r>
              <w:rPr>
                <w:rFonts w:ascii="Helvetica" w:hAnsi="Helvetica"/>
                <w:sz w:val="19"/>
                <w:color w:val="1E293B"/>
              </w:rPr>
              <w:t xml:space="preserve">Rovo is built purely for software development and IT teams. It is incapable of modeling physical medical devices, automotive fitment, or architectural hardware.</w:t>
            </w:r>
          </w:p>
        </w:tc>
      </w:tr>
    </w:tbl>
    <w:p>
      <w:pPr>
        <w:spacing w:before="60" w:after="160"/>
      </w:pPr>
    </w:p>
    <w:p>
      <w:pPr>
        <w:pStyle w:val="Heading2"/>
        <w:spacing w:before="300" w:after="120"/>
      </w:pPr>
      <w:r>
        <w:rPr>
          <w:rFonts w:ascii="Helvetica" w:hAnsi="Helvetica"/>
          <w:b/>
          <w:sz w:val="30"/>
          <w:color w:val="2563EB"/>
        </w:rPr>
        <w:t>The Three Core Pillars of KiaviIQ's Strategic Moat</w:t>
      </w:r>
    </w:p>
    <w:p>
      <w:pPr>
        <w:pStyle w:val="ListParagraph"/>
        <w:numPr>
          <w:ilvl w:val="0"/>
          <w:numId w:val="1"/>
        </w:numPr>
        <w:spacing w:before="40" w:after="60"/>
        <w:ind w:left="360"/>
      </w:pPr>
      <w:r>
        <w:rPr>
          <w:rFonts w:ascii="Helvetica" w:hAnsi="Helvetica"/>
          <w:b/>
          <w:sz w:val="22"/>
          <w:color w:val="1E293B"/>
        </w:rPr>
        <w:t xml:space="preserve">1. The B2B External Ecosystem Advantage: </w:t>
      </w:r>
      <w:r>
        <w:rPr>
          <w:rFonts w:ascii="Helvetica" w:hAnsi="Helvetica"/>
          <w:sz w:val="22"/>
          <w:color w:val="334155"/>
        </w:rPr>
        <w:t xml:space="preserve">Horizontal tools (Glean, Copilot) charge prohibitively high per-seat fees ($30/user/mo) and are restricted to internal employees. KiaviIQ natively supports external dealer, distributor, and customer portals with tier-based pricing and partner-scoped access.</w:t>
      </w:r>
    </w:p>
    <w:p>
      <w:pPr>
        <w:pStyle w:val="ListParagraph"/>
        <w:numPr>
          <w:ilvl w:val="0"/>
          <w:numId w:val="1"/>
        </w:numPr>
        <w:spacing w:before="40" w:after="60"/>
        <w:ind w:left="360"/>
      </w:pPr>
      <w:r>
        <w:rPr>
          <w:rFonts w:ascii="Helvetica" w:hAnsi="Helvetica"/>
          <w:b/>
          <w:sz w:val="22"/>
          <w:color w:val="1E293B"/>
        </w:rPr>
        <w:t xml:space="preserve">2. Physical Engineering &amp; Parametric SKU Modeling: </w:t>
      </w:r>
      <w:r>
        <w:rPr>
          <w:rFonts w:ascii="Helvetica" w:hAnsi="Helvetica"/>
          <w:sz w:val="22"/>
          <w:color w:val="334155"/>
        </w:rPr>
        <w:t xml:space="preserve">Text-based tools treat products as strings. KiaviIQ models physical engineering attributes (tolerances, tensile strength, thread sizes, fire ratings) allowing combined lexical, vector, and parametric tabular search.</w:t>
      </w:r>
    </w:p>
    <w:p>
      <w:pPr>
        <w:pStyle w:val="ListParagraph"/>
        <w:numPr>
          <w:ilvl w:val="0"/>
          <w:numId w:val="1"/>
        </w:numPr>
        <w:spacing w:before="40" w:after="60"/>
        <w:ind w:left="360"/>
      </w:pPr>
      <w:r>
        <w:rPr>
          <w:rFonts w:ascii="Helvetica" w:hAnsi="Helvetica"/>
          <w:b/>
          <w:sz w:val="22"/>
          <w:color w:val="1E293B"/>
        </w:rPr>
        <w:t xml:space="preserve">3. Unified Knowledge + LMS Convergence: </w:t>
      </w:r>
      <w:r>
        <w:rPr>
          <w:rFonts w:ascii="Helvetica" w:hAnsi="Helvetica"/>
          <w:sz w:val="22"/>
          <w:color w:val="334155"/>
        </w:rPr>
        <w:t xml:space="preserve">Enterprises traditionally purchase Glean for search and Docebo/Sana for training. KiaviIQ unifies both: when an engineer publishes an approved manual, it automatically populates the training curriculum, eliminating dual-maintenance costs.</w:t>
      </w:r>
    </w:p>
    <w:p>
      <w:r>
        <w:br w:type="page"/>
      </w:r>
    </w:p>
    <w:p>
      <w:pPr>
        <w:pStyle w:val="Heading1"/>
        <w:spacing w:before="400" w:after="120"/>
      </w:pPr>
      <w:r>
        <w:rPr>
          <w:rFonts w:ascii="Helvetica" w:hAnsi="Helvetica"/>
          <w:b/>
          <w:sz w:val="36"/>
          <w:color w:val="1E3A8A"/>
        </w:rPr>
        <w:t>8. Technical Architecture, Tech Stack &amp; Development Rules</w:t>
      </w:r>
    </w:p>
    <w:p>
      <w:pPr>
        <w:spacing w:before="60" w:after="120" w:line="276" w:lineRule="auto"/>
      </w:pPr>
      <w:r>
        <w:rPr>
          <w:rFonts w:ascii="Helvetica" w:hAnsi="Helvetica"/>
          <w:sz w:val="22"/>
          <w:color w:val="334155"/>
        </w:rPr>
        <w:t xml:space="preserve">To deliver industrial reliability, low latency, and zero data leakage, the technical stack is structured into five distinct operational tiers:</w:t>
      </w:r>
    </w:p>
    <w:p>
      <w:pPr>
        <w:pStyle w:val="ListParagraph"/>
        <w:numPr>
          <w:ilvl w:val="0"/>
          <w:numId w:val="1"/>
        </w:numPr>
        <w:spacing w:before="40" w:after="60"/>
        <w:ind w:left="360"/>
      </w:pPr>
      <w:r>
        <w:rPr>
          <w:rFonts w:ascii="Helvetica" w:hAnsi="Helvetica"/>
          <w:b/>
          <w:sz w:val="22"/>
          <w:color w:val="1E293B"/>
        </w:rPr>
        <w:t xml:space="preserve">Client Tier: </w:t>
      </w:r>
      <w:r>
        <w:rPr>
          <w:rFonts w:ascii="Helvetica" w:hAnsi="Helvetica"/>
          <w:sz w:val="22"/>
          <w:color w:val="334155"/>
        </w:rPr>
        <w:t xml:space="preserve">Next.js 14/15 App Router with TypeScript, Tailwind CSS, shadcn/ui accessible components, Video.js course player, and TanStack Table for parametric SKU comparison.</w:t>
      </w:r>
    </w:p>
    <w:p>
      <w:pPr>
        <w:pStyle w:val="ListParagraph"/>
        <w:numPr>
          <w:ilvl w:val="0"/>
          <w:numId w:val="1"/>
        </w:numPr>
        <w:spacing w:before="40" w:after="60"/>
        <w:ind w:left="360"/>
      </w:pPr>
      <w:r>
        <w:rPr>
          <w:rFonts w:ascii="Helvetica" w:hAnsi="Helvetica"/>
          <w:b/>
          <w:sz w:val="22"/>
          <w:color w:val="1E293B"/>
        </w:rPr>
        <w:t xml:space="preserve">API Gateway &amp; Auth: </w:t>
      </w:r>
      <w:r>
        <w:rPr>
          <w:rFonts w:ascii="Helvetica" w:hAnsi="Helvetica"/>
          <w:sz w:val="22"/>
          <w:color w:val="334155"/>
        </w:rPr>
        <w:t xml:space="preserve">FastAPI (Python 3.11+) asynchronous REST/SSE gateway with JWT authentication supporting SAML 2.0, OIDC, and SCIM directory synchronization.</w:t>
      </w:r>
    </w:p>
    <w:p>
      <w:pPr>
        <w:pStyle w:val="ListParagraph"/>
        <w:numPr>
          <w:ilvl w:val="0"/>
          <w:numId w:val="1"/>
        </w:numPr>
        <w:spacing w:before="40" w:after="60"/>
        <w:ind w:left="360"/>
      </w:pPr>
      <w:r>
        <w:rPr>
          <w:rFonts w:ascii="Helvetica" w:hAnsi="Helvetica"/>
          <w:b/>
          <w:sz w:val="22"/>
          <w:color w:val="1E293B"/>
        </w:rPr>
        <w:t xml:space="preserve">Core Services Tier: </w:t>
      </w:r>
      <w:r>
        <w:rPr>
          <w:rFonts w:ascii="Helvetica" w:hAnsi="Helvetica"/>
          <w:sz w:val="22"/>
          <w:color w:val="334155"/>
        </w:rPr>
        <w:t xml:space="preserve">Multi-Tenant RBAC Service, Product Catalog Engine, Document Lifecycle State Machine, LMS Course &amp; Quiz Engine, and Audit Logging Service.</w:t>
      </w:r>
    </w:p>
    <w:p>
      <w:pPr>
        <w:pStyle w:val="ListParagraph"/>
        <w:numPr>
          <w:ilvl w:val="0"/>
          <w:numId w:val="1"/>
        </w:numPr>
        <w:spacing w:before="40" w:after="60"/>
        <w:ind w:left="360"/>
      </w:pPr>
      <w:r>
        <w:rPr>
          <w:rFonts w:ascii="Helvetica" w:hAnsi="Helvetica"/>
          <w:b/>
          <w:sz w:val="22"/>
          <w:color w:val="1E293B"/>
        </w:rPr>
        <w:t xml:space="preserve">AI &amp; Search Pipeline Tier: </w:t>
      </w:r>
      <w:r>
        <w:rPr>
          <w:rFonts w:ascii="Helvetica" w:hAnsi="Helvetica"/>
          <w:sz w:val="22"/>
          <w:color w:val="334155"/>
        </w:rPr>
        <w:t xml:space="preserve">Ingestion &amp; OCR Engine (pdfplumber, LlamaParse), Hybrid Search Orchestrator (Reciprocal Rank Fusion BM25 + pgvector), FlashRank cross-encoder reranker, and LLM Guardrails.</w:t>
      </w:r>
    </w:p>
    <w:p>
      <w:pPr>
        <w:pStyle w:val="ListParagraph"/>
        <w:numPr>
          <w:ilvl w:val="0"/>
          <w:numId w:val="1"/>
        </w:numPr>
        <w:spacing w:before="40" w:after="60"/>
        <w:ind w:left="360"/>
      </w:pPr>
      <w:r>
        <w:rPr>
          <w:rFonts w:ascii="Helvetica" w:hAnsi="Helvetica"/>
          <w:b/>
          <w:sz w:val="22"/>
          <w:color w:val="1E293B"/>
        </w:rPr>
        <w:t xml:space="preserve">Data Persistence Tier: </w:t>
      </w:r>
      <w:r>
        <w:rPr>
          <w:rFonts w:ascii="Helvetica" w:hAnsi="Helvetica"/>
          <w:sz w:val="22"/>
          <w:color w:val="334155"/>
        </w:rPr>
        <w:t xml:space="preserve">PostgreSQL 16 with Row-Level Security (RLS), pgvector extension for dense vectors, OpenSearch/pg_trgm for BM25 keyword matching, Redis for session and caching, and AWS S3/Cloudflare R2 for encrypted document storage.</w:t>
      </w:r>
    </w:p>
    <w:p>
      <w:pPr>
        <w:pStyle w:val="Heading2"/>
        <w:spacing w:before="300" w:after="120"/>
      </w:pPr>
      <w:r>
        <w:rPr>
          <w:rFonts w:ascii="Helvetica" w:hAnsi="Helvetica"/>
          <w:b/>
          <w:sz w:val="30"/>
          <w:color w:val="2563EB"/>
        </w:rPr>
        <w:t>Search Architecture: Reciprocal Rank Fusion (RRF)</w:t>
      </w:r>
    </w:p>
    <w:p>
      <w:pPr>
        <w:spacing w:before="60" w:after="120" w:line="276" w:lineRule="auto"/>
      </w:pPr>
      <w:r>
        <w:rPr>
          <w:rFonts w:ascii="Helvetica" w:hAnsi="Helvetica"/>
          <w:sz w:val="22"/>
          <w:color w:val="334155"/>
        </w:rPr>
        <w:t xml:space="preserve">Industrial part numbers (e.g., DL-908-SS316, M8x40 DIN 933) frequently collapse in dense vector space. KiaviIQ mandates hybrid retrieval using Reciprocal Rank Fusion:</w:t>
      </w:r>
    </w:p>
    <w:tbl>
      <w:tblPr>
        <w:tblW w:w="9360" w:type="dxa"/>
        <w:tblBorders>
          <w:top w:val="none"/>
          <w:left w:val="single" w:sz="36" w:space="0" w:color="3B82F6"/>
          <w:bottom w:val="none"/>
          <w:right w:val="none"/>
        </w:tblBorders>
        <w:tblCellMar>
          <w:top w:w="160" w:type="dxa"/>
          <w:left w:w="240" w:type="dxa"/>
          <w:bottom w:w="160" w:type="dxa"/>
          <w:right w:w="240" w:type="dxa"/>
        </w:tblCellMar>
      </w:tblPr>
      <w:tr>
        <w:tc>
          <w:tcPr>
            <w:tcW w:w="9360" w:type="dxa"/>
            <w:shd w:val="clear" w:color="auto" w:fill="EFF6FF"/>
          </w:tcPr>
          <w:p>
            <w:pPr>
              <w:spacing w:before="40" w:after="60"/>
            </w:pPr>
            <w:r>
              <w:rPr>
                <w:rFonts w:ascii="Helvetica" w:hAnsi="Helvetica"/>
                <w:b/>
                <w:sz w:val="22"/>
                <w:color w:val="1E40AF"/>
              </w:rPr>
              <w:t>RECIPROCAL RANK FUSION (RRF) FORMULATION</w:t>
            </w:r>
          </w:p>
          <w:p>
            <w:pPr>
              <w:spacing w:before="40" w:after="40"/>
            </w:pPr>
            <w:r>
              <w:rPr>
                <w:rFonts w:ascii="Helvetica" w:hAnsi="Helvetica"/>
                <w:sz w:val="20"/>
                <w:color w:val="1E293B"/>
              </w:rPr>
              <w:t>Final Score = [ 1 / (60 + Rank_BM25) ] + [ 1 / (60 + Rank_DenseVector) ]
Both ranked lists are blended with equal weighting. The top 25 merged candidates are passed to the FlashRank cross-encoder reranker (ms-marco-TinyBERT-L-2-v2), producing the final top 5 grounded chunks with zero hallucination.</w:t>
            </w:r>
          </w:p>
        </w:tc>
      </w:tr>
    </w:tbl>
    <w:p>
      <w:pPr>
        <w:spacing w:before="60" w:after="100"/>
      </w:pPr>
    </w:p>
    <w:p>
      <w:pPr>
        <w:pStyle w:val="Heading2"/>
        <w:spacing w:before="300" w:after="120"/>
      </w:pPr>
      <w:r>
        <w:rPr>
          <w:rFonts w:ascii="Helvetica" w:hAnsi="Helvetica"/>
          <w:b/>
          <w:sz w:val="30"/>
          <w:color w:val="2563EB"/>
        </w:rPr>
        <w:t>Strict Anti-Patterns (Engineering Rules to Avoid)</w:t>
      </w:r>
    </w:p>
    <w:p>
      <w:pPr>
        <w:pStyle w:val="ListParagraph"/>
        <w:numPr>
          <w:ilvl w:val="0"/>
          <w:numId w:val="1"/>
        </w:numPr>
        <w:spacing w:before="40" w:after="60"/>
        <w:ind w:left="360"/>
      </w:pPr>
      <w:r>
        <w:rPr>
          <w:rFonts w:ascii="Helvetica" w:hAnsi="Helvetica"/>
          <w:b/>
          <w:sz w:val="22"/>
          <w:color w:val="1E293B"/>
        </w:rPr>
        <w:t xml:space="preserve">❌ Public Marketplace Aggregator: </w:t>
      </w:r>
      <w:r>
        <w:rPr>
          <w:rFonts w:ascii="Helvetica" w:hAnsi="Helvetica"/>
          <w:sz w:val="22"/>
          <w:color w:val="334155"/>
        </w:rPr>
        <w:t xml:space="preserve">Never treat the platform as an open vendor marketplace. It is an exclusive, closed-loop private enterprise system.</w:t>
      </w:r>
    </w:p>
    <w:p>
      <w:pPr>
        <w:pStyle w:val="ListParagraph"/>
        <w:numPr>
          <w:ilvl w:val="0"/>
          <w:numId w:val="1"/>
        </w:numPr>
        <w:spacing w:before="40" w:after="60"/>
        <w:ind w:left="360"/>
      </w:pPr>
      <w:r>
        <w:rPr>
          <w:rFonts w:ascii="Helvetica" w:hAnsi="Helvetica"/>
          <w:b/>
          <w:sz w:val="22"/>
          <w:color w:val="1E293B"/>
        </w:rPr>
        <w:t xml:space="preserve">❌ Pure Semantic Vector Search: </w:t>
      </w:r>
      <w:r>
        <w:rPr>
          <w:rFonts w:ascii="Helvetica" w:hAnsi="Helvetica"/>
          <w:sz w:val="22"/>
          <w:color w:val="334155"/>
        </w:rPr>
        <w:t xml:space="preserve">Never deploy pure vector search without BM25. Exact engineering alphanumeric codes will fail or hallucinate.</w:t>
      </w:r>
    </w:p>
    <w:p>
      <w:pPr>
        <w:pStyle w:val="ListParagraph"/>
        <w:numPr>
          <w:ilvl w:val="0"/>
          <w:numId w:val="1"/>
        </w:numPr>
        <w:spacing w:before="40" w:after="60"/>
        <w:ind w:left="360"/>
      </w:pPr>
      <w:r>
        <w:rPr>
          <w:rFonts w:ascii="Helvetica" w:hAnsi="Helvetica"/>
          <w:b/>
          <w:sz w:val="22"/>
          <w:color w:val="1E293B"/>
        </w:rPr>
        <w:t xml:space="preserve">❌ Direct Public LLM Calls without Anonymization: </w:t>
      </w:r>
      <w:r>
        <w:rPr>
          <w:rFonts w:ascii="Helvetica" w:hAnsi="Helvetica"/>
          <w:sz w:val="22"/>
          <w:color w:val="334155"/>
        </w:rPr>
        <w:t xml:space="preserve">Never send proprietary CAD or clinical data to public model endpoints without enterprise zero-retention agreements and data masking.</w:t>
      </w:r>
    </w:p>
    <w:p>
      <w:pPr>
        <w:pStyle w:val="ListParagraph"/>
        <w:numPr>
          <w:ilvl w:val="0"/>
          <w:numId w:val="1"/>
        </w:numPr>
        <w:spacing w:before="40" w:after="60"/>
        <w:ind w:left="360"/>
      </w:pPr>
      <w:r>
        <w:rPr>
          <w:rFonts w:ascii="Helvetica" w:hAnsi="Helvetica"/>
          <w:b/>
          <w:sz w:val="22"/>
          <w:color w:val="1E293B"/>
        </w:rPr>
        <w:t xml:space="preserve">❌ Unverified AI Course Publishing: </w:t>
      </w:r>
      <w:r>
        <w:rPr>
          <w:rFonts w:ascii="Helvetica" w:hAnsi="Helvetica"/>
          <w:sz w:val="22"/>
          <w:color w:val="334155"/>
        </w:rPr>
        <w:t xml:space="preserve">AI-generated courses and quizzes must never bypass human review. Mandatory SME approval is enforced before any course reaches students.</w:t>
      </w:r>
    </w:p>
    <w:p>
      <w:r>
        <w:br w:type="page"/>
      </w:r>
    </w:p>
    <w:p>
      <w:pPr>
        <w:pStyle w:val="Heading1"/>
        <w:spacing w:before="400" w:after="120"/>
      </w:pPr>
      <w:r>
        <w:rPr>
          <w:rFonts w:ascii="Helvetica" w:hAnsi="Helvetica"/>
          <w:b/>
          <w:sz w:val="36"/>
          <w:color w:val="1E3A8A"/>
        </w:rPr>
        <w:t>9. Phased Implementation Roadmap</w:t>
      </w:r>
    </w:p>
    <w:p>
      <w:pPr>
        <w:spacing w:before="60" w:after="120" w:line="276" w:lineRule="auto"/>
      </w:pPr>
      <w:r>
        <w:rPr>
          <w:rFonts w:ascii="Helvetica" w:hAnsi="Helvetica"/>
          <w:sz w:val="22"/>
          <w:color w:val="334155"/>
        </w:rPr>
        <w:t xml:space="preserve">The transformation of KiaviIQ from its current baseline to the complete enterprise blueprint is divided into three structured, sequential phases:</w:t>
      </w:r>
    </w:p>
    <w:p>
      <w:pPr>
        <w:pStyle w:val="Heading2"/>
        <w:spacing w:before="300" w:after="120"/>
      </w:pPr>
      <w:r>
        <w:rPr>
          <w:rFonts w:ascii="Helvetica" w:hAnsi="Helvetica"/>
          <w:b/>
          <w:sz w:val="30"/>
          <w:color w:val="2563EB"/>
        </w:rPr>
        <w:t>Phase 1: Foundational Baseline (Core Platform)</w:t>
      </w:r>
    </w:p>
    <w:p>
      <w:pPr>
        <w:pStyle w:val="ListParagraph"/>
        <w:numPr>
          <w:ilvl w:val="0"/>
          <w:numId w:val="1"/>
        </w:numPr>
        <w:spacing w:before="40" w:after="60"/>
        <w:ind w:left="360"/>
      </w:pPr>
      <w:r>
        <w:rPr>
          <w:rFonts w:ascii="Helvetica" w:hAnsi="Helvetica"/>
          <w:b/>
          <w:sz w:val="22"/>
          <w:color w:val="1E293B"/>
        </w:rPr>
        <w:t xml:space="preserve">Scope &amp; Deliverables: </w:t>
      </w:r>
      <w:r>
        <w:rPr>
          <w:rFonts w:ascii="Helvetica" w:hAnsi="Helvetica"/>
          <w:sz w:val="22"/>
          <w:color w:val="334155"/>
        </w:rPr>
        <w:t xml:space="preserve">Public marketing &amp; pre-login pages (Home, Features, Industries, Pricing, Demo Capture). Automatic tenant provisioning wizard. Core Post-Login: PostgreSQL RLS tenant isolation, 9 User Roles &amp; RBAC middleware, Structured Product Catalog (SKU creation &amp; attributes), 5-stage Document Lifecycle (Draft -&gt; SME Approval -&gt; Vector Indexing), Basic LMS Course Player with video tracking, single assessments (quizzes), and hybrid RAG search with FlashRank.</w:t>
      </w:r>
    </w:p>
    <w:p>
      <w:pPr>
        <w:pStyle w:val="ListParagraph"/>
        <w:numPr>
          <w:ilvl w:val="0"/>
          <w:numId w:val="1"/>
        </w:numPr>
        <w:spacing w:before="40" w:after="60"/>
        <w:ind w:left="360"/>
      </w:pPr>
      <w:r>
        <w:rPr>
          <w:rFonts w:ascii="Helvetica" w:hAnsi="Helvetica"/>
          <w:b/>
          <w:sz w:val="22"/>
          <w:color w:val="1E293B"/>
        </w:rPr>
        <w:t xml:space="preserve">Why Needed First: </w:t>
      </w:r>
      <w:r>
        <w:rPr>
          <w:rFonts w:ascii="Helvetica" w:hAnsi="Helvetica"/>
          <w:sz w:val="22"/>
          <w:color w:val="334155"/>
        </w:rPr>
        <w:t xml:space="preserve">Establishes the rock-solid security, data isolation, and verified content baseline without which advanced AI workflows cannot function safely.</w:t>
      </w:r>
    </w:p>
    <w:p>
      <w:pPr>
        <w:pStyle w:val="ListParagraph"/>
        <w:numPr>
          <w:ilvl w:val="0"/>
          <w:numId w:val="1"/>
        </w:numPr>
        <w:spacing w:before="40" w:after="60"/>
        <w:ind w:left="360"/>
      </w:pPr>
      <w:r>
        <w:rPr>
          <w:rFonts w:ascii="Helvetica" w:hAnsi="Helvetica"/>
          <w:b/>
          <w:sz w:val="22"/>
          <w:color w:val="1E293B"/>
        </w:rPr>
        <w:t xml:space="preserve">Engineering Action Items: </w:t>
      </w:r>
      <w:r>
        <w:rPr>
          <w:rFonts w:ascii="Helvetica" w:hAnsi="Helvetica"/>
          <w:sz w:val="22"/>
          <w:color w:val="334155"/>
        </w:rPr>
        <w:t xml:space="preserve">1) Implement PostgreSQL RLS on tenant_id; 2) Add roles and permissions tables; 3) Refactor document upload with state machine; 4) Build products and attributes schema; 5) Build courses, lessons, and quiz player in frontend.</w:t>
      </w:r>
    </w:p>
    <w:p>
      <w:pPr>
        <w:pStyle w:val="Heading2"/>
        <w:spacing w:before="300" w:after="120"/>
      </w:pPr>
      <w:r>
        <w:rPr>
          <w:rFonts w:ascii="Helvetica" w:hAnsi="Helvetica"/>
          <w:b/>
          <w:sz w:val="30"/>
          <w:color w:val="2563EB"/>
        </w:rPr>
        <w:t>Phase 2: Intelligent &amp; Workflow Layer</w:t>
      </w:r>
    </w:p>
    <w:p>
      <w:pPr>
        <w:pStyle w:val="ListParagraph"/>
        <w:numPr>
          <w:ilvl w:val="0"/>
          <w:numId w:val="1"/>
        </w:numPr>
        <w:spacing w:before="40" w:after="60"/>
        <w:ind w:left="360"/>
      </w:pPr>
      <w:r>
        <w:rPr>
          <w:rFonts w:ascii="Helvetica" w:hAnsi="Helvetica"/>
          <w:b/>
          <w:sz w:val="22"/>
          <w:color w:val="1E293B"/>
        </w:rPr>
        <w:t xml:space="preserve">Scope &amp; Deliverables: </w:t>
      </w:r>
      <w:r>
        <w:rPr>
          <w:rFonts w:ascii="Helvetica" w:hAnsi="Helvetica"/>
          <w:sz w:val="22"/>
          <w:color w:val="334155"/>
        </w:rPr>
        <w:t xml:space="preserve">Context-aware personalized dashboard (re-ranking search results by role and region). Multi-Document Synthesis (comparative executive briefings across complex datasheets). Knowledge Quality Dashboard (background AI jobs detecting stale documents 180+ days old, duplicate content, and conflicting specs). Automated expiry workflows for certificates. AI-assisted course authoring (PDF to course draft). Learning paths and QR-verifiable PDF certificates. Multilingual expansion with SME-verified vs AI-translated badges.</w:t>
      </w:r>
    </w:p>
    <w:p>
      <w:pPr>
        <w:pStyle w:val="ListParagraph"/>
        <w:numPr>
          <w:ilvl w:val="0"/>
          <w:numId w:val="1"/>
        </w:numPr>
        <w:spacing w:before="40" w:after="60"/>
        <w:ind w:left="360"/>
      </w:pPr>
      <w:r>
        <w:rPr>
          <w:rFonts w:ascii="Helvetica" w:hAnsi="Helvetica"/>
          <w:b/>
          <w:sz w:val="22"/>
          <w:color w:val="1E293B"/>
        </w:rPr>
        <w:t xml:space="preserve">Why Needed Second: </w:t>
      </w:r>
      <w:r>
        <w:rPr>
          <w:rFonts w:ascii="Helvetica" w:hAnsi="Helvetica"/>
          <w:sz w:val="22"/>
          <w:color w:val="334155"/>
        </w:rPr>
        <w:t xml:space="preserve">Transforms the passive repository into an active intelligence system that maintains its own data health, accelerates authoring, and delivers verifiable credentials.</w:t>
      </w:r>
    </w:p>
    <w:p>
      <w:pPr>
        <w:pStyle w:val="ListParagraph"/>
        <w:numPr>
          <w:ilvl w:val="0"/>
          <w:numId w:val="1"/>
        </w:numPr>
        <w:spacing w:before="40" w:after="60"/>
        <w:ind w:left="360"/>
      </w:pPr>
      <w:r>
        <w:rPr>
          <w:rFonts w:ascii="Helvetica" w:hAnsi="Helvetica"/>
          <w:b/>
          <w:sz w:val="22"/>
          <w:color w:val="1E293B"/>
        </w:rPr>
        <w:t xml:space="preserve">Engineering Action Items: </w:t>
      </w:r>
      <w:r>
        <w:rPr>
          <w:rFonts w:ascii="Helvetica" w:hAnsi="Helvetica"/>
          <w:sz w:val="22"/>
          <w:color w:val="334155"/>
        </w:rPr>
        <w:t xml:space="preserve">1) Deploy background Celery worker for quality audits; 2) Implement multi-doc comparative LLM synthesis prompts; 3) Build AI course authoring extraction pipeline; 4) Build ReportLab PDF certificate generator with cryptographic QR tokens.</w:t>
      </w:r>
    </w:p>
    <w:p>
      <w:pPr>
        <w:pStyle w:val="Heading2"/>
        <w:spacing w:before="300" w:after="120"/>
      </w:pPr>
      <w:r>
        <w:rPr>
          <w:rFonts w:ascii="Helvetica" w:hAnsi="Helvetica"/>
          <w:b/>
          <w:sz w:val="30"/>
          <w:color w:val="2563EB"/>
        </w:rPr>
        <w:t>Phase 3: Autonomous AI Agents &amp; Intelligent Enterprise</w:t>
      </w:r>
    </w:p>
    <w:p>
      <w:pPr>
        <w:pStyle w:val="ListParagraph"/>
        <w:numPr>
          <w:ilvl w:val="0"/>
          <w:numId w:val="1"/>
        </w:numPr>
        <w:spacing w:before="40" w:after="60"/>
        <w:ind w:left="360"/>
      </w:pPr>
      <w:r>
        <w:rPr>
          <w:rFonts w:ascii="Helvetica" w:hAnsi="Helvetica"/>
          <w:b/>
          <w:sz w:val="22"/>
          <w:color w:val="1E293B"/>
        </w:rPr>
        <w:t xml:space="preserve">Scope &amp; Deliverables: </w:t>
      </w:r>
      <w:r>
        <w:rPr>
          <w:rFonts w:ascii="Helvetica" w:hAnsi="Helvetica"/>
          <w:sz w:val="22"/>
          <w:color w:val="334155"/>
        </w:rPr>
        <w:t xml:space="preserve">Autonomous AI Agent Hub and custom agent builder (LangGraph state machines). Department-specific specialized agents: Sales Engineering Agent (RFP scanning and catalog quote drafting), Regulatory Agent (standard comparison), Customer Support Agent. Human-in-the-Loop (HITL) AI Approval Center (pausing critical agent actions until SME greenlight). Enterprise Knowledge Graph (relational mapping of parts, host vehicles, engineers, and ISO standards). Adaptive Learning with AI Personal Tutor (custom micro-lessons for failed quiz topics). Proactive Automated Knowledge Gap Detection (clustering unanswered queries into documentation creation tickets).</w:t>
      </w:r>
    </w:p>
    <w:p>
      <w:pPr>
        <w:pStyle w:val="ListParagraph"/>
        <w:numPr>
          <w:ilvl w:val="0"/>
          <w:numId w:val="1"/>
        </w:numPr>
        <w:spacing w:before="40" w:after="60"/>
        <w:ind w:left="360"/>
      </w:pPr>
      <w:r>
        <w:rPr>
          <w:rFonts w:ascii="Helvetica" w:hAnsi="Helvetica"/>
          <w:b/>
          <w:sz w:val="22"/>
          <w:color w:val="1E293B"/>
        </w:rPr>
        <w:t xml:space="preserve">Why Needed Third: </w:t>
      </w:r>
      <w:r>
        <w:rPr>
          <w:rFonts w:ascii="Helvetica" w:hAnsi="Helvetica"/>
          <w:sz w:val="22"/>
          <w:color w:val="334155"/>
        </w:rPr>
        <w:t xml:space="preserve">Delivers an insurmountable competitive moat by automating complex multi-step industrial workflows while maintaining strict human governance over high-risk decisions.</w:t>
      </w:r>
    </w:p>
    <w:p>
      <w:pPr>
        <w:pStyle w:val="ListParagraph"/>
        <w:numPr>
          <w:ilvl w:val="0"/>
          <w:numId w:val="1"/>
        </w:numPr>
        <w:spacing w:before="40" w:after="60"/>
        <w:ind w:left="360"/>
      </w:pPr>
      <w:r>
        <w:rPr>
          <w:rFonts w:ascii="Helvetica" w:hAnsi="Helvetica"/>
          <w:b/>
          <w:sz w:val="22"/>
          <w:color w:val="1E293B"/>
        </w:rPr>
        <w:t xml:space="preserve">Engineering Action Items: </w:t>
      </w:r>
      <w:r>
        <w:rPr>
          <w:rFonts w:ascii="Helvetica" w:hAnsi="Helvetica"/>
          <w:sz w:val="22"/>
          <w:color w:val="334155"/>
        </w:rPr>
        <w:t xml:space="preserve">1) Integrate LangGraph state machines with pause/resume persistence; 2) Build HITL approval queue UI; 3) Implement Neo4j / PostgreSQL recursive CTE Knowledge Graph; 4) Build query failure clustering pipeline with HDBSCAN.</w:t>
      </w:r>
    </w:p>
    <w:tbl>
      <w:tblPr>
        <w:tblW w:w="9360" w:type="dxa"/>
        <w:tblBorders>
          <w:top w:val="none"/>
          <w:left w:val="single" w:sz="36" w:space="0" w:color="10B981"/>
          <w:bottom w:val="none"/>
          <w:right w:val="none"/>
        </w:tblBorders>
        <w:tblCellMar>
          <w:top w:w="160" w:type="dxa"/>
          <w:left w:w="240" w:type="dxa"/>
          <w:bottom w:w="160" w:type="dxa"/>
          <w:right w:w="240" w:type="dxa"/>
        </w:tblCellMar>
      </w:tblPr>
      <w:tr>
        <w:tc>
          <w:tcPr>
            <w:tcW w:w="9360" w:type="dxa"/>
            <w:shd w:val="clear" w:color="auto" w:fill="ECFDF5"/>
          </w:tcPr>
          <w:p>
            <w:pPr>
              <w:spacing w:before="40" w:after="60"/>
            </w:pPr>
            <w:r>
              <w:rPr>
                <w:rFonts w:ascii="Helvetica" w:hAnsi="Helvetica"/>
                <w:b/>
                <w:sz w:val="22"/>
                <w:color w:val="065F46"/>
              </w:rPr>
              <w:t>CONCLUSION &amp; ARCHITECTURAL VERIFICATION</w:t>
            </w:r>
          </w:p>
          <w:p>
            <w:pPr>
              <w:spacing w:before="40" w:after="40"/>
            </w:pPr>
            <w:r>
              <w:rPr>
                <w:rFonts w:ascii="Helvetica" w:hAnsi="Helvetica"/>
                <w:sz w:val="20"/>
                <w:color w:val="1E293B"/>
              </w:rPr>
              <w:t>By following this master blueprint, KiaviIQ bridges the critical gap between unstructured document RAG and governed industrial product intelligence. The platform secures a decisive competitive moat over horizontal competitors (Glean, Guru, Sana) by deeply modeling physical engineering specifications, external partner distribution, and certified compliance education.</w:t>
            </w:r>
          </w:p>
        </w:tc>
      </w:tr>
    </w:tbl>
    <w:p>
      <w:pPr>
        <w:spacing w:before="60" w:after="100"/>
      </w:pPr>
    </w:p>
    <w:p>
      <w:pPr>
        <w:pStyle w:val="Heading1"/>
        <w:spacing w:before="400" w:after="120"/>
      </w:pPr>
      <w:r>
        <w:rPr>
          <w:rFonts w:ascii="Helvetica" w:hAnsi="Helvetica"/>
          <w:b/>
          <w:sz w:val="36"/>
          <w:color w:val="1E3A8A"/>
        </w:rPr>
        <w:t>10. European Market Specialization &amp; EU Regulatory Blueprint</w:t>
      </w:r>
    </w:p>
    <w:p>
      <w:pPr>
        <w:spacing w:before="60" w:after="120" w:line="276" w:lineRule="auto"/>
      </w:pPr>
      <w:r>
        <w:rPr>
          <w:rFonts w:ascii="Helvetica" w:hAnsi="Helvetica"/>
          <w:sz w:val="22"/>
          <w:color w:val="334155"/>
        </w:rPr>
        <w:t xml:space="preserve">KiaviIQ is purpose-engineered to serve B2B manufacturing and healthcare enterprises operating within the European Single Market. Operating in Europe requires adherence to the world's most stringent product safety, chemical composition, artificial intelligence, and data privacy regulations. This section outlines the specific European compliance frameworks natively built into the platform architecture.</w:t>
      </w:r>
    </w:p>
    <w:p>
      <w:pPr>
        <w:pStyle w:val="Heading2"/>
        <w:spacing w:before="300" w:after="120"/>
      </w:pPr>
      <w:r>
        <w:rPr>
          <w:rFonts w:ascii="Helvetica" w:hAnsi="Helvetica"/>
          <w:b/>
          <w:sz w:val="30"/>
          <w:color w:val="2563EB"/>
        </w:rPr>
        <w:t>A. Medical Devices &amp; Healthcare Sector (EU MDR &amp; IVDR)</w:t>
      </w:r>
    </w:p>
    <w:p>
      <w:pPr>
        <w:spacing w:before="60" w:after="120" w:line="276" w:lineRule="auto"/>
      </w:pPr>
      <w:r>
        <w:rPr>
          <w:rFonts w:ascii="Helvetica" w:hAnsi="Helvetica"/>
          <w:sz w:val="22"/>
          <w:color w:val="334155"/>
        </w:rPr>
        <w:t xml:space="preserve">In the European Union, medical device manufacturers must comply with the Medical Device Regulation (EU MDR 2017/745) and the In Vitro Diagnostic Medical Devices Regulation (EU IVDR 2017/746). KiaviIQ enforces compliance through the following native mechanisms:</w:t>
      </w:r>
    </w:p>
    <w:p>
      <w:pPr>
        <w:pStyle w:val="ListParagraph"/>
        <w:numPr>
          <w:ilvl w:val="0"/>
          <w:numId w:val="1"/>
        </w:numPr>
        <w:spacing w:before="40" w:after="60"/>
        <w:ind w:left="360"/>
      </w:pPr>
      <w:r>
        <w:rPr>
          <w:rFonts w:ascii="Helvetica" w:hAnsi="Helvetica"/>
          <w:b/>
          <w:sz w:val="22"/>
          <w:color w:val="1E293B"/>
        </w:rPr>
        <w:t xml:space="preserve">Unique Device Identification (UDI) Tracking: </w:t>
      </w:r>
      <w:r>
        <w:rPr>
          <w:rFonts w:ascii="Helvetica" w:hAnsi="Helvetica"/>
          <w:sz w:val="22"/>
          <w:color w:val="334155"/>
        </w:rPr>
        <w:t xml:space="preserve">Every medical product record in KiaviIQ contains Basic UDI-DI and UDI-DI parameters compliant with the European Database on Medical Devices (EUDAMED).</w:t>
      </w:r>
    </w:p>
    <w:p>
      <w:pPr>
        <w:pStyle w:val="ListParagraph"/>
        <w:numPr>
          <w:ilvl w:val="0"/>
          <w:numId w:val="1"/>
        </w:numPr>
        <w:spacing w:before="40" w:after="60"/>
        <w:ind w:left="360"/>
      </w:pPr>
      <w:r>
        <w:rPr>
          <w:rFonts w:ascii="Helvetica" w:hAnsi="Helvetica"/>
          <w:b/>
          <w:sz w:val="22"/>
          <w:color w:val="1E293B"/>
        </w:rPr>
        <w:t xml:space="preserve">Clinical Evaluation Reports (CER) Grounding: </w:t>
      </w:r>
      <w:r>
        <w:rPr>
          <w:rFonts w:ascii="Helvetica" w:hAnsi="Helvetica"/>
          <w:sz w:val="22"/>
          <w:color w:val="334155"/>
        </w:rPr>
        <w:t xml:space="preserve">AI answers related to surgical tool sterilization, surgical technique manuals, or device contraindications are strictly restricted to formally approved CER documents and notified body-stamped Instructions for Use (IFU).</w:t>
      </w:r>
    </w:p>
    <w:p>
      <w:pPr>
        <w:pStyle w:val="ListParagraph"/>
        <w:numPr>
          <w:ilvl w:val="0"/>
          <w:numId w:val="1"/>
        </w:numPr>
        <w:spacing w:before="40" w:after="60"/>
        <w:ind w:left="360"/>
      </w:pPr>
      <w:r>
        <w:rPr>
          <w:rFonts w:ascii="Helvetica" w:hAnsi="Helvetica"/>
          <w:b/>
          <w:sz w:val="22"/>
          <w:color w:val="1E293B"/>
        </w:rPr>
        <w:t xml:space="preserve">Post-Market Surveillance (PMS) Feedback Capture: </w:t>
      </w:r>
      <w:r>
        <w:rPr>
          <w:rFonts w:ascii="Helvetica" w:hAnsi="Helvetica"/>
          <w:sz w:val="22"/>
          <w:color w:val="334155"/>
        </w:rPr>
        <w:t xml:space="preserve">The feedback loop in KiaviIQ captures field incident reports and technical doubts from hospital biomedical staff, directly feeding into the manufacturer's periodic safety update reports (PSUR).</w:t>
      </w:r>
    </w:p>
    <w:p>
      <w:pPr>
        <w:pStyle w:val="Heading2"/>
        <w:spacing w:before="300" w:after="120"/>
      </w:pPr>
      <w:r>
        <w:rPr>
          <w:rFonts w:ascii="Helvetica" w:hAnsi="Helvetica"/>
          <w:b/>
          <w:sz w:val="30"/>
          <w:color w:val="2563EB"/>
        </w:rPr>
        <w:t>B. Automotive Parts &amp; Heavy Manufacturing Sector</w:t>
      </w:r>
    </w:p>
    <w:p>
      <w:pPr>
        <w:spacing w:before="60" w:after="120" w:line="276" w:lineRule="auto"/>
      </w:pPr>
      <w:r>
        <w:rPr>
          <w:rFonts w:ascii="Helvetica" w:hAnsi="Helvetica"/>
          <w:sz w:val="22"/>
          <w:color w:val="334155"/>
        </w:rPr>
        <w:t xml:space="preserve">European automotive supply chains operate under strict OEM supplier tier requirements and European Union type-approval directives:</w:t>
      </w:r>
    </w:p>
    <w:p>
      <w:pPr>
        <w:pStyle w:val="ListParagraph"/>
        <w:numPr>
          <w:ilvl w:val="0"/>
          <w:numId w:val="1"/>
        </w:numPr>
        <w:spacing w:before="40" w:after="60"/>
        <w:ind w:left="360"/>
      </w:pPr>
      <w:r>
        <w:rPr>
          <w:rFonts w:ascii="Helvetica" w:hAnsi="Helvetica"/>
          <w:b/>
          <w:sz w:val="22"/>
          <w:color w:val="1E293B"/>
        </w:rPr>
        <w:t xml:space="preserve">IATF 16949 &amp; VDA 6.3 Audit Readiness: </w:t>
      </w:r>
      <w:r>
        <w:rPr>
          <w:rFonts w:ascii="Helvetica" w:hAnsi="Helvetica"/>
          <w:sz w:val="22"/>
          <w:color w:val="334155"/>
        </w:rPr>
        <w:t xml:space="preserve">The platform maintains complete traceability between engineering change notices (ECN), updated technical datasheets, and distributor training completion, satisfying German VDA (Verband der Automobilindustrie) quality standards.</w:t>
      </w:r>
    </w:p>
    <w:p>
      <w:pPr>
        <w:pStyle w:val="ListParagraph"/>
        <w:numPr>
          <w:ilvl w:val="0"/>
          <w:numId w:val="1"/>
        </w:numPr>
        <w:spacing w:before="40" w:after="60"/>
        <w:ind w:left="360"/>
      </w:pPr>
      <w:r>
        <w:rPr>
          <w:rFonts w:ascii="Helvetica" w:hAnsi="Helvetica"/>
          <w:b/>
          <w:sz w:val="22"/>
          <w:color w:val="1E293B"/>
        </w:rPr>
        <w:t xml:space="preserve">UNECE Cybersecurity (R155) &amp; Software Updates (R156): </w:t>
      </w:r>
      <w:r>
        <w:rPr>
          <w:rFonts w:ascii="Helvetica" w:hAnsi="Helvetica"/>
          <w:sz w:val="22"/>
          <w:color w:val="334155"/>
        </w:rPr>
        <w:t xml:space="preserve">For electronic and connected automotive components, firmware manuals and diagnostic procedures are version-controlled with cryptographic check-sums to prevent tampered technical data from reaching repair workshops.</w:t>
      </w:r>
    </w:p>
    <w:p>
      <w:pPr>
        <w:pStyle w:val="ListParagraph"/>
        <w:numPr>
          <w:ilvl w:val="0"/>
          <w:numId w:val="1"/>
        </w:numPr>
        <w:spacing w:before="40" w:after="60"/>
        <w:ind w:left="360"/>
      </w:pPr>
      <w:r>
        <w:rPr>
          <w:rFonts w:ascii="Helvetica" w:hAnsi="Helvetica"/>
          <w:b/>
          <w:sz w:val="22"/>
          <w:color w:val="1E293B"/>
        </w:rPr>
        <w:t xml:space="preserve">EU End-of-Life Vehicles (ELV) Directive &amp; IMDS: </w:t>
      </w:r>
      <w:r>
        <w:rPr>
          <w:rFonts w:ascii="Helvetica" w:hAnsi="Helvetica"/>
          <w:sz w:val="22"/>
          <w:color w:val="334155"/>
        </w:rPr>
        <w:t xml:space="preserve">Product catalog records include International Material Data System (IMDS) identifiers and recyclability ratings, ensuring compliance with EU Directive 2000/53/EC.</w:t>
      </w:r>
    </w:p>
    <w:p>
      <w:pPr>
        <w:pStyle w:val="Heading2"/>
        <w:spacing w:before="300" w:after="120"/>
      </w:pPr>
      <w:r>
        <w:rPr>
          <w:rFonts w:ascii="Helvetica" w:hAnsi="Helvetica"/>
          <w:b/>
          <w:sz w:val="30"/>
          <w:color w:val="2563EB"/>
        </w:rPr>
        <w:t>C. Architectural Hardware &amp; Construction Products (EU CPR)</w:t>
      </w:r>
    </w:p>
    <w:p>
      <w:pPr>
        <w:spacing w:before="60" w:after="120" w:line="276" w:lineRule="auto"/>
      </w:pPr>
      <w:r>
        <w:rPr>
          <w:rFonts w:ascii="Helvetica" w:hAnsi="Helvetica"/>
          <w:sz w:val="22"/>
          <w:color w:val="334155"/>
        </w:rPr>
        <w:t xml:space="preserve">Architectural door hardware, fire egress systems, and heavy structural glass fittings are governed by the EU Construction Products Regulation (CPR 305/2011) and harmonized European standards:</w:t>
      </w:r>
    </w:p>
    <w:p>
      <w:pPr>
        <w:pStyle w:val="ListParagraph"/>
        <w:numPr>
          <w:ilvl w:val="0"/>
          <w:numId w:val="1"/>
        </w:numPr>
        <w:spacing w:before="40" w:after="60"/>
        <w:ind w:left="360"/>
      </w:pPr>
      <w:r>
        <w:rPr>
          <w:rFonts w:ascii="Helvetica" w:hAnsi="Helvetica"/>
          <w:b/>
          <w:sz w:val="22"/>
          <w:color w:val="1E293B"/>
        </w:rPr>
        <w:t xml:space="preserve">Declaration of Performance (DoP) &amp; CE Marking: </w:t>
      </w:r>
      <w:r>
        <w:rPr>
          <w:rFonts w:ascii="Helvetica" w:hAnsi="Helvetica"/>
          <w:sz w:val="22"/>
          <w:color w:val="334155"/>
        </w:rPr>
        <w:t xml:space="preserve">Every SKU page in the Architectural Hardware catalog provides one-click access to the official CE / UKCA Declaration of Performance (DoP), European Technical Assessment (ETA), and Notified Body test certificates.</w:t>
      </w:r>
    </w:p>
    <w:p>
      <w:pPr>
        <w:pStyle w:val="ListParagraph"/>
        <w:numPr>
          <w:ilvl w:val="0"/>
          <w:numId w:val="1"/>
        </w:numPr>
        <w:spacing w:before="40" w:after="60"/>
        <w:ind w:left="360"/>
      </w:pPr>
      <w:r>
        <w:rPr>
          <w:rFonts w:ascii="Helvetica" w:hAnsi="Helvetica"/>
          <w:b/>
          <w:sz w:val="22"/>
          <w:color w:val="1E293B"/>
        </w:rPr>
        <w:t xml:space="preserve">Harmonized European Egress &amp; Fire Standards: </w:t>
      </w:r>
      <w:r>
        <w:rPr>
          <w:rFonts w:ascii="Helvetica" w:hAnsi="Helvetica"/>
          <w:sz w:val="22"/>
          <w:color w:val="334155"/>
        </w:rPr>
        <w:t xml:space="preserve">SKUs are categorized and filtered against mandatory European standards: EN 1125 (panic exit devices), EN 179 (emergency exit devices), EN 1154 (door closing devices), and EN 1634-1 (fire and smoke resistance).</w:t>
      </w:r>
    </w:p>
    <w:p>
      <w:pPr>
        <w:pStyle w:val="ListParagraph"/>
        <w:numPr>
          <w:ilvl w:val="0"/>
          <w:numId w:val="1"/>
        </w:numPr>
        <w:spacing w:before="40" w:after="60"/>
        <w:ind w:left="360"/>
      </w:pPr>
      <w:r>
        <w:rPr>
          <w:rFonts w:ascii="Helvetica" w:hAnsi="Helvetica"/>
          <w:b/>
          <w:sz w:val="22"/>
          <w:color w:val="1E293B"/>
        </w:rPr>
        <w:t xml:space="preserve">REACH (EC 1907/2006) &amp; RoHS (2011/65/EU) Compliance: </w:t>
      </w:r>
      <w:r>
        <w:rPr>
          <w:rFonts w:ascii="Helvetica" w:hAnsi="Helvetica"/>
          <w:sz w:val="22"/>
          <w:color w:val="334155"/>
        </w:rPr>
        <w:t xml:space="preserve">Hardware material attributes explicitly record SVHC (Substances of Very High Concern) declarations and heavy metal restrictions (Lead, Cadmium, Hexavalent Chromium), ensuring legal import into EU member states.</w:t>
      </w:r>
    </w:p>
    <w:p>
      <w:pPr>
        <w:pStyle w:val="Heading2"/>
        <w:spacing w:before="300" w:after="120"/>
      </w:pPr>
      <w:r>
        <w:rPr>
          <w:rFonts w:ascii="Helvetica" w:hAnsi="Helvetica"/>
          <w:b/>
          <w:sz w:val="30"/>
          <w:color w:val="2563EB"/>
        </w:rPr>
        <w:t>D. Cross-Cutting European Technology Regulations (EU AI Act &amp; GDPR)</w:t>
      </w:r>
    </w:p>
    <w:p>
      <w:pPr>
        <w:pStyle w:val="ListParagraph"/>
        <w:numPr>
          <w:ilvl w:val="0"/>
          <w:numId w:val="1"/>
        </w:numPr>
        <w:spacing w:before="40" w:after="60"/>
        <w:ind w:left="360"/>
      </w:pPr>
      <w:r>
        <w:rPr>
          <w:rFonts w:ascii="Helvetica" w:hAnsi="Helvetica"/>
          <w:b/>
          <w:sz w:val="22"/>
          <w:color w:val="1E293B"/>
        </w:rPr>
        <w:t xml:space="preserve">EU AI Act (Regulation 2024/1689) High-Risk Compliance: </w:t>
      </w:r>
      <w:r>
        <w:rPr>
          <w:rFonts w:ascii="Helvetica" w:hAnsi="Helvetica"/>
          <w:sz w:val="22"/>
          <w:color w:val="334155"/>
        </w:rPr>
        <w:t xml:space="preserve">Under Annex III of the EU AI Act, AI systems used in safety components of medical devices and automotive systems are classified as High-Risk AI. KiaviIQ fulfills mandatory requirements: 1) High-quality grounded training/retrieval datasets; 2) Comprehensive technical logging; 3) Clear transparency disclosures ('AI-Generated Response'); 4) Mandatory Human-in-the-Loop (HITL) review gates for critical actions.</w:t>
      </w:r>
    </w:p>
    <w:p>
      <w:pPr>
        <w:pStyle w:val="ListParagraph"/>
        <w:numPr>
          <w:ilvl w:val="0"/>
          <w:numId w:val="1"/>
        </w:numPr>
        <w:spacing w:before="40" w:after="60"/>
        <w:ind w:left="360"/>
      </w:pPr>
      <w:r>
        <w:rPr>
          <w:rFonts w:ascii="Helvetica" w:hAnsi="Helvetica"/>
          <w:b/>
          <w:sz w:val="22"/>
          <w:color w:val="1E293B"/>
        </w:rPr>
        <w:t xml:space="preserve">GDPR &amp; Sovereign EU Cloud Hosting: </w:t>
      </w:r>
      <w:r>
        <w:rPr>
          <w:rFonts w:ascii="Helvetica" w:hAnsi="Helvetica"/>
          <w:sz w:val="22"/>
          <w:color w:val="334155"/>
        </w:rPr>
        <w:t xml:space="preserve">All tenant databases, pgvector indexes, and S3 object stores are physically hosted within European Union borders (Frankfurt AWS eu-central-1 or Ireland eu-west-1). Cross-border data transfers outside the EEA are blocked, and automated workflows support GDPR Article 17 Right to Erasure (RTBF) without breaking regulatory training audit logs.</w:t>
      </w:r>
    </w:p>
    <w:p>
      <w:r>
        <w:br w:type="page"/>
      </w:r>
    </w:p>
    <w:p>
      <w:pPr>
        <w:pStyle w:val="Heading1"/>
        <w:spacing w:before="400" w:after="120"/>
      </w:pPr>
      <w:r>
        <w:rPr>
          <w:rFonts w:ascii="Helvetica" w:hAnsi="Helvetica"/>
          <w:b/>
          <w:sz w:val="36"/>
          <w:color w:val="1E3A8A"/>
        </w:rPr>
        <w:t>11. End-to-End User Role Assignment Architecture</w:t>
      </w:r>
    </w:p>
    <w:p>
      <w:pPr>
        <w:spacing w:before="60" w:after="120" w:line="276" w:lineRule="auto"/>
      </w:pPr>
      <w:r>
        <w:rPr>
          <w:rFonts w:ascii="Helvetica" w:hAnsi="Helvetica"/>
          <w:sz w:val="22"/>
          <w:color w:val="334155"/>
        </w:rPr>
        <w:t xml:space="preserve">A frequent operational question in enterprise B2B SaaS is: "How are roles actually assigned, provisioned, and governed across 9 distinct personas without manual administrative chaos?" KiaviIQ implements a multi-tier, highly automated role assignment architecture:</w:t>
      </w:r>
    </w:p>
    <w:tbl>
      <w:tblPr>
        <w:tblW w:w="9360" w:type="dxa"/>
        <w:tblBorders>
          <w:top w:val="none"/>
          <w:left w:val="single" w:sz="36" w:space="0" w:color="3B82F6"/>
          <w:bottom w:val="none"/>
          <w:right w:val="none"/>
        </w:tblBorders>
        <w:tblCellMar>
          <w:top w:w="160" w:type="dxa"/>
          <w:left w:w="240" w:type="dxa"/>
          <w:bottom w:w="160" w:type="dxa"/>
          <w:right w:w="240" w:type="dxa"/>
        </w:tblCellMar>
      </w:tblPr>
      <w:tr>
        <w:tc>
          <w:tcPr>
            <w:tcW w:w="9360" w:type="dxa"/>
            <w:shd w:val="clear" w:color="auto" w:fill="EFF6FF"/>
          </w:tcPr>
          <w:p>
            <w:pPr>
              <w:spacing w:before="40" w:after="60"/>
            </w:pPr>
            <w:r>
              <w:rPr>
                <w:rFonts w:ascii="Helvetica" w:hAnsi="Helvetica"/>
                <w:b/>
                <w:sz w:val="22"/>
                <w:color w:val="1E40AF"/>
              </w:rPr>
              <w:t>ROLE GOVERNANCE HIERARCHY</w:t>
            </w:r>
          </w:p>
          <w:p>
            <w:pPr>
              <w:spacing w:before="40" w:after="40"/>
            </w:pPr>
            <w:r>
              <w:rPr>
                <w:rFonts w:ascii="Helvetica" w:hAnsi="Helvetica"/>
                <w:sz w:val="20"/>
                <w:color w:val="1E293B"/>
              </w:rPr>
              <w:t>Roles are assigned through 4 distinct mechanisms based on organization boundaries: 1) Enterprise Directory Sync (SSO/SCIM); 2) Admin Console Direct Provisioning; 3) Sub-Tenant Delegated Partner Invites; and 4) Time-Bounded Auditor Access Passes.</w:t>
            </w:r>
          </w:p>
        </w:tc>
      </w:tr>
    </w:tbl>
    <w:p>
      <w:pPr>
        <w:spacing w:before="60" w:after="100"/>
      </w:pPr>
    </w:p>
    <w:p>
      <w:pPr>
        <w:pStyle w:val="Heading2"/>
        <w:spacing w:before="300" w:after="120"/>
      </w:pPr>
      <w:r>
        <w:rPr>
          <w:rFonts w:ascii="Helvetica" w:hAnsi="Helvetica"/>
          <w:b/>
          <w:sz w:val="30"/>
          <w:color w:val="2563EB"/>
        </w:rPr>
        <w:t>Step-by-Step Role Assignment Workflows</w:t>
      </w:r>
    </w:p>
    <w:p>
      <w:pPr>
        <w:pStyle w:val="ListParagraph"/>
        <w:numPr>
          <w:ilvl w:val="0"/>
          <w:numId w:val="1"/>
        </w:numPr>
        <w:spacing w:before="40" w:after="60"/>
        <w:ind w:left="360"/>
      </w:pPr>
      <w:r>
        <w:rPr>
          <w:rFonts w:ascii="Helvetica" w:hAnsi="Helvetica"/>
          <w:b/>
          <w:sz w:val="22"/>
          <w:color w:val="1E293B"/>
        </w:rPr>
        <w:t xml:space="preserve">1. Enterprise SSO &amp; Directory Sync (SCIM 2.0 / SAML 2.0): </w:t>
      </w:r>
      <w:r>
        <w:rPr>
          <w:rFonts w:ascii="Helvetica" w:hAnsi="Helvetica"/>
          <w:sz w:val="22"/>
          <w:color w:val="334155"/>
        </w:rPr>
        <w:t xml:space="preserve">For internal corporate staff (Knowledge Admin, SME / Approver, Trainer, Internal Employee), roles are mapped automatically from the enterprise identity provider (Okta, Microsoft Azure AD / Entra ID, PingFederate). When an employee is placed in the AD group 'Quality_Assurance_Officers', SCIM synchronization automatically grants the SME / Approver role in KiaviIQ.</w:t>
      </w:r>
    </w:p>
    <w:p>
      <w:pPr>
        <w:pStyle w:val="ListParagraph"/>
        <w:numPr>
          <w:ilvl w:val="0"/>
          <w:numId w:val="1"/>
        </w:numPr>
        <w:spacing w:before="40" w:after="60"/>
        <w:ind w:left="360"/>
      </w:pPr>
      <w:r>
        <w:rPr>
          <w:rFonts w:ascii="Helvetica" w:hAnsi="Helvetica"/>
          <w:b/>
          <w:sz w:val="22"/>
          <w:color w:val="1E293B"/>
        </w:rPr>
        <w:t xml:space="preserve">2. Tenant Admin Console Direct Assignment (/admin/users): </w:t>
      </w:r>
      <w:r>
        <w:rPr>
          <w:rFonts w:ascii="Helvetica" w:hAnsi="Helvetica"/>
          <w:sz w:val="22"/>
          <w:color w:val="334155"/>
        </w:rPr>
        <w:t xml:space="preserve">Organization Admins have access to a dedicated User Management Console. They can: a) Invite users by corporate email; b) Select the assigned role from a validated dropdown; c) Assign department tags (e.g., 'Cardiology Devices', 'Braking Systems') and geographical regions (e.g., 'DACH', 'Nordics'); and d) Enforce multi-factor authentication (MFA).</w:t>
      </w:r>
    </w:p>
    <w:p>
      <w:pPr>
        <w:pStyle w:val="ListParagraph"/>
        <w:numPr>
          <w:ilvl w:val="0"/>
          <w:numId w:val="1"/>
        </w:numPr>
        <w:spacing w:before="40" w:after="60"/>
        <w:ind w:left="360"/>
      </w:pPr>
      <w:r>
        <w:rPr>
          <w:rFonts w:ascii="Helvetica" w:hAnsi="Helvetica"/>
          <w:b/>
          <w:sz w:val="22"/>
          <w:color w:val="1E293B"/>
        </w:rPr>
        <w:t xml:space="preserve">3. Delegated External Partner &amp; Dealer Onboarding: </w:t>
      </w:r>
      <w:r>
        <w:rPr>
          <w:rFonts w:ascii="Helvetica" w:hAnsi="Helvetica"/>
          <w:sz w:val="22"/>
          <w:color w:val="334155"/>
        </w:rPr>
        <w:t xml:space="preserve">Enterprise manufacturers cannot manually manage 5,000 independent car mechanics or hardware distributors. KiaviIQ utilizes a Delegated Multi-Tenant Model: The manufacturer invites a Partner Admin (e.g., Lead at Workshop Berlin). That Partner Admin logs into their sub-portal and invites their own technicians and mechanics with the Distributor/Dealer/Partner role. The manufacturer retains global audit oversight without the onboarding overhead.</w:t>
      </w:r>
    </w:p>
    <w:p>
      <w:pPr>
        <w:pStyle w:val="ListParagraph"/>
        <w:numPr>
          <w:ilvl w:val="0"/>
          <w:numId w:val="1"/>
        </w:numPr>
        <w:spacing w:before="40" w:after="60"/>
        <w:ind w:left="360"/>
      </w:pPr>
      <w:r>
        <w:rPr>
          <w:rFonts w:ascii="Helvetica" w:hAnsi="Helvetica"/>
          <w:b/>
          <w:sz w:val="22"/>
          <w:color w:val="1E293B"/>
        </w:rPr>
        <w:t xml:space="preserve">4. B2B Customer Portal Domain-Verified Auto-Enrollment: </w:t>
      </w:r>
      <w:r>
        <w:rPr>
          <w:rFonts w:ascii="Helvetica" w:hAnsi="Helvetica"/>
          <w:sz w:val="22"/>
          <w:color w:val="334155"/>
        </w:rPr>
        <w:t xml:space="preserve">When a hospital procurement officer or architectural contractor signs up via the customer portal using their corporate email (e.g., @charite.de or @skanska.se), the system verifies the email domain against approved customer contracts and automatically provisions the B2B Customer role with restricted access to approved public manuals.</w:t>
      </w:r>
    </w:p>
    <w:p>
      <w:pPr>
        <w:pStyle w:val="ListParagraph"/>
        <w:numPr>
          <w:ilvl w:val="0"/>
          <w:numId w:val="1"/>
        </w:numPr>
        <w:spacing w:before="40" w:after="60"/>
        <w:ind w:left="360"/>
      </w:pPr>
      <w:r>
        <w:rPr>
          <w:rFonts w:ascii="Helvetica" w:hAnsi="Helvetica"/>
          <w:b/>
          <w:sz w:val="22"/>
          <w:color w:val="1E293B"/>
        </w:rPr>
        <w:t xml:space="preserve">5. Time-Bounded Auditor Access Passes: </w:t>
      </w:r>
      <w:r>
        <w:rPr>
          <w:rFonts w:ascii="Helvetica" w:hAnsi="Helvetica"/>
          <w:sz w:val="22"/>
          <w:color w:val="334155"/>
        </w:rPr>
        <w:t xml:space="preserve">For ISO 9001, IATF 16949, or EU MDR Notified Body inspectors (TÜV SÜD, BSI, DEKRA), Organization Admins generate a temporary Auditor Access Pass. The auditor receives a cryptographically signed link granting Read-Only access to document version histories, SME approval logs, and employee training completion transcripts, auto-expiring after the audit window (e.g., 14 days).</w:t>
      </w:r>
    </w:p>
    <w:p>
      <w:pPr>
        <w:pStyle w:val="ListParagraph"/>
        <w:numPr>
          <w:ilvl w:val="0"/>
          <w:numId w:val="1"/>
        </w:numPr>
        <w:spacing w:before="40" w:after="60"/>
        <w:ind w:left="360"/>
      </w:pPr>
      <w:r>
        <w:rPr>
          <w:rFonts w:ascii="Helvetica" w:hAnsi="Helvetica"/>
          <w:b/>
          <w:sz w:val="22"/>
          <w:color w:val="1E293B"/>
        </w:rPr>
        <w:t xml:space="preserve">6. Programmatic REST API Role Management: </w:t>
      </w:r>
      <w:r>
        <w:rPr>
          <w:rFonts w:ascii="Helvetica" w:hAnsi="Helvetica"/>
          <w:sz w:val="22"/>
          <w:color w:val="334155"/>
        </w:rPr>
        <w:t xml:space="preserve">All role assignments are exposed via a secured REST API (POST /api/v1/admin/users/assign-role). Requests require a bearer token with 'manage_users' permission. Every role change creates an immutable event in the audit_logs table detailing: who assigned the role, to whom, previous role, new role, IP address, and timestamp.</w:t>
      </w:r>
    </w:p>
    <w:tbl>
      <w:tblPr>
        <w:tblW w:w="9360" w:type="dxa"/>
        <w:tblBorders>
          <w:top w:val="none"/>
          <w:left w:val="single" w:sz="36" w:space="0" w:color="F59E0B"/>
          <w:bottom w:val="none"/>
          <w:right w:val="none"/>
        </w:tblBorders>
        <w:tblCellMar>
          <w:top w:w="160" w:type="dxa"/>
          <w:left w:w="240" w:type="dxa"/>
          <w:bottom w:w="160" w:type="dxa"/>
          <w:right w:w="240" w:type="dxa"/>
        </w:tblCellMar>
      </w:tblPr>
      <w:tr>
        <w:tc>
          <w:tcPr>
            <w:tcW w:w="9360" w:type="dxa"/>
            <w:shd w:val="clear" w:color="auto" w:fill="FEF3C7"/>
          </w:tcPr>
          <w:p>
            <w:pPr>
              <w:spacing w:before="40" w:after="60"/>
            </w:pPr>
            <w:r>
              <w:rPr>
                <w:rFonts w:ascii="Helvetica" w:hAnsi="Helvetica"/>
                <w:b/>
                <w:sz w:val="22"/>
                <w:color w:val="92400E"/>
              </w:rPr>
              <w:t>SECURITY GUARDRAIL: ZERO PRIVILEGE ESCALATION</w:t>
            </w:r>
          </w:p>
          <w:p>
            <w:pPr>
              <w:spacing w:before="40" w:after="40"/>
            </w:pPr>
            <w:r>
              <w:rPr>
                <w:rFonts w:ascii="Helvetica" w:hAnsi="Helvetica"/>
                <w:sz w:val="20"/>
                <w:color w:val="1E293B"/>
              </w:rPr>
              <w:t>No user can assign a role higher than their own authority. An Organization Admin cannot grant Platform Admin privileges, and a Partner Admin cannot grant internal company employee roles. Role escalation attempts trigger immediate security alerts.</w:t>
            </w:r>
          </w:p>
        </w:tc>
      </w:tr>
    </w:tbl>
    <w:p>
      <w:pPr>
        <w:spacing w:before="60" w:after="100"/>
      </w:pPr>
    </w:p>
    <w:p>
      <w:r>
        <w:br w:type="pag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Helvetica" w:hAnsi="Helvetica" w:cs="Helvetica"/>
        <w:sz w:val="22"/>
        <w:szCs w:val="22"/>
        <w:lang w:val="en-US"/>
      </w:rPr>
    </w:rPrDefault>
  </w:docDefaults>
  <w:style w:type="paragraph" w:default="1" w:styleId="Normal">
    <w:name w:val="Normal"/>
    <w:qFormat/>
  </w:style>
  <w:style w:type="paragraph" w:styleId="Heading1">
    <w:name w:val="heading 1"/>
    <w:basedOn w:val="Normal"/>
    <w:next w:val="Normal"/>
    <w:qFormat/>
    <w:pPr>
      <w:spacing w:before="400" w:after="160"/>
    </w:pPr>
    <w:rPr>
      <w:b/>
      <w:sz w:val="36"/>
      <w:color w:val="1E3A8A"/>
    </w:rPr>
  </w:style>
  <w:style w:type="paragraph" w:styleId="Heading2">
    <w:name w:val="heading 2"/>
    <w:basedOn w:val="Normal"/>
    <w:next w:val="Normal"/>
    <w:qFormat/>
    <w:pPr>
      <w:spacing w:before="300" w:after="120"/>
    </w:pPr>
    <w:rPr>
      <w:b/>
      <w:sz w:val="30"/>
      <w:color w:val="2563EB"/>
    </w:rPr>
  </w:style>
  <w:style w:type="paragraph" w:styleId="Heading3">
    <w:name w:val="heading 3"/>
    <w:basedOn w:val="Normal"/>
    <w:next w:val="Normal"/>
    <w:qFormat/>
    <w:pPr>
      <w:spacing w:before="200" w:after="80"/>
    </w:pPr>
    <w:rPr>
      <w:b/>
      <w:sz w:val="24"/>
      <w:color w:val="1F293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