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Assignment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Concurrency in Clojure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Part A. [30]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Consume from a sequence of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N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random strings.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For each string, count the number of distinct characters.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Aggregate the total count for the entire sequence.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Record the time it takes to complete the task.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Plot the relationship between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N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and the total runtime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t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Your source code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must be named  </w:t>
      </w: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“sequential-count.clj”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Part B. [60]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In this part, you will break the task into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K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threads using the </w:t>
      </w: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(future …)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form.  The parallelizing strategy is to partition the sequence of strings into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K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subsequences.  Each subsequence will be counted separately using (future …).  Then, add up the individual counts by deferencing each of the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futures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Record the total time it takes.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Plot the relationship between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K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and the total runtime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t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, with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N  &gt; 1,000,000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Your source code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must be named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</w:t>
      </w: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“future-count.clj”.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Report [10]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Submit your source code files with the correct names.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Submit your report, named </w:t>
      </w: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report.pdf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.  It must contain the two plots.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For each observation, discuss the effect of concurrency and the choice of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K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Part C. [10 Bonus]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Devise your own parallelizing strategy to utilize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software transactional memory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(STM).   While using STM features, explore the possibility of optimizing your concurrent updates of a shared counter using atoms.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Your source code must be named </w:t>
      </w: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“stm-count.clj”.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Part D. [10 Bonus]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Solve the same problem using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channels and go-expressions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Your source code must be named </w:t>
      </w: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“go-count.clj”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Part E. [10 Bonus]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Solve the same problem using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agents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Your source code must be named </w:t>
      </w: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“agent-count.clj”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rimson Text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rimsonText-regular.ttf"/><Relationship Id="rId2" Type="http://schemas.openxmlformats.org/officeDocument/2006/relationships/font" Target="fonts/CrimsonText-bold.ttf"/><Relationship Id="rId3" Type="http://schemas.openxmlformats.org/officeDocument/2006/relationships/font" Target="fonts/CrimsonText-italic.ttf"/><Relationship Id="rId4" Type="http://schemas.openxmlformats.org/officeDocument/2006/relationships/font" Target="fonts/CrimsonText-boldItalic.ttf"/></Relationships>
</file>