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F1CC1" w14:textId="42F482B6" w:rsidR="008A1A18" w:rsidRPr="009D4183" w:rsidRDefault="008A1A18" w:rsidP="00B160E4">
      <w:pPr>
        <w:pStyle w:val="PAPERReferences"/>
        <w:rPr>
          <w:sz w:val="28"/>
          <w:szCs w:val="28"/>
          <w:lang w:val="en-US"/>
        </w:rPr>
      </w:pPr>
    </w:p>
    <w:p w14:paraId="036C657F" w14:textId="77777777" w:rsidR="00381C30" w:rsidRPr="009D4183" w:rsidRDefault="00381C30" w:rsidP="00B160E4">
      <w:pPr>
        <w:pStyle w:val="PAPERReferences"/>
        <w:rPr>
          <w:sz w:val="28"/>
          <w:szCs w:val="28"/>
          <w:lang w:val="en-US"/>
        </w:rPr>
      </w:pPr>
    </w:p>
    <w:p w14:paraId="06B5E833" w14:textId="77777777" w:rsidR="00381C30" w:rsidRPr="009D4183" w:rsidRDefault="00381C30" w:rsidP="00B160E4">
      <w:pPr>
        <w:pStyle w:val="PAPERReferences"/>
        <w:rPr>
          <w:sz w:val="28"/>
          <w:szCs w:val="28"/>
          <w:lang w:val="en-US"/>
        </w:rPr>
      </w:pPr>
    </w:p>
    <w:p w14:paraId="20CCCA54" w14:textId="77777777" w:rsidR="00381C30" w:rsidRPr="009D4183" w:rsidRDefault="00381C30" w:rsidP="00B160E4">
      <w:pPr>
        <w:pStyle w:val="PAPERReferences"/>
        <w:rPr>
          <w:sz w:val="28"/>
          <w:szCs w:val="28"/>
          <w:lang w:val="en-US"/>
        </w:rPr>
      </w:pPr>
    </w:p>
    <w:p w14:paraId="5F9A591C" w14:textId="507A214C" w:rsidR="00381C30" w:rsidRPr="009D4183" w:rsidRDefault="00D14C13" w:rsidP="00D14C13">
      <w:pPr>
        <w:pStyle w:val="PAPERReferences"/>
        <w:spacing w:after="0"/>
        <w:jc w:val="center"/>
        <w:rPr>
          <w:b/>
          <w:bCs/>
          <w:sz w:val="40"/>
          <w:szCs w:val="40"/>
          <w:lang w:val="en-US"/>
        </w:rPr>
      </w:pPr>
      <w:r w:rsidRPr="009D4183">
        <w:rPr>
          <w:b/>
          <w:bCs/>
          <w:sz w:val="40"/>
          <w:szCs w:val="40"/>
          <w:lang w:val="en-US"/>
        </w:rPr>
        <w:t>Flood Shocks and the Two-Phase Deposit Cycle</w:t>
      </w:r>
    </w:p>
    <w:p w14:paraId="0651FE5F" w14:textId="75A00DB2" w:rsidR="00D14C13" w:rsidRDefault="00D14C13" w:rsidP="00D14C13">
      <w:pPr>
        <w:pStyle w:val="PAPERReferences"/>
        <w:jc w:val="center"/>
        <w:rPr>
          <w:i/>
          <w:iCs/>
          <w:sz w:val="32"/>
          <w:szCs w:val="32"/>
          <w:lang w:val="en-US"/>
        </w:rPr>
      </w:pPr>
      <w:r w:rsidRPr="009D4183">
        <w:rPr>
          <w:i/>
          <w:iCs/>
          <w:sz w:val="32"/>
          <w:szCs w:val="32"/>
          <w:lang w:val="en-US"/>
        </w:rPr>
        <w:t>A Nighttime Lights Identification</w:t>
      </w:r>
    </w:p>
    <w:p w14:paraId="311D292F" w14:textId="77777777" w:rsidR="009D4183" w:rsidRPr="009D4183" w:rsidRDefault="009D4183" w:rsidP="009D4183">
      <w:pPr>
        <w:pStyle w:val="PAPERReferences"/>
        <w:rPr>
          <w:i/>
          <w:iCs/>
          <w:sz w:val="32"/>
          <w:szCs w:val="32"/>
          <w:lang w:val="en-US"/>
        </w:rPr>
      </w:pPr>
    </w:p>
    <w:p w14:paraId="4E85ED6A" w14:textId="77777777" w:rsidR="004F1A67" w:rsidRPr="009D4183" w:rsidRDefault="004F1A67" w:rsidP="004F1A67">
      <w:pPr>
        <w:pStyle w:val="PAPERReferences"/>
        <w:pBdr>
          <w:top w:val="single" w:sz="8" w:space="1" w:color="auto"/>
        </w:pBdr>
        <w:jc w:val="center"/>
        <w:rPr>
          <w:i/>
          <w:iCs/>
          <w:sz w:val="32"/>
          <w:szCs w:val="32"/>
          <w:lang w:val="en-US"/>
        </w:rPr>
      </w:pPr>
    </w:p>
    <w:p w14:paraId="134D609A" w14:textId="77777777" w:rsidR="004F1A67" w:rsidRPr="009D4183" w:rsidRDefault="004F1A67" w:rsidP="004F1A67">
      <w:pPr>
        <w:pStyle w:val="PAPERReferences"/>
        <w:pBdr>
          <w:top w:val="single" w:sz="8" w:space="1" w:color="auto"/>
        </w:pBdr>
        <w:jc w:val="center"/>
        <w:rPr>
          <w:sz w:val="32"/>
          <w:szCs w:val="32"/>
          <w:lang w:val="en-US"/>
        </w:rPr>
      </w:pPr>
    </w:p>
    <w:p w14:paraId="2E4F6286" w14:textId="70459B66" w:rsidR="004F1A67" w:rsidRPr="009D4183" w:rsidRDefault="004F1A67" w:rsidP="004F1A67">
      <w:pPr>
        <w:pStyle w:val="PAPERReferences"/>
        <w:pBdr>
          <w:top w:val="single" w:sz="8" w:space="1" w:color="auto"/>
        </w:pBdr>
        <w:jc w:val="center"/>
        <w:rPr>
          <w:b/>
          <w:bCs/>
          <w:sz w:val="32"/>
          <w:szCs w:val="32"/>
          <w:lang w:val="en-US"/>
        </w:rPr>
      </w:pPr>
      <w:r w:rsidRPr="009D4183">
        <w:rPr>
          <w:b/>
          <w:bCs/>
          <w:sz w:val="32"/>
          <w:szCs w:val="32"/>
          <w:lang w:val="en-US"/>
        </w:rPr>
        <w:t>Jaseel Badar</w:t>
      </w:r>
    </w:p>
    <w:p w14:paraId="36825D16" w14:textId="094249F8" w:rsidR="004F1A67" w:rsidRPr="009D4183" w:rsidRDefault="004F1A67" w:rsidP="00214415">
      <w:pPr>
        <w:pStyle w:val="PAPERReferences"/>
        <w:pBdr>
          <w:top w:val="single" w:sz="8" w:space="1" w:color="auto"/>
        </w:pBdr>
        <w:jc w:val="center"/>
        <w:rPr>
          <w:i/>
          <w:iCs/>
          <w:sz w:val="28"/>
          <w:szCs w:val="28"/>
          <w:lang w:val="en-US"/>
        </w:rPr>
      </w:pPr>
      <w:r w:rsidRPr="009D4183">
        <w:rPr>
          <w:i/>
          <w:iCs/>
          <w:sz w:val="28"/>
          <w:szCs w:val="28"/>
          <w:lang w:val="en-US"/>
        </w:rPr>
        <w:t>Harvard University</w:t>
      </w:r>
      <w:r w:rsidR="009D4183" w:rsidRPr="009D4183">
        <w:rPr>
          <w:i/>
          <w:iCs/>
          <w:sz w:val="28"/>
          <w:szCs w:val="28"/>
          <w:lang w:val="en-US"/>
        </w:rPr>
        <w:t xml:space="preserve"> Extension School</w:t>
      </w:r>
    </w:p>
    <w:p w14:paraId="7A7ED566" w14:textId="3EBF053F" w:rsidR="0050052B" w:rsidRPr="009D4183" w:rsidRDefault="0050052B" w:rsidP="00214415">
      <w:pPr>
        <w:pStyle w:val="PAPERReferences"/>
        <w:pBdr>
          <w:top w:val="single" w:sz="8" w:space="1" w:color="auto"/>
        </w:pBdr>
        <w:jc w:val="center"/>
        <w:rPr>
          <w:sz w:val="28"/>
          <w:szCs w:val="28"/>
          <w:lang w:val="en-US"/>
        </w:rPr>
      </w:pPr>
      <w:r w:rsidRPr="009D4183">
        <w:rPr>
          <w:sz w:val="28"/>
          <w:szCs w:val="28"/>
          <w:lang w:val="en-US"/>
        </w:rPr>
        <w:t>April 2026</w:t>
      </w:r>
    </w:p>
    <w:p w14:paraId="6860C096" w14:textId="7E738969" w:rsidR="00214415" w:rsidRDefault="00214415" w:rsidP="00214415">
      <w:pPr>
        <w:pStyle w:val="PAPERReferences"/>
        <w:jc w:val="center"/>
        <w:rPr>
          <w:color w:val="C00000"/>
          <w:sz w:val="28"/>
          <w:szCs w:val="28"/>
          <w:lang w:val="en-US"/>
        </w:rPr>
      </w:pPr>
      <w:r w:rsidRPr="009D4183">
        <w:rPr>
          <w:color w:val="C00000"/>
          <w:sz w:val="28"/>
          <w:szCs w:val="28"/>
          <w:lang w:val="en-US"/>
        </w:rPr>
        <w:t>Working Paper</w:t>
      </w:r>
    </w:p>
    <w:p w14:paraId="0EF3DB28" w14:textId="77777777" w:rsidR="009D4183" w:rsidRPr="009D4183" w:rsidRDefault="009D4183" w:rsidP="00214415">
      <w:pPr>
        <w:pStyle w:val="PAPERReferences"/>
        <w:jc w:val="center"/>
        <w:rPr>
          <w:color w:val="C00000"/>
          <w:sz w:val="28"/>
          <w:szCs w:val="28"/>
          <w:lang w:val="en-US"/>
        </w:rPr>
      </w:pPr>
    </w:p>
    <w:p w14:paraId="081B2C76" w14:textId="77777777" w:rsidR="009D4183" w:rsidRPr="009D4183" w:rsidRDefault="009D4183" w:rsidP="00214415">
      <w:pPr>
        <w:pStyle w:val="PAPERReferences"/>
        <w:pBdr>
          <w:top w:val="single" w:sz="8" w:space="1" w:color="auto"/>
        </w:pBdr>
        <w:jc w:val="center"/>
        <w:rPr>
          <w:i/>
          <w:iCs/>
          <w:sz w:val="32"/>
          <w:szCs w:val="32"/>
          <w:lang w:val="en-US"/>
        </w:rPr>
      </w:pPr>
    </w:p>
    <w:p w14:paraId="1D76C6D2" w14:textId="77777777" w:rsidR="00214415" w:rsidRPr="009D4183" w:rsidRDefault="00214415" w:rsidP="00214415">
      <w:pPr>
        <w:pStyle w:val="PAPERReferences"/>
        <w:pBdr>
          <w:top w:val="single" w:sz="8" w:space="1" w:color="auto"/>
        </w:pBdr>
        <w:jc w:val="center"/>
        <w:rPr>
          <w:sz w:val="32"/>
          <w:szCs w:val="32"/>
          <w:lang w:val="en-US"/>
        </w:rPr>
      </w:pPr>
    </w:p>
    <w:p w14:paraId="70B62D05" w14:textId="6E923801" w:rsidR="00214415" w:rsidRPr="009D4183" w:rsidRDefault="00214415" w:rsidP="00214415">
      <w:pPr>
        <w:pStyle w:val="PAPERReferences"/>
        <w:pBdr>
          <w:top w:val="single" w:sz="8" w:space="1" w:color="auto"/>
        </w:pBdr>
        <w:spacing w:after="120"/>
        <w:jc w:val="center"/>
        <w:rPr>
          <w:b/>
          <w:bCs/>
          <w:sz w:val="28"/>
          <w:szCs w:val="28"/>
          <w:lang w:val="en-US"/>
        </w:rPr>
      </w:pPr>
      <w:r w:rsidRPr="009D4183">
        <w:rPr>
          <w:b/>
          <w:bCs/>
          <w:sz w:val="28"/>
          <w:szCs w:val="28"/>
          <w:lang w:val="en-US"/>
        </w:rPr>
        <w:t>Abstract</w:t>
      </w:r>
    </w:p>
    <w:p w14:paraId="6C44614C" w14:textId="77777777" w:rsidR="00214415" w:rsidRPr="009D4183" w:rsidRDefault="00214415" w:rsidP="009D4183">
      <w:pPr>
        <w:pStyle w:val="PAPERReferences"/>
        <w:pBdr>
          <w:top w:val="single" w:sz="8" w:space="1" w:color="auto"/>
        </w:pBdr>
        <w:ind w:firstLine="720"/>
        <w:rPr>
          <w:sz w:val="28"/>
          <w:szCs w:val="28"/>
        </w:rPr>
      </w:pPr>
      <w:r w:rsidRPr="009D4183">
        <w:rPr>
          <w:sz w:val="28"/>
          <w:szCs w:val="28"/>
        </w:rPr>
        <w:t>[Abstract to be completed after all sections are drafted.]</w:t>
      </w:r>
    </w:p>
    <w:p w14:paraId="7DC33A2C" w14:textId="77777777" w:rsidR="009D4183" w:rsidRDefault="009D4183" w:rsidP="00214415">
      <w:pPr>
        <w:pStyle w:val="PAPERReferences"/>
        <w:pBdr>
          <w:top w:val="single" w:sz="8" w:space="1" w:color="auto"/>
        </w:pBdr>
        <w:rPr>
          <w:sz w:val="28"/>
          <w:szCs w:val="28"/>
        </w:rPr>
      </w:pPr>
    </w:p>
    <w:p w14:paraId="37F16E1C" w14:textId="77777777" w:rsidR="009D4183" w:rsidRPr="009D4183" w:rsidRDefault="009D4183" w:rsidP="00214415">
      <w:pPr>
        <w:pStyle w:val="PAPERReferences"/>
        <w:pBdr>
          <w:top w:val="single" w:sz="8" w:space="1" w:color="auto"/>
        </w:pBdr>
        <w:rPr>
          <w:sz w:val="28"/>
          <w:szCs w:val="28"/>
        </w:rPr>
      </w:pPr>
    </w:p>
    <w:p w14:paraId="7DD29C47" w14:textId="36E69B0B" w:rsidR="00214415" w:rsidRPr="009D4183" w:rsidRDefault="00214415" w:rsidP="00214415">
      <w:pPr>
        <w:pStyle w:val="PAPERReferences"/>
        <w:pBdr>
          <w:top w:val="single" w:sz="8" w:space="1" w:color="auto"/>
        </w:pBdr>
        <w:jc w:val="left"/>
        <w:rPr>
          <w:sz w:val="24"/>
          <w:szCs w:val="24"/>
          <w:lang w:val="en-US"/>
        </w:rPr>
      </w:pPr>
      <w:r w:rsidRPr="00456880">
        <w:rPr>
          <w:b/>
          <w:bCs/>
          <w:sz w:val="24"/>
          <w:szCs w:val="24"/>
          <w:lang w:val="en-US"/>
        </w:rPr>
        <w:t>JEL Classification:</w:t>
      </w:r>
      <w:r w:rsidRPr="009D4183">
        <w:rPr>
          <w:sz w:val="24"/>
          <w:szCs w:val="24"/>
          <w:lang w:val="en-US"/>
        </w:rPr>
        <w:t xml:space="preserve"> G21, Q54, O16, R11</w:t>
      </w:r>
      <w:r w:rsidR="009D4183" w:rsidRPr="009D4183">
        <w:rPr>
          <w:sz w:val="24"/>
          <w:szCs w:val="24"/>
          <w:lang w:val="en-US"/>
        </w:rPr>
        <w:br/>
      </w:r>
      <w:r w:rsidRPr="00456880">
        <w:rPr>
          <w:b/>
          <w:bCs/>
          <w:sz w:val="24"/>
          <w:szCs w:val="24"/>
          <w:lang w:val="en-US"/>
        </w:rPr>
        <w:t xml:space="preserve">Keywords: </w:t>
      </w:r>
      <w:r w:rsidRPr="009D4183">
        <w:rPr>
          <w:sz w:val="24"/>
          <w:szCs w:val="24"/>
          <w:lang w:val="en-US"/>
        </w:rPr>
        <w:t>flood shocks, bank deposits, nighttime lights, instrumental variables, liquidity risk, India, climate finance</w:t>
      </w:r>
    </w:p>
    <w:p w14:paraId="7D45356F" w14:textId="77777777" w:rsidR="00214415" w:rsidRPr="009D4183" w:rsidRDefault="00214415" w:rsidP="00214415">
      <w:pPr>
        <w:pStyle w:val="PAPERReferences"/>
        <w:pBdr>
          <w:top w:val="single" w:sz="8" w:space="1" w:color="auto"/>
        </w:pBdr>
        <w:jc w:val="left"/>
        <w:rPr>
          <w:sz w:val="24"/>
          <w:szCs w:val="24"/>
          <w:lang w:val="en-US"/>
        </w:rPr>
      </w:pPr>
    </w:p>
    <w:p w14:paraId="577CF9D4" w14:textId="55B71ED9" w:rsidR="00194E29" w:rsidRDefault="00214415" w:rsidP="00214415">
      <w:pPr>
        <w:pStyle w:val="PAPERReferences"/>
        <w:pBdr>
          <w:top w:val="single" w:sz="8" w:space="1" w:color="auto"/>
        </w:pBdr>
        <w:jc w:val="center"/>
        <w:rPr>
          <w:i/>
          <w:iCs/>
          <w:lang w:val="en-US"/>
        </w:rPr>
      </w:pPr>
      <w:r w:rsidRPr="009D4183">
        <w:rPr>
          <w:i/>
          <w:iCs/>
          <w:lang w:val="en-US"/>
        </w:rPr>
        <w:t>Correspondence: jaseelbadar123@gmail.com</w:t>
      </w:r>
      <w:r w:rsidR="00194E29">
        <w:rPr>
          <w:i/>
          <w:iCs/>
          <w:lang w:val="en-US"/>
        </w:rPr>
        <w:br w:type="page"/>
      </w:r>
    </w:p>
    <w:p w14:paraId="6D2753E1" w14:textId="1FBE5820" w:rsidR="00214415" w:rsidRDefault="00194E29" w:rsidP="00C73216">
      <w:pPr>
        <w:pStyle w:val="PAPERH1"/>
        <w:numPr>
          <w:ilvl w:val="0"/>
          <w:numId w:val="1"/>
        </w:numPr>
        <w:spacing w:line="480" w:lineRule="auto"/>
      </w:pPr>
      <w:r w:rsidRPr="00194E29">
        <w:lastRenderedPageBreak/>
        <w:t>I</w:t>
      </w:r>
      <w:r w:rsidR="00C73216">
        <w:t>ntroduction</w:t>
      </w:r>
    </w:p>
    <w:p w14:paraId="3593DECF" w14:textId="710548F3" w:rsidR="00194E29" w:rsidRDefault="00194E29" w:rsidP="00C73216">
      <w:pPr>
        <w:pStyle w:val="PAPERBody"/>
      </w:pPr>
    </w:p>
    <w:p w14:paraId="0E00ECDD" w14:textId="3ED50B95" w:rsidR="00194E29" w:rsidRDefault="00194E29" w:rsidP="00C73216">
      <w:pPr>
        <w:pStyle w:val="PAPERH1"/>
        <w:numPr>
          <w:ilvl w:val="0"/>
          <w:numId w:val="1"/>
        </w:numPr>
        <w:spacing w:line="480" w:lineRule="auto"/>
      </w:pPr>
      <w:r w:rsidRPr="00194E29">
        <w:t>R</w:t>
      </w:r>
      <w:r w:rsidR="00C73216">
        <w:t>elated Literature</w:t>
      </w:r>
    </w:p>
    <w:p w14:paraId="04958A9F" w14:textId="5438BE39" w:rsidR="00194E29" w:rsidRDefault="00194E29" w:rsidP="00C73216">
      <w:pPr>
        <w:pStyle w:val="PAPERBody"/>
      </w:pPr>
    </w:p>
    <w:p w14:paraId="5948DF7D" w14:textId="6F014072" w:rsidR="00194E29" w:rsidRDefault="00194E29" w:rsidP="00C73216">
      <w:pPr>
        <w:pStyle w:val="PAPERH1"/>
        <w:numPr>
          <w:ilvl w:val="0"/>
          <w:numId w:val="1"/>
        </w:numPr>
        <w:spacing w:line="480" w:lineRule="auto"/>
      </w:pPr>
      <w:r w:rsidRPr="00194E29">
        <w:t>D</w:t>
      </w:r>
      <w:r w:rsidR="00C73216">
        <w:t>ata</w:t>
      </w:r>
    </w:p>
    <w:p w14:paraId="7D479EEE" w14:textId="7B65B4ED" w:rsidR="00194E29" w:rsidRDefault="00FD63CE" w:rsidP="00C73216">
      <w:pPr>
        <w:pStyle w:val="PAPERH2"/>
        <w:spacing w:line="480" w:lineRule="auto"/>
      </w:pPr>
      <w:r w:rsidRPr="00FD63CE">
        <w:t>III.</w:t>
      </w:r>
      <w:proofErr w:type="gramStart"/>
      <w:r w:rsidRPr="00FD63CE">
        <w:t>A</w:t>
      </w:r>
      <w:proofErr w:type="gramEnd"/>
      <w:r w:rsidRPr="00FD63CE">
        <w:t xml:space="preserve"> RBI District-Level Deposits</w:t>
      </w:r>
    </w:p>
    <w:p w14:paraId="59AA635D" w14:textId="77777777" w:rsidR="007C708A" w:rsidRDefault="007C708A" w:rsidP="007C708A">
      <w:pPr>
        <w:pStyle w:val="PAPERBody"/>
      </w:pPr>
      <w:r>
        <w:t>The deposit data come from the Reserve Bank of India's Basic Statistical Returns (BSR-2), which tabulates aggregate scheduled commercial bank deposits at the district level on a quarterly basis [CITE: RBI BSR-2]. The BSR-2 covers all scheduled commercial banks operating across Indian states and union territories and aggregates deposits across population groups — current, savings, and term accounts — into a single district-level total. I extract data from three workbooks spanning 2004Q1 to 2024Q4 and retain the 2015Q1–2024Q4 window for the analysis sample.</w:t>
      </w:r>
    </w:p>
    <w:p w14:paraId="78B2BBFA" w14:textId="77777777" w:rsidR="007C708A" w:rsidRDefault="007C708A" w:rsidP="007C708A">
      <w:pPr>
        <w:pStyle w:val="PAPERBody"/>
      </w:pPr>
    </w:p>
    <w:p w14:paraId="7BE253D0" w14:textId="77777777" w:rsidR="007C708A" w:rsidRDefault="007C708A" w:rsidP="007C708A">
      <w:pPr>
        <w:pStyle w:val="PAPERBody"/>
      </w:pPr>
      <w:r>
        <w:t>Deposits are denominated in nominal Indian Rupees, expressed in Crores. The primary outcome variable is the log-</w:t>
      </w:r>
      <w:proofErr w:type="gramStart"/>
      <w:r>
        <w:t>first-difference</w:t>
      </w:r>
      <w:proofErr w:type="gramEnd"/>
      <w:r>
        <w:t xml:space="preserve"> of district deposits: $</w:t>
      </w:r>
      <w:proofErr w:type="gramStart"/>
      <w:r>
        <w:t>\Delta\text{</w:t>
      </w:r>
      <w:proofErr w:type="gramEnd"/>
      <w:r>
        <w:t>Deposits}{it} = \ln(\</w:t>
      </w:r>
      <w:proofErr w:type="gramStart"/>
      <w:r>
        <w:t>text{</w:t>
      </w:r>
      <w:proofErr w:type="gramEnd"/>
      <w:r>
        <w:t>Deposits}{it} + 1) - \ln(\</w:t>
      </w:r>
      <w:proofErr w:type="gramStart"/>
      <w:r>
        <w:t>text{</w:t>
      </w:r>
      <w:proofErr w:type="gramEnd"/>
      <w:r>
        <w:t>Deposits}_{</w:t>
      </w:r>
      <w:proofErr w:type="gramStart"/>
      <w:r>
        <w:t>i,t</w:t>
      </w:r>
      <w:proofErr w:type="gramEnd"/>
      <w:r>
        <w:t xml:space="preserve">-1} + </w:t>
      </w:r>
      <w:proofErr w:type="gramStart"/>
      <w:r>
        <w:t>1)$</w:t>
      </w:r>
      <w:proofErr w:type="gramEnd"/>
      <w:r>
        <w:t>. The additive offset of one is negligible at the Crore scale, where the minimum observed value exceeds 28 Crores. This transformation converts nominal deposit levels to approximate quarterly growth rates and, by construction, removes district-level fixed trends in the distributed-lag specification. I retain deposits in nominal terms throughout. Quarter fixed effects absorb national price movements in all specifications; the absence of district-quarter price indices at the required granularity precludes deflation below the national level.</w:t>
      </w:r>
    </w:p>
    <w:p w14:paraId="34B64547" w14:textId="77777777" w:rsidR="007C708A" w:rsidRDefault="007C708A" w:rsidP="007C708A">
      <w:pPr>
        <w:pStyle w:val="PAPERBody"/>
      </w:pPr>
    </w:p>
    <w:p w14:paraId="4F8C923A" w14:textId="77777777" w:rsidR="007C708A" w:rsidRDefault="007C708A" w:rsidP="007C708A">
      <w:pPr>
        <w:pStyle w:val="PAPERBody"/>
      </w:pPr>
      <w:r>
        <w:t xml:space="preserve">The RBI district classification does not maintain stable boundaries across publication years. I map RBI district names to GADM v4.1 </w:t>
      </w:r>
      <w:proofErr w:type="gramStart"/>
      <w:r>
        <w:t>Level-2</w:t>
      </w:r>
      <w:proofErr w:type="gramEnd"/>
      <w:r>
        <w:t xml:space="preserve"> polygon boundaries using a crosswalk constructed in Script 08 [CITE: GADM]. The raw crosswalk contains 762 RBI district entries. After restricting to the 631 composite district-state pairs with full VIIRS nighttime lights coverage, the analysis sample comprises 23,347 district-quarter observations across 631 districts and 37 quarters. Deposit observations are available for 98.9 percent of these district-quarters; 268 district-quarters carry missing values, generating 905 missing observations in the first-differenced deposit growth series.</w:t>
      </w:r>
    </w:p>
    <w:p w14:paraId="5ED2A850" w14:textId="77777777" w:rsidR="007C708A" w:rsidRDefault="007C708A" w:rsidP="007C708A">
      <w:pPr>
        <w:pStyle w:val="PAPERBody"/>
      </w:pPr>
    </w:p>
    <w:p w14:paraId="528FFED2" w14:textId="77777777" w:rsidR="007C708A" w:rsidRDefault="007C708A" w:rsidP="007C708A">
      <w:pPr>
        <w:pStyle w:val="PAPERBody"/>
      </w:pPr>
      <w:r>
        <w:t>Three quarters — 2016Q3, 2016Q4, and 2017Q1 — are absent from the panel. The Reserve Bank suspended district-level BSR-2 publication during India's demonetization episode of November 2016 and its immediate aftermath. Deposit figures for this window are unreliable and are excluded at the data extraction stage. Full-year deposit figures for 2016 and 2017 are not reported in this paper.</w:t>
      </w:r>
    </w:p>
    <w:p w14:paraId="792F9E7E" w14:textId="77777777" w:rsidR="007C708A" w:rsidRDefault="007C708A" w:rsidP="007C708A">
      <w:pPr>
        <w:pStyle w:val="PAPERBody"/>
      </w:pPr>
    </w:p>
    <w:p w14:paraId="64D1974F" w14:textId="04222FE0" w:rsidR="00FD63CE" w:rsidRDefault="007C708A" w:rsidP="007C708A">
      <w:pPr>
        <w:pStyle w:val="PAPERBody"/>
      </w:pPr>
      <w:r>
        <w:t xml:space="preserve">Across the 22,442 non-missing observations in the deposit growth series, mean quarterly growth is 2.33 percentage points (standard deviation 7.43 percentage points). The distribution is approximately symmetric at the </w:t>
      </w:r>
      <w:proofErr w:type="gramStart"/>
      <w:r>
        <w:t>median</w:t>
      </w:r>
      <w:proofErr w:type="gramEnd"/>
      <w:r>
        <w:t xml:space="preserve"> but exhibits pronounced left-tail asymmetry in 2023, concentrated in Northeast districts where low absolute deposit levels amplify percentage volatility.</w:t>
      </w:r>
    </w:p>
    <w:p w14:paraId="2B9FFAAB" w14:textId="3E320FE6" w:rsidR="00FD63CE" w:rsidRDefault="00FD63CE" w:rsidP="00C73216">
      <w:pPr>
        <w:pStyle w:val="PAPERH2"/>
        <w:spacing w:line="480" w:lineRule="auto"/>
      </w:pPr>
      <w:r w:rsidRPr="00FD63CE">
        <w:t>III.B EM-DAT Flood Events</w:t>
      </w:r>
    </w:p>
    <w:p w14:paraId="3006FFAD" w14:textId="1CE8A50C" w:rsidR="00FD63CE" w:rsidRDefault="00FD63CE" w:rsidP="00C73216">
      <w:pPr>
        <w:pStyle w:val="PAPERBody"/>
      </w:pPr>
    </w:p>
    <w:p w14:paraId="257AD6C7" w14:textId="09D50830" w:rsidR="00FD63CE" w:rsidRDefault="00FD63CE" w:rsidP="00C73216">
      <w:pPr>
        <w:pStyle w:val="PAPERH2"/>
        <w:spacing w:line="480" w:lineRule="auto"/>
      </w:pPr>
      <w:r w:rsidRPr="00FD63CE">
        <w:lastRenderedPageBreak/>
        <w:t>III.C VIIRS Nighttime Lights</w:t>
      </w:r>
    </w:p>
    <w:p w14:paraId="626C7590" w14:textId="77777777" w:rsidR="00FD63CE" w:rsidRDefault="00FD63CE" w:rsidP="00C73216">
      <w:pPr>
        <w:pStyle w:val="PAPERBody"/>
      </w:pPr>
    </w:p>
    <w:p w14:paraId="3B347184" w14:textId="7E3F82B7" w:rsidR="00FD63CE" w:rsidRDefault="00FD63CE" w:rsidP="00C73216">
      <w:pPr>
        <w:pStyle w:val="PAPERH2"/>
        <w:spacing w:line="480" w:lineRule="auto"/>
      </w:pPr>
      <w:r w:rsidRPr="00FD63CE">
        <w:t>III.D Panel Construction</w:t>
      </w:r>
    </w:p>
    <w:p w14:paraId="50C263E9" w14:textId="77777777" w:rsidR="00FD63CE" w:rsidRDefault="00FD63CE" w:rsidP="00C73216">
      <w:pPr>
        <w:pStyle w:val="PAPERBody"/>
      </w:pPr>
    </w:p>
    <w:p w14:paraId="5996493F" w14:textId="3E196DEA" w:rsidR="00FD63CE" w:rsidRDefault="00FD63CE" w:rsidP="00C73216">
      <w:pPr>
        <w:pStyle w:val="PAPERH1"/>
        <w:numPr>
          <w:ilvl w:val="0"/>
          <w:numId w:val="1"/>
        </w:numPr>
        <w:spacing w:line="480" w:lineRule="auto"/>
      </w:pPr>
      <w:r w:rsidRPr="00FD63CE">
        <w:t>I</w:t>
      </w:r>
      <w:r w:rsidR="00C73216">
        <w:t>dentification</w:t>
      </w:r>
      <w:r w:rsidRPr="00FD63CE">
        <w:t xml:space="preserve"> S</w:t>
      </w:r>
      <w:r w:rsidR="00C73216">
        <w:t>trategy</w:t>
      </w:r>
    </w:p>
    <w:p w14:paraId="5CC64500" w14:textId="77777777" w:rsidR="00FD63CE" w:rsidRDefault="00FD63CE" w:rsidP="00C73216">
      <w:pPr>
        <w:pStyle w:val="PAPERBody"/>
      </w:pPr>
    </w:p>
    <w:p w14:paraId="7951D32E" w14:textId="7402DF04" w:rsidR="00FD63CE" w:rsidRDefault="00C73216" w:rsidP="00C73216">
      <w:pPr>
        <w:pStyle w:val="PAPERH1"/>
        <w:numPr>
          <w:ilvl w:val="0"/>
          <w:numId w:val="1"/>
        </w:numPr>
        <w:spacing w:line="480" w:lineRule="auto"/>
      </w:pPr>
      <w:r w:rsidRPr="00FD63CE">
        <w:t>Results</w:t>
      </w:r>
    </w:p>
    <w:p w14:paraId="4218FA7E" w14:textId="77777777" w:rsidR="00FD63CE" w:rsidRDefault="00FD63CE" w:rsidP="00C73216">
      <w:pPr>
        <w:pStyle w:val="PAPERBody"/>
      </w:pPr>
    </w:p>
    <w:p w14:paraId="70BBE210" w14:textId="09772D5E" w:rsidR="00FD63CE" w:rsidRDefault="00C73216" w:rsidP="00C73216">
      <w:pPr>
        <w:pStyle w:val="PAPERH1"/>
        <w:numPr>
          <w:ilvl w:val="0"/>
          <w:numId w:val="1"/>
        </w:numPr>
        <w:spacing w:line="480" w:lineRule="auto"/>
      </w:pPr>
      <w:r w:rsidRPr="00FD63CE">
        <w:t>Robustness</w:t>
      </w:r>
    </w:p>
    <w:p w14:paraId="2D13A3D5" w14:textId="77777777" w:rsidR="00FD63CE" w:rsidRDefault="00FD63CE" w:rsidP="00C73216">
      <w:pPr>
        <w:pStyle w:val="PAPERBody"/>
      </w:pPr>
    </w:p>
    <w:p w14:paraId="1E279EC7" w14:textId="6115F9C6" w:rsidR="0069107E" w:rsidRDefault="00C73216" w:rsidP="00C73216">
      <w:pPr>
        <w:pStyle w:val="PAPERH1"/>
        <w:numPr>
          <w:ilvl w:val="0"/>
          <w:numId w:val="1"/>
        </w:numPr>
        <w:spacing w:line="480" w:lineRule="auto"/>
      </w:pPr>
      <w:r w:rsidRPr="0069107E">
        <w:t xml:space="preserve">Discussion </w:t>
      </w:r>
      <w:r>
        <w:t>a</w:t>
      </w:r>
      <w:r w:rsidRPr="0069107E">
        <w:t>nd Mechanism</w:t>
      </w:r>
    </w:p>
    <w:p w14:paraId="43E36029" w14:textId="77777777" w:rsidR="0069107E" w:rsidRDefault="0069107E" w:rsidP="00C73216">
      <w:pPr>
        <w:pStyle w:val="ListParagraph"/>
        <w:spacing w:line="480" w:lineRule="auto"/>
      </w:pPr>
    </w:p>
    <w:p w14:paraId="1749AAEC" w14:textId="5B0C5C8C" w:rsidR="0069107E" w:rsidRDefault="00C73216" w:rsidP="00C73216">
      <w:pPr>
        <w:pStyle w:val="PAPERH1"/>
        <w:numPr>
          <w:ilvl w:val="0"/>
          <w:numId w:val="1"/>
        </w:numPr>
        <w:spacing w:line="480" w:lineRule="auto"/>
      </w:pPr>
      <w:r w:rsidRPr="0069107E">
        <w:t>Conclusion</w:t>
      </w:r>
    </w:p>
    <w:p w14:paraId="0EB67DA3" w14:textId="77777777" w:rsidR="0069107E" w:rsidRDefault="0069107E" w:rsidP="00C73216">
      <w:pPr>
        <w:pStyle w:val="PAPERBody"/>
      </w:pPr>
    </w:p>
    <w:p w14:paraId="1521E28D" w14:textId="3E922D4B" w:rsidR="0069107E" w:rsidRPr="0069107E" w:rsidRDefault="00C73216" w:rsidP="00C73216">
      <w:pPr>
        <w:pStyle w:val="PAPERH1"/>
        <w:spacing w:line="480" w:lineRule="auto"/>
      </w:pPr>
      <w:r w:rsidRPr="0069107E">
        <w:t>References</w:t>
      </w:r>
    </w:p>
    <w:sectPr w:rsidR="0069107E" w:rsidRPr="0069107E" w:rsidSect="00194E29">
      <w:headerReference w:type="default" r:id="rId8"/>
      <w:footerReference w:type="default" r:id="rId9"/>
      <w:pgSz w:w="12240" w:h="15840" w:code="1"/>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7AC58" w14:textId="77777777" w:rsidR="00B433A5" w:rsidRDefault="00B433A5" w:rsidP="00D54B92">
      <w:pPr>
        <w:spacing w:after="0" w:line="240" w:lineRule="auto"/>
      </w:pPr>
      <w:r>
        <w:separator/>
      </w:r>
    </w:p>
  </w:endnote>
  <w:endnote w:type="continuationSeparator" w:id="0">
    <w:p w14:paraId="0C6D1FC9" w14:textId="77777777" w:rsidR="00B433A5" w:rsidRDefault="00B433A5" w:rsidP="00D54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8865772"/>
      <w:docPartObj>
        <w:docPartGallery w:val="Page Numbers (Bottom of Page)"/>
        <w:docPartUnique/>
      </w:docPartObj>
    </w:sdtPr>
    <w:sdtEndPr>
      <w:rPr>
        <w:noProof/>
      </w:rPr>
    </w:sdtEndPr>
    <w:sdtContent>
      <w:p w14:paraId="09A3BF6D" w14:textId="10A2D7B9" w:rsidR="00D54B92" w:rsidRDefault="00194E29">
        <w:pPr>
          <w:pStyle w:val="Footer"/>
          <w:jc w:val="center"/>
        </w:pPr>
        <w:r>
          <w:t>1</w:t>
        </w:r>
      </w:p>
    </w:sdtContent>
  </w:sdt>
  <w:p w14:paraId="62C097F3" w14:textId="77777777" w:rsidR="00D54B92" w:rsidRDefault="00D54B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60292" w14:textId="77777777" w:rsidR="00B433A5" w:rsidRDefault="00B433A5" w:rsidP="00D54B92">
      <w:pPr>
        <w:spacing w:after="0" w:line="240" w:lineRule="auto"/>
      </w:pPr>
      <w:r>
        <w:separator/>
      </w:r>
    </w:p>
  </w:footnote>
  <w:footnote w:type="continuationSeparator" w:id="0">
    <w:p w14:paraId="14D17E07" w14:textId="77777777" w:rsidR="00B433A5" w:rsidRDefault="00B433A5" w:rsidP="00D54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E8C4F" w14:textId="295098B5" w:rsidR="00D54B92" w:rsidRPr="00B160E4" w:rsidRDefault="00B160E4" w:rsidP="00D54B92">
    <w:pPr>
      <w:pStyle w:val="Header"/>
      <w:pBdr>
        <w:bottom w:val="single" w:sz="4" w:space="1" w:color="auto"/>
      </w:pBdr>
      <w:rPr>
        <w:rFonts w:ascii="Times New Roman" w:hAnsi="Times New Roman" w:cs="Times New Roman"/>
        <w:i/>
        <w:iCs/>
        <w:sz w:val="20"/>
        <w:szCs w:val="20"/>
      </w:rPr>
    </w:pPr>
    <w:r w:rsidRPr="00B160E4">
      <w:rPr>
        <w:rFonts w:ascii="Times New Roman" w:hAnsi="Times New Roman" w:cs="Times New Roman"/>
        <w:i/>
        <w:iCs/>
        <w:sz w:val="20"/>
        <w:szCs w:val="20"/>
      </w:rPr>
      <w:t>Flood Shocks and the Two-Phase Deposit Cycle</w:t>
    </w:r>
    <w:r w:rsidR="00D54B92" w:rsidRPr="00B160E4">
      <w:rPr>
        <w:rFonts w:ascii="Times New Roman" w:hAnsi="Times New Roman" w:cs="Times New Roman"/>
        <w:i/>
        <w:iCs/>
        <w:sz w:val="20"/>
        <w:szCs w:val="20"/>
      </w:rPr>
      <w:tab/>
    </w:r>
    <w:r w:rsidR="00D54B92" w:rsidRPr="00B160E4">
      <w:rPr>
        <w:rFonts w:ascii="Times New Roman" w:hAnsi="Times New Roman" w:cs="Times New Roman"/>
        <w:i/>
        <w:iCs/>
        <w:sz w:val="20"/>
        <w:szCs w:val="20"/>
      </w:rPr>
      <w:tab/>
      <w:t>Jaseel Badar</w:t>
    </w:r>
  </w:p>
  <w:p w14:paraId="361A9DD4" w14:textId="77777777" w:rsidR="00D54B92" w:rsidRPr="00B160E4" w:rsidRDefault="00D54B92">
    <w:pPr>
      <w:pStyle w:val="Header"/>
      <w:rPr>
        <w:rFonts w:ascii="Times New Roman" w:hAnsi="Times New Roman" w:cs="Times New Roman"/>
        <w:i/>
        <w:iCs/>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8F4701"/>
    <w:multiLevelType w:val="hybridMultilevel"/>
    <w:tmpl w:val="8B861484"/>
    <w:lvl w:ilvl="0" w:tplc="60645FE6">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319453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301"/>
    <w:rsid w:val="0000439D"/>
    <w:rsid w:val="00075301"/>
    <w:rsid w:val="00134578"/>
    <w:rsid w:val="00194E29"/>
    <w:rsid w:val="00214415"/>
    <w:rsid w:val="00381C30"/>
    <w:rsid w:val="00456880"/>
    <w:rsid w:val="004F1A67"/>
    <w:rsid w:val="004F2DC3"/>
    <w:rsid w:val="0050052B"/>
    <w:rsid w:val="005A20D4"/>
    <w:rsid w:val="0069107E"/>
    <w:rsid w:val="0070543B"/>
    <w:rsid w:val="007C708A"/>
    <w:rsid w:val="00815DB2"/>
    <w:rsid w:val="008A1A18"/>
    <w:rsid w:val="009D4183"/>
    <w:rsid w:val="009D4880"/>
    <w:rsid w:val="00A97C4B"/>
    <w:rsid w:val="00AB26EF"/>
    <w:rsid w:val="00B160E4"/>
    <w:rsid w:val="00B433A5"/>
    <w:rsid w:val="00B84DEC"/>
    <w:rsid w:val="00C73216"/>
    <w:rsid w:val="00D11B1A"/>
    <w:rsid w:val="00D14C13"/>
    <w:rsid w:val="00D20A1B"/>
    <w:rsid w:val="00D35B86"/>
    <w:rsid w:val="00D54B92"/>
    <w:rsid w:val="00EC56C4"/>
    <w:rsid w:val="00F27974"/>
    <w:rsid w:val="00FA2A30"/>
    <w:rsid w:val="00FD05BE"/>
    <w:rsid w:val="00FD63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C163DF"/>
  <w15:chartTrackingRefBased/>
  <w15:docId w15:val="{BBC8C721-8227-45ED-AE41-C3ED0E211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53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53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53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53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53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53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53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53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53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3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53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53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53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53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53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53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53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5301"/>
    <w:rPr>
      <w:rFonts w:eastAsiaTheme="majorEastAsia" w:cstheme="majorBidi"/>
      <w:color w:val="272727" w:themeColor="text1" w:themeTint="D8"/>
    </w:rPr>
  </w:style>
  <w:style w:type="paragraph" w:styleId="Title">
    <w:name w:val="Title"/>
    <w:basedOn w:val="Normal"/>
    <w:next w:val="Normal"/>
    <w:link w:val="TitleChar"/>
    <w:uiPriority w:val="10"/>
    <w:qFormat/>
    <w:rsid w:val="000753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53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53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53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5301"/>
    <w:pPr>
      <w:spacing w:before="160"/>
      <w:jc w:val="center"/>
    </w:pPr>
    <w:rPr>
      <w:i/>
      <w:iCs/>
      <w:color w:val="404040" w:themeColor="text1" w:themeTint="BF"/>
    </w:rPr>
  </w:style>
  <w:style w:type="character" w:customStyle="1" w:styleId="QuoteChar">
    <w:name w:val="Quote Char"/>
    <w:basedOn w:val="DefaultParagraphFont"/>
    <w:link w:val="Quote"/>
    <w:uiPriority w:val="29"/>
    <w:rsid w:val="00075301"/>
    <w:rPr>
      <w:i/>
      <w:iCs/>
      <w:color w:val="404040" w:themeColor="text1" w:themeTint="BF"/>
    </w:rPr>
  </w:style>
  <w:style w:type="paragraph" w:styleId="ListParagraph">
    <w:name w:val="List Paragraph"/>
    <w:basedOn w:val="Normal"/>
    <w:uiPriority w:val="34"/>
    <w:qFormat/>
    <w:rsid w:val="00075301"/>
    <w:pPr>
      <w:ind w:left="720"/>
      <w:contextualSpacing/>
    </w:pPr>
  </w:style>
  <w:style w:type="character" w:styleId="IntenseEmphasis">
    <w:name w:val="Intense Emphasis"/>
    <w:basedOn w:val="DefaultParagraphFont"/>
    <w:uiPriority w:val="21"/>
    <w:qFormat/>
    <w:rsid w:val="00075301"/>
    <w:rPr>
      <w:i/>
      <w:iCs/>
      <w:color w:val="0F4761" w:themeColor="accent1" w:themeShade="BF"/>
    </w:rPr>
  </w:style>
  <w:style w:type="paragraph" w:styleId="IntenseQuote">
    <w:name w:val="Intense Quote"/>
    <w:basedOn w:val="Normal"/>
    <w:next w:val="Normal"/>
    <w:link w:val="IntenseQuoteChar"/>
    <w:uiPriority w:val="30"/>
    <w:qFormat/>
    <w:rsid w:val="000753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5301"/>
    <w:rPr>
      <w:i/>
      <w:iCs/>
      <w:color w:val="0F4761" w:themeColor="accent1" w:themeShade="BF"/>
    </w:rPr>
  </w:style>
  <w:style w:type="character" w:styleId="IntenseReference">
    <w:name w:val="Intense Reference"/>
    <w:basedOn w:val="DefaultParagraphFont"/>
    <w:uiPriority w:val="32"/>
    <w:qFormat/>
    <w:rsid w:val="00075301"/>
    <w:rPr>
      <w:b/>
      <w:bCs/>
      <w:smallCaps/>
      <w:color w:val="0F4761" w:themeColor="accent1" w:themeShade="BF"/>
      <w:spacing w:val="5"/>
    </w:rPr>
  </w:style>
  <w:style w:type="paragraph" w:styleId="Header">
    <w:name w:val="header"/>
    <w:basedOn w:val="Normal"/>
    <w:link w:val="HeaderChar"/>
    <w:uiPriority w:val="99"/>
    <w:unhideWhenUsed/>
    <w:rsid w:val="00D54B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4B92"/>
  </w:style>
  <w:style w:type="paragraph" w:styleId="Footer">
    <w:name w:val="footer"/>
    <w:basedOn w:val="Normal"/>
    <w:link w:val="FooterChar"/>
    <w:uiPriority w:val="99"/>
    <w:unhideWhenUsed/>
    <w:rsid w:val="00D54B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4B92"/>
  </w:style>
  <w:style w:type="paragraph" w:customStyle="1" w:styleId="PAPERBody">
    <w:name w:val="PAPER_Body"/>
    <w:qFormat/>
    <w:rsid w:val="0070543B"/>
    <w:pPr>
      <w:spacing w:line="480" w:lineRule="auto"/>
      <w:jc w:val="both"/>
    </w:pPr>
    <w:rPr>
      <w:rFonts w:ascii="Times New Roman" w:hAnsi="Times New Roman"/>
      <w:sz w:val="24"/>
    </w:rPr>
  </w:style>
  <w:style w:type="paragraph" w:customStyle="1" w:styleId="PAPERH1">
    <w:name w:val="PAPER_H1"/>
    <w:next w:val="PAPERBody"/>
    <w:qFormat/>
    <w:rsid w:val="005A20D4"/>
    <w:pPr>
      <w:spacing w:after="0" w:line="240" w:lineRule="auto"/>
      <w:ind w:firstLine="720"/>
    </w:pPr>
    <w:rPr>
      <w:rFonts w:ascii="Times New Roman" w:hAnsi="Times New Roman"/>
      <w:b/>
      <w:smallCaps/>
      <w:sz w:val="24"/>
    </w:rPr>
  </w:style>
  <w:style w:type="paragraph" w:customStyle="1" w:styleId="PAPERH3">
    <w:name w:val="PAPER_H3"/>
    <w:next w:val="PAPERBody"/>
    <w:qFormat/>
    <w:rsid w:val="00AB26EF"/>
    <w:pPr>
      <w:spacing w:line="240" w:lineRule="auto"/>
    </w:pPr>
    <w:rPr>
      <w:rFonts w:ascii="Times New Roman" w:hAnsi="Times New Roman"/>
      <w:b/>
      <w:i/>
      <w:sz w:val="24"/>
    </w:rPr>
  </w:style>
  <w:style w:type="paragraph" w:customStyle="1" w:styleId="PAPERH2">
    <w:name w:val="PAPER_H2"/>
    <w:next w:val="PAPERBody"/>
    <w:qFormat/>
    <w:rsid w:val="005A20D4"/>
    <w:pPr>
      <w:spacing w:line="240" w:lineRule="auto"/>
    </w:pPr>
    <w:rPr>
      <w:rFonts w:ascii="Times New Roman" w:hAnsi="Times New Roman"/>
      <w:b/>
      <w:sz w:val="24"/>
    </w:rPr>
  </w:style>
  <w:style w:type="paragraph" w:customStyle="1" w:styleId="PAPERAbstract">
    <w:name w:val="PAPER_Abstract"/>
    <w:qFormat/>
    <w:rsid w:val="005A20D4"/>
    <w:pPr>
      <w:spacing w:line="240" w:lineRule="auto"/>
      <w:jc w:val="both"/>
    </w:pPr>
    <w:rPr>
      <w:rFonts w:ascii="Times New Roman" w:hAnsi="Times New Roman"/>
      <w:sz w:val="24"/>
    </w:rPr>
  </w:style>
  <w:style w:type="paragraph" w:customStyle="1" w:styleId="PAPERFootnote">
    <w:name w:val="PAPER_Footnote"/>
    <w:link w:val="PAPERFootnoteChar"/>
    <w:qFormat/>
    <w:rsid w:val="00B160E4"/>
    <w:pPr>
      <w:spacing w:line="240" w:lineRule="auto"/>
      <w:jc w:val="both"/>
    </w:pPr>
    <w:rPr>
      <w:rFonts w:ascii="Times New Roman" w:hAnsi="Times New Roman"/>
      <w:sz w:val="20"/>
    </w:rPr>
  </w:style>
  <w:style w:type="character" w:customStyle="1" w:styleId="PAPERFootnoteChar">
    <w:name w:val="PAPER_Footnote Char"/>
    <w:basedOn w:val="DefaultParagraphFont"/>
    <w:link w:val="PAPERFootnote"/>
    <w:rsid w:val="00B160E4"/>
    <w:rPr>
      <w:rFonts w:ascii="Times New Roman" w:hAnsi="Times New Roman"/>
      <w:sz w:val="20"/>
    </w:rPr>
  </w:style>
  <w:style w:type="paragraph" w:customStyle="1" w:styleId="PAPERReferences">
    <w:name w:val="PAPER_References"/>
    <w:link w:val="PAPERReferencesChar"/>
    <w:qFormat/>
    <w:rsid w:val="00B160E4"/>
    <w:pPr>
      <w:spacing w:line="240" w:lineRule="auto"/>
      <w:jc w:val="both"/>
    </w:pPr>
    <w:rPr>
      <w:rFonts w:ascii="Times New Roman" w:hAnsi="Times New Roman"/>
    </w:rPr>
  </w:style>
  <w:style w:type="character" w:customStyle="1" w:styleId="PAPERReferencesChar">
    <w:name w:val="PAPER_References Char"/>
    <w:basedOn w:val="DefaultParagraphFont"/>
    <w:link w:val="PAPERReferences"/>
    <w:rsid w:val="00B160E4"/>
    <w:rPr>
      <w:rFonts w:ascii="Times New Roman" w:hAnsi="Times New Roman"/>
    </w:rPr>
  </w:style>
  <w:style w:type="paragraph" w:styleId="FootnoteText">
    <w:name w:val="footnote text"/>
    <w:basedOn w:val="Normal"/>
    <w:link w:val="FootnoteTextChar"/>
    <w:uiPriority w:val="99"/>
    <w:semiHidden/>
    <w:unhideWhenUsed/>
    <w:rsid w:val="007C708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C708A"/>
    <w:rPr>
      <w:sz w:val="20"/>
      <w:szCs w:val="20"/>
    </w:rPr>
  </w:style>
  <w:style w:type="character" w:styleId="FootnoteReference">
    <w:name w:val="footnote reference"/>
    <w:basedOn w:val="DefaultParagraphFont"/>
    <w:uiPriority w:val="99"/>
    <w:semiHidden/>
    <w:unhideWhenUsed/>
    <w:rsid w:val="007C708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50C2AE-F8AF-401A-94B4-DD1DFB3204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383</TotalTime>
  <Pages>4</Pages>
  <Words>1745</Words>
  <Characters>1746</Characters>
  <Application>Microsoft Office Word</Application>
  <DocSecurity>0</DocSecurity>
  <Lines>1746</Lines>
  <Paragraphs>1745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Rayammarakkarveettil Badaru, Jaseel</dc:creator>
  <cp:keywords/>
  <dc:description/>
  <cp:lastModifiedBy>Rayammarakkarveettil Badaru, Jaseel</cp:lastModifiedBy>
  <cp:revision>27</cp:revision>
  <dcterms:created xsi:type="dcterms:W3CDTF">2026-04-03T15:57:00Z</dcterms:created>
  <dcterms:modified xsi:type="dcterms:W3CDTF">2026-04-05T18:29:00Z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id="Lh7grAKU"/&gt;&lt;style id="http://www.zotero.org/styles/chicago-author-date" locale="en-US" hasBibliography="1" bibliographyStyleHasBeenSet="0"/&gt;&lt;prefs&gt;&lt;pref name="fieldType" value="Field"/&gt;&lt;/prefs&gt;&lt;/</vt:lpwstr>
  </property>
  <property fmtid="{D5CDD505-2E9C-101B-9397-08002B2CF9AE}" pid="3" name="ZOTERO_PREF_2">
    <vt:lpwstr>data&gt;</vt:lpwstr>
  </property>
</Properties>
</file>