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CFF55" w14:textId="77777777" w:rsidR="000C0F22" w:rsidRPr="000C0F22" w:rsidRDefault="000C0F22" w:rsidP="000C0F22">
      <w:pPr>
        <w:rPr>
          <w:b/>
          <w:bCs/>
        </w:rPr>
      </w:pPr>
      <w:r w:rsidRPr="000C0F22">
        <w:rPr>
          <w:b/>
          <w:bCs/>
        </w:rPr>
        <w:t>Goldman Sachs Group Inc. - Annual Report 2023</w:t>
      </w:r>
    </w:p>
    <w:p w14:paraId="0FEC4051" w14:textId="77777777" w:rsidR="000C0F22" w:rsidRPr="000C0F22" w:rsidRDefault="000C0F22" w:rsidP="000C0F22">
      <w:r w:rsidRPr="000C0F22">
        <w:rPr>
          <w:b/>
          <w:bCs/>
        </w:rPr>
        <w:t>Year: 2023</w:t>
      </w:r>
      <w:r w:rsidRPr="000C0F22">
        <w:t xml:space="preserve"> </w:t>
      </w:r>
      <w:r w:rsidRPr="000C0F22">
        <w:rPr>
          <w:i/>
          <w:iCs/>
        </w:rPr>
        <w:t>This document is a synthetic business-style report generated for research and educational purposes. It is not an official Goldman Sachs report.</w:t>
      </w:r>
    </w:p>
    <w:p w14:paraId="756C0E22" w14:textId="77777777" w:rsidR="000C0F22" w:rsidRPr="000C0F22" w:rsidRDefault="000C0F22" w:rsidP="000C0F22">
      <w:pPr>
        <w:rPr>
          <w:b/>
          <w:bCs/>
        </w:rPr>
      </w:pPr>
      <w:r w:rsidRPr="000C0F22">
        <w:rPr>
          <w:b/>
          <w:bCs/>
        </w:rPr>
        <w:t>Letter from the Chairman &amp; CEO</w:t>
      </w:r>
    </w:p>
    <w:p w14:paraId="4D671CB8" w14:textId="77777777" w:rsidR="000C0F22" w:rsidRPr="000C0F22" w:rsidRDefault="000C0F22" w:rsidP="000C0F22">
      <w:r w:rsidRPr="000C0F22">
        <w:t>Dear Shareholders,</w:t>
      </w:r>
    </w:p>
    <w:p w14:paraId="07C5AE1E" w14:textId="77777777" w:rsidR="000C0F22" w:rsidRPr="000C0F22" w:rsidRDefault="000C0F22" w:rsidP="000C0F22">
      <w:r w:rsidRPr="000C0F22">
        <w:t>In 2023, Goldman Sachs demonstrated remarkable resilience and adaptability in a dynamic financial landscape. We strengthened our position as a premier investment banking franchise while expanding our consumer and wealth management capabilities. Our commitment to excellence in client service, operational efficiency, and strategic innovation has enabled us to navigate market volatility successfully.</w:t>
      </w:r>
    </w:p>
    <w:p w14:paraId="45B55E42" w14:textId="77777777" w:rsidR="000C0F22" w:rsidRPr="000C0F22" w:rsidRDefault="000C0F22" w:rsidP="000C0F22">
      <w:r w:rsidRPr="000C0F22">
        <w:t>Throughout the year, we maintained our leadership in global capital markets, advised on landmark transactions, and delivered sustainable returns to our shareholders. Our focus on diversifying revenue streams and building scalable platforms positions us well for future growth.</w:t>
      </w:r>
    </w:p>
    <w:p w14:paraId="59EDEE01" w14:textId="77777777" w:rsidR="000C0F22" w:rsidRPr="000C0F22" w:rsidRDefault="000C0F22" w:rsidP="000C0F22">
      <w:pPr>
        <w:rPr>
          <w:b/>
          <w:bCs/>
        </w:rPr>
      </w:pPr>
      <w:r w:rsidRPr="000C0F22">
        <w:rPr>
          <w:b/>
          <w:bCs/>
        </w:rPr>
        <w:t>Company Overview</w:t>
      </w:r>
    </w:p>
    <w:p w14:paraId="17D08903" w14:textId="77777777" w:rsidR="000C0F22" w:rsidRPr="000C0F22" w:rsidRDefault="000C0F22" w:rsidP="000C0F22">
      <w:r w:rsidRPr="000C0F22">
        <w:t>The Goldman Sachs Group, Inc. is a leading global investment banking, securities, and investment management firm with total assets of approximately $1.6 trillion. We provide a wide range of financial services to a substantial and diversified client base that includes corporations, financial institutions, governments, and individuals.</w:t>
      </w:r>
    </w:p>
    <w:p w14:paraId="3624FA1A" w14:textId="77777777" w:rsidR="000C0F22" w:rsidRPr="000C0F22" w:rsidRDefault="000C0F22" w:rsidP="000C0F22">
      <w:r w:rsidRPr="000C0F22">
        <w:t>Founded in 1869, Goldman Sachs operates in over 35 countries with approximately 48,000 employees worldwide. Our expertise spans investment banking, securities trading, asset management, and consumer banking services.</w:t>
      </w:r>
    </w:p>
    <w:p w14:paraId="439B9242" w14:textId="77777777" w:rsidR="000C0F22" w:rsidRPr="000C0F22" w:rsidRDefault="000C0F22" w:rsidP="000C0F22">
      <w:pPr>
        <w:rPr>
          <w:b/>
          <w:bCs/>
        </w:rPr>
      </w:pPr>
      <w:r w:rsidRPr="000C0F22">
        <w:rPr>
          <w:b/>
          <w:bCs/>
        </w:rPr>
        <w:t>Business Segments</w:t>
      </w:r>
    </w:p>
    <w:p w14:paraId="4246CD83" w14:textId="77777777" w:rsidR="000C0F22" w:rsidRPr="000C0F22" w:rsidRDefault="000C0F22" w:rsidP="000C0F22">
      <w:pPr>
        <w:rPr>
          <w:b/>
          <w:bCs/>
        </w:rPr>
      </w:pPr>
      <w:r w:rsidRPr="000C0F22">
        <w:rPr>
          <w:b/>
          <w:bCs/>
        </w:rPr>
        <w:t>1. Global Banking &amp; Markets (GBM)</w:t>
      </w:r>
    </w:p>
    <w:p w14:paraId="3146E4C5" w14:textId="77777777" w:rsidR="000C0F22" w:rsidRPr="000C0F22" w:rsidRDefault="000C0F22" w:rsidP="000C0F22">
      <w:r w:rsidRPr="000C0F22">
        <w:t>Facilitates client transactions and makes markets in fixed income, equity, currency, and commodity products. Provides prime brokerage and financing services to institutional clients.</w:t>
      </w:r>
    </w:p>
    <w:p w14:paraId="07C32CAA" w14:textId="77777777" w:rsidR="000C0F22" w:rsidRPr="000C0F22" w:rsidRDefault="000C0F22" w:rsidP="000C0F22">
      <w:pPr>
        <w:rPr>
          <w:b/>
          <w:bCs/>
        </w:rPr>
      </w:pPr>
      <w:r w:rsidRPr="000C0F22">
        <w:rPr>
          <w:b/>
          <w:bCs/>
        </w:rPr>
        <w:t>2. Asset &amp; Wealth Management (AWM)</w:t>
      </w:r>
    </w:p>
    <w:p w14:paraId="65953A17" w14:textId="77777777" w:rsidR="000C0F22" w:rsidRPr="000C0F22" w:rsidRDefault="000C0F22" w:rsidP="000C0F22">
      <w:r w:rsidRPr="000C0F22">
        <w:t>Delivers investment management services and solutions to institutions and individuals. Manages approximately $2.6 trillion in assets under supervision.</w:t>
      </w:r>
    </w:p>
    <w:p w14:paraId="28E2775F" w14:textId="77777777" w:rsidR="000C0F22" w:rsidRPr="000C0F22" w:rsidRDefault="000C0F22" w:rsidP="000C0F22">
      <w:pPr>
        <w:rPr>
          <w:b/>
          <w:bCs/>
        </w:rPr>
      </w:pPr>
      <w:r w:rsidRPr="000C0F22">
        <w:rPr>
          <w:b/>
          <w:bCs/>
        </w:rPr>
        <w:t>3. Investment Banking (IB)</w:t>
      </w:r>
    </w:p>
    <w:p w14:paraId="130A4A63" w14:textId="77777777" w:rsidR="000C0F22" w:rsidRPr="000C0F22" w:rsidRDefault="000C0F22" w:rsidP="000C0F22">
      <w:r w:rsidRPr="000C0F22">
        <w:t>Provides financial advisory services on strategic transactions including mergers, acquisitions, divestitures, and restructurings. Leads equity and debt underwriting globally.</w:t>
      </w:r>
    </w:p>
    <w:p w14:paraId="0CD46766" w14:textId="77777777" w:rsidR="000C0F22" w:rsidRPr="000C0F22" w:rsidRDefault="000C0F22" w:rsidP="000C0F22">
      <w:pPr>
        <w:rPr>
          <w:b/>
          <w:bCs/>
        </w:rPr>
      </w:pPr>
      <w:r w:rsidRPr="000C0F22">
        <w:rPr>
          <w:b/>
          <w:bCs/>
        </w:rPr>
        <w:t>4. Consumer &amp; Wealth Management (CWM)</w:t>
      </w:r>
    </w:p>
    <w:p w14:paraId="4B8F66B5" w14:textId="77777777" w:rsidR="000C0F22" w:rsidRPr="000C0F22" w:rsidRDefault="000C0F22" w:rsidP="000C0F22">
      <w:r w:rsidRPr="000C0F22">
        <w:t xml:space="preserve">Offers digital consumer banking through </w:t>
      </w:r>
      <w:proofErr w:type="gramStart"/>
      <w:r w:rsidRPr="000C0F22">
        <w:t>Marcus</w:t>
      </w:r>
      <w:proofErr w:type="gramEnd"/>
      <w:r w:rsidRPr="000C0F22">
        <w:t xml:space="preserve"> platform, private wealth management, and workplace solutions including retirement services.</w:t>
      </w:r>
    </w:p>
    <w:p w14:paraId="5763FF80" w14:textId="77777777" w:rsidR="000C0F22" w:rsidRPr="000C0F22" w:rsidRDefault="000C0F22" w:rsidP="000C0F22">
      <w:pPr>
        <w:rPr>
          <w:b/>
          <w:bCs/>
        </w:rPr>
      </w:pPr>
      <w:r w:rsidRPr="000C0F22">
        <w:rPr>
          <w:b/>
          <w:bCs/>
        </w:rPr>
        <w:t>Financial Highlights</w:t>
      </w:r>
    </w:p>
    <w:p w14:paraId="324DB1DC" w14:textId="77777777" w:rsidR="000C0F22" w:rsidRPr="000C0F22" w:rsidRDefault="000C0F22" w:rsidP="000C0F22">
      <w:r w:rsidRPr="000C0F22">
        <w:rPr>
          <w:b/>
          <w:bCs/>
        </w:rPr>
        <w:t>Revenue:</w:t>
      </w:r>
      <w:r w:rsidRPr="000C0F22">
        <w:t xml:space="preserve"> $46.3 billion (synthetic approximation for illustration)</w:t>
      </w:r>
    </w:p>
    <w:p w14:paraId="69AD0F06" w14:textId="77777777" w:rsidR="000C0F22" w:rsidRPr="000C0F22" w:rsidRDefault="000C0F22" w:rsidP="000C0F22">
      <w:r w:rsidRPr="000C0F22">
        <w:rPr>
          <w:b/>
          <w:bCs/>
        </w:rPr>
        <w:t>Net Income:</w:t>
      </w:r>
      <w:r w:rsidRPr="000C0F22">
        <w:t xml:space="preserve"> $10.8 billion (synthetic)</w:t>
      </w:r>
    </w:p>
    <w:p w14:paraId="2F264BAC" w14:textId="77777777" w:rsidR="000C0F22" w:rsidRPr="000C0F22" w:rsidRDefault="000C0F22" w:rsidP="000C0F22">
      <w:r w:rsidRPr="000C0F22">
        <w:rPr>
          <w:b/>
          <w:bCs/>
        </w:rPr>
        <w:lastRenderedPageBreak/>
        <w:t>Return on Equity (ROE):</w:t>
      </w:r>
      <w:r w:rsidRPr="000C0F22">
        <w:t xml:space="preserve"> 11.5%</w:t>
      </w:r>
    </w:p>
    <w:p w14:paraId="6B31CDF0" w14:textId="77777777" w:rsidR="000C0F22" w:rsidRPr="000C0F22" w:rsidRDefault="000C0F22" w:rsidP="000C0F22">
      <w:r w:rsidRPr="000C0F22">
        <w:rPr>
          <w:b/>
          <w:bCs/>
        </w:rPr>
        <w:t>Earnings per Share (EPS):</w:t>
      </w:r>
      <w:r w:rsidRPr="000C0F22">
        <w:t xml:space="preserve"> $30.45</w:t>
      </w:r>
    </w:p>
    <w:p w14:paraId="70B662D3" w14:textId="77777777" w:rsidR="000C0F22" w:rsidRPr="000C0F22" w:rsidRDefault="000C0F22" w:rsidP="000C0F22">
      <w:r w:rsidRPr="000C0F22">
        <w:rPr>
          <w:b/>
          <w:bCs/>
        </w:rPr>
        <w:t>Book Value per Share:</w:t>
      </w:r>
      <w:r w:rsidRPr="000C0F22">
        <w:t xml:space="preserve"> $265</w:t>
      </w:r>
    </w:p>
    <w:p w14:paraId="1FFA358F" w14:textId="77777777" w:rsidR="000C0F22" w:rsidRPr="000C0F22" w:rsidRDefault="000C0F22" w:rsidP="000C0F22">
      <w:r w:rsidRPr="000C0F22">
        <w:rPr>
          <w:b/>
          <w:bCs/>
        </w:rPr>
        <w:t>Common Equity Tier 1 Capital Ratio:</w:t>
      </w:r>
      <w:r w:rsidRPr="000C0F22">
        <w:t xml:space="preserve"> 15.1%</w:t>
      </w:r>
    </w:p>
    <w:p w14:paraId="5CE580FF" w14:textId="77777777" w:rsidR="000C0F22" w:rsidRPr="000C0F22" w:rsidRDefault="000C0F22" w:rsidP="000C0F22">
      <w:pPr>
        <w:rPr>
          <w:b/>
          <w:bCs/>
        </w:rPr>
      </w:pPr>
      <w:r w:rsidRPr="000C0F22">
        <w:rPr>
          <w:b/>
          <w:bCs/>
        </w:rPr>
        <w:t>Market Strategy</w:t>
      </w:r>
    </w:p>
    <w:p w14:paraId="6B928C81" w14:textId="77777777" w:rsidR="000C0F22" w:rsidRPr="000C0F22" w:rsidRDefault="000C0F22" w:rsidP="000C0F22">
      <w:r w:rsidRPr="000C0F22">
        <w:t>Goldman Sachs continues to leverage its position as a trusted advisor to expand market share in high-growth areas including sustainable finance, digital assets, and private markets. We are investing significantly in technology infrastructure to enhance client experience and operational efficiency.</w:t>
      </w:r>
    </w:p>
    <w:p w14:paraId="702510D8" w14:textId="77777777" w:rsidR="000C0F22" w:rsidRPr="000C0F22" w:rsidRDefault="000C0F22" w:rsidP="000C0F22">
      <w:r w:rsidRPr="000C0F22">
        <w:t>Our strategic focus includes building scalable platforms, diversifying revenue streams, and expanding our global footprint in key emerging markets. We remain committed to sustainable finance initiatives and are a leading provider of ESG-focused investment solutions.</w:t>
      </w:r>
    </w:p>
    <w:p w14:paraId="59042288" w14:textId="77777777" w:rsidR="000C0F22" w:rsidRPr="000C0F22" w:rsidRDefault="000C0F22" w:rsidP="000C0F22">
      <w:pPr>
        <w:rPr>
          <w:b/>
          <w:bCs/>
        </w:rPr>
      </w:pPr>
      <w:r w:rsidRPr="000C0F22">
        <w:rPr>
          <w:b/>
          <w:bCs/>
        </w:rPr>
        <w:t>Risk Factors</w:t>
      </w:r>
    </w:p>
    <w:p w14:paraId="0EADA32F" w14:textId="77777777" w:rsidR="000C0F22" w:rsidRPr="000C0F22" w:rsidRDefault="000C0F22" w:rsidP="000C0F22">
      <w:pPr>
        <w:rPr>
          <w:b/>
          <w:bCs/>
        </w:rPr>
      </w:pPr>
      <w:r w:rsidRPr="000C0F22">
        <w:rPr>
          <w:b/>
          <w:bCs/>
        </w:rPr>
        <w:t>1. Market Risk</w:t>
      </w:r>
    </w:p>
    <w:p w14:paraId="365A0B81" w14:textId="77777777" w:rsidR="000C0F22" w:rsidRPr="000C0F22" w:rsidRDefault="000C0F22" w:rsidP="000C0F22">
      <w:r w:rsidRPr="000C0F22">
        <w:t>Exposure to adverse movements in equity, fixed income, currency, and commodity markets that could impact trading revenues and asset valuations.</w:t>
      </w:r>
    </w:p>
    <w:p w14:paraId="37782E01" w14:textId="77777777" w:rsidR="000C0F22" w:rsidRPr="000C0F22" w:rsidRDefault="000C0F22" w:rsidP="000C0F22">
      <w:pPr>
        <w:rPr>
          <w:b/>
          <w:bCs/>
        </w:rPr>
      </w:pPr>
      <w:r w:rsidRPr="000C0F22">
        <w:rPr>
          <w:b/>
          <w:bCs/>
        </w:rPr>
        <w:t>2. Credit Risk</w:t>
      </w:r>
    </w:p>
    <w:p w14:paraId="1889A38C" w14:textId="77777777" w:rsidR="000C0F22" w:rsidRPr="000C0F22" w:rsidRDefault="000C0F22" w:rsidP="000C0F22">
      <w:r w:rsidRPr="000C0F22">
        <w:t>Potential losses from counterparty defaults on loans, commitments, and derivative transactions across all business segments.</w:t>
      </w:r>
    </w:p>
    <w:p w14:paraId="7353FAC3" w14:textId="77777777" w:rsidR="000C0F22" w:rsidRPr="000C0F22" w:rsidRDefault="000C0F22" w:rsidP="000C0F22">
      <w:pPr>
        <w:rPr>
          <w:b/>
          <w:bCs/>
        </w:rPr>
      </w:pPr>
      <w:r w:rsidRPr="000C0F22">
        <w:rPr>
          <w:b/>
          <w:bCs/>
        </w:rPr>
        <w:t>3. Operational Risk</w:t>
      </w:r>
    </w:p>
    <w:p w14:paraId="77C800EC" w14:textId="77777777" w:rsidR="000C0F22" w:rsidRPr="000C0F22" w:rsidRDefault="000C0F22" w:rsidP="000C0F22">
      <w:r w:rsidRPr="000C0F22">
        <w:t>Risks related to cybersecurity, technology failures, regulatory compliance, and business continuity planning.</w:t>
      </w:r>
    </w:p>
    <w:p w14:paraId="4ED86820" w14:textId="77777777" w:rsidR="000C0F22" w:rsidRPr="000C0F22" w:rsidRDefault="000C0F22" w:rsidP="000C0F22">
      <w:pPr>
        <w:rPr>
          <w:b/>
          <w:bCs/>
        </w:rPr>
      </w:pPr>
      <w:r w:rsidRPr="000C0F22">
        <w:rPr>
          <w:b/>
          <w:bCs/>
        </w:rPr>
        <w:t>4. Regulatory Environment</w:t>
      </w:r>
    </w:p>
    <w:p w14:paraId="5F1F8058" w14:textId="77777777" w:rsidR="000C0F22" w:rsidRPr="000C0F22" w:rsidRDefault="000C0F22" w:rsidP="000C0F22">
      <w:r w:rsidRPr="000C0F22">
        <w:t>Evolving regulatory requirements across multiple jurisdictions that may impact business operations and capital requirements.</w:t>
      </w:r>
    </w:p>
    <w:p w14:paraId="568B9F50" w14:textId="77777777" w:rsidR="000C0F22" w:rsidRPr="000C0F22" w:rsidRDefault="000C0F22" w:rsidP="000C0F22">
      <w:pPr>
        <w:rPr>
          <w:b/>
          <w:bCs/>
        </w:rPr>
      </w:pPr>
      <w:r w:rsidRPr="000C0F22">
        <w:rPr>
          <w:b/>
          <w:bCs/>
        </w:rPr>
        <w:t>Technology &amp; Innovation</w:t>
      </w:r>
    </w:p>
    <w:p w14:paraId="456B96C1" w14:textId="77777777" w:rsidR="000C0F22" w:rsidRPr="000C0F22" w:rsidRDefault="000C0F22" w:rsidP="000C0F22">
      <w:r w:rsidRPr="000C0F22">
        <w:t>Goldman Sachs invested over $4.2 billion in technology and innovation in 2023, focusing on cloud infrastructure, artificial intelligence, and digital platforms. Key initiatives include:</w:t>
      </w:r>
    </w:p>
    <w:p w14:paraId="4B834A05" w14:textId="77777777" w:rsidR="000C0F22" w:rsidRPr="000C0F22" w:rsidRDefault="000C0F22" w:rsidP="000C0F22">
      <w:pPr>
        <w:numPr>
          <w:ilvl w:val="0"/>
          <w:numId w:val="1"/>
        </w:numPr>
      </w:pPr>
      <w:r w:rsidRPr="000C0F22">
        <w:t xml:space="preserve">Development of Marcus Invest </w:t>
      </w:r>
      <w:proofErr w:type="spellStart"/>
      <w:r w:rsidRPr="000C0F22">
        <w:t>robo</w:t>
      </w:r>
      <w:proofErr w:type="spellEnd"/>
      <w:r w:rsidRPr="000C0F22">
        <w:t>-advisory platform</w:t>
      </w:r>
    </w:p>
    <w:p w14:paraId="06BB8ED7" w14:textId="77777777" w:rsidR="000C0F22" w:rsidRPr="000C0F22" w:rsidRDefault="000C0F22" w:rsidP="000C0F22">
      <w:pPr>
        <w:numPr>
          <w:ilvl w:val="0"/>
          <w:numId w:val="1"/>
        </w:numPr>
      </w:pPr>
      <w:r w:rsidRPr="000C0F22">
        <w:t>Expansion of transaction banking digital capabilities</w:t>
      </w:r>
    </w:p>
    <w:p w14:paraId="64638C98" w14:textId="77777777" w:rsidR="000C0F22" w:rsidRPr="000C0F22" w:rsidRDefault="000C0F22" w:rsidP="000C0F22">
      <w:pPr>
        <w:numPr>
          <w:ilvl w:val="0"/>
          <w:numId w:val="1"/>
        </w:numPr>
      </w:pPr>
      <w:r w:rsidRPr="000C0F22">
        <w:t>Implementation of machine learning for risk management</w:t>
      </w:r>
    </w:p>
    <w:p w14:paraId="5A158FCA" w14:textId="77777777" w:rsidR="000C0F22" w:rsidRPr="000C0F22" w:rsidRDefault="000C0F22" w:rsidP="000C0F22">
      <w:pPr>
        <w:numPr>
          <w:ilvl w:val="0"/>
          <w:numId w:val="1"/>
        </w:numPr>
      </w:pPr>
      <w:r w:rsidRPr="000C0F22">
        <w:t>Enhancement of cybersecurity and data protection systems</w:t>
      </w:r>
    </w:p>
    <w:p w14:paraId="083A19CB" w14:textId="77777777" w:rsidR="000C0F22" w:rsidRPr="000C0F22" w:rsidRDefault="000C0F22" w:rsidP="000C0F22">
      <w:pPr>
        <w:rPr>
          <w:b/>
          <w:bCs/>
        </w:rPr>
      </w:pPr>
      <w:r w:rsidRPr="000C0F22">
        <w:rPr>
          <w:b/>
          <w:bCs/>
        </w:rPr>
        <w:t>Sustainability &amp; ESG</w:t>
      </w:r>
    </w:p>
    <w:p w14:paraId="37FC3951" w14:textId="77777777" w:rsidR="000C0F22" w:rsidRPr="000C0F22" w:rsidRDefault="000C0F22" w:rsidP="000C0F22">
      <w:r w:rsidRPr="000C0F22">
        <w:t>Goldman Sachs has committed $750 billion over 10 years to sustainable finance activities, supporting the transition to a low-carbon economy. Our efforts include:</w:t>
      </w:r>
    </w:p>
    <w:p w14:paraId="622FB795" w14:textId="77777777" w:rsidR="000C0F22" w:rsidRPr="000C0F22" w:rsidRDefault="000C0F22" w:rsidP="000C0F22">
      <w:pPr>
        <w:numPr>
          <w:ilvl w:val="0"/>
          <w:numId w:val="2"/>
        </w:numPr>
      </w:pPr>
      <w:r w:rsidRPr="000C0F22">
        <w:lastRenderedPageBreak/>
        <w:t>Financing renewable energy and clean technology projects</w:t>
      </w:r>
    </w:p>
    <w:p w14:paraId="5BA2C331" w14:textId="77777777" w:rsidR="000C0F22" w:rsidRPr="000C0F22" w:rsidRDefault="000C0F22" w:rsidP="000C0F22">
      <w:pPr>
        <w:numPr>
          <w:ilvl w:val="0"/>
          <w:numId w:val="2"/>
        </w:numPr>
      </w:pPr>
      <w:r w:rsidRPr="000C0F22">
        <w:t>Providing ESG-focused investment products</w:t>
      </w:r>
    </w:p>
    <w:p w14:paraId="0E271681" w14:textId="77777777" w:rsidR="000C0F22" w:rsidRPr="000C0F22" w:rsidRDefault="000C0F22" w:rsidP="000C0F22">
      <w:pPr>
        <w:numPr>
          <w:ilvl w:val="0"/>
          <w:numId w:val="2"/>
        </w:numPr>
      </w:pPr>
      <w:r w:rsidRPr="000C0F22">
        <w:t>Implementing sustainable business practices across operations</w:t>
      </w:r>
    </w:p>
    <w:p w14:paraId="0C971554" w14:textId="77777777" w:rsidR="000C0F22" w:rsidRPr="000C0F22" w:rsidRDefault="000C0F22" w:rsidP="000C0F22">
      <w:pPr>
        <w:numPr>
          <w:ilvl w:val="0"/>
          <w:numId w:val="2"/>
        </w:numPr>
      </w:pPr>
      <w:r w:rsidRPr="000C0F22">
        <w:t>Supporting diverse suppliers and inclusive economic growth</w:t>
      </w:r>
    </w:p>
    <w:p w14:paraId="1B19EF6A" w14:textId="77777777" w:rsidR="000C0F22" w:rsidRPr="000C0F22" w:rsidRDefault="000C0F22" w:rsidP="000C0F22">
      <w:pPr>
        <w:rPr>
          <w:b/>
          <w:bCs/>
        </w:rPr>
      </w:pPr>
      <w:r w:rsidRPr="000C0F22">
        <w:rPr>
          <w:b/>
          <w:bCs/>
        </w:rPr>
        <w:t>Future Outlook</w:t>
      </w:r>
    </w:p>
    <w:p w14:paraId="4D027C51" w14:textId="77777777" w:rsidR="000C0F22" w:rsidRPr="000C0F22" w:rsidRDefault="000C0F22" w:rsidP="000C0F22">
      <w:r w:rsidRPr="000C0F22">
        <w:t>Looking forward, Goldman Sachs is well-positioned to capitalize on evolving market opportunities while managing potential headwinds. Our diversified business model, strong capital position, and continued investment in technology and talent provide a solid foundation for sustainable growth.</w:t>
      </w:r>
    </w:p>
    <w:p w14:paraId="7367FBDA" w14:textId="77777777" w:rsidR="000C0F22" w:rsidRPr="000C0F22" w:rsidRDefault="000C0F22" w:rsidP="000C0F22">
      <w:r w:rsidRPr="000C0F22">
        <w:t>We remain focused on delivering exceptional client service, generating attractive returns for shareholders, and contributing positively to the communities we serve.</w:t>
      </w:r>
    </w:p>
    <w:p w14:paraId="7735BE85" w14:textId="77777777" w:rsidR="000C0F22" w:rsidRPr="000C0F22" w:rsidRDefault="000C0F22" w:rsidP="000C0F22">
      <w:r w:rsidRPr="000C0F22">
        <w:t>We extend our gratitude to our clients, shareholders, and colleagues for their continued trust and partnership.</w:t>
      </w:r>
    </w:p>
    <w:p w14:paraId="4B456760" w14:textId="77777777" w:rsidR="00493268" w:rsidRDefault="00493268"/>
    <w:sectPr w:rsidR="0049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5BC9"/>
    <w:multiLevelType w:val="multilevel"/>
    <w:tmpl w:val="0A6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213F"/>
    <w:multiLevelType w:val="multilevel"/>
    <w:tmpl w:val="3E1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603959">
    <w:abstractNumId w:val="0"/>
  </w:num>
  <w:num w:numId="2" w16cid:durableId="26538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22"/>
    <w:rsid w:val="000C0F22"/>
    <w:rsid w:val="003E1EE5"/>
    <w:rsid w:val="00493268"/>
    <w:rsid w:val="00811A94"/>
    <w:rsid w:val="00F33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7206"/>
  <w15:chartTrackingRefBased/>
  <w15:docId w15:val="{4B8B8CD4-0436-454A-8222-1F2555EE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F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F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F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F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F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F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F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F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F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F22"/>
    <w:rPr>
      <w:rFonts w:eastAsiaTheme="majorEastAsia" w:cstheme="majorBidi"/>
      <w:color w:val="272727" w:themeColor="text1" w:themeTint="D8"/>
    </w:rPr>
  </w:style>
  <w:style w:type="paragraph" w:styleId="Title">
    <w:name w:val="Title"/>
    <w:basedOn w:val="Normal"/>
    <w:next w:val="Normal"/>
    <w:link w:val="TitleChar"/>
    <w:uiPriority w:val="10"/>
    <w:qFormat/>
    <w:rsid w:val="000C0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F22"/>
    <w:pPr>
      <w:spacing w:before="160"/>
      <w:jc w:val="center"/>
    </w:pPr>
    <w:rPr>
      <w:i/>
      <w:iCs/>
      <w:color w:val="404040" w:themeColor="text1" w:themeTint="BF"/>
    </w:rPr>
  </w:style>
  <w:style w:type="character" w:customStyle="1" w:styleId="QuoteChar">
    <w:name w:val="Quote Char"/>
    <w:basedOn w:val="DefaultParagraphFont"/>
    <w:link w:val="Quote"/>
    <w:uiPriority w:val="29"/>
    <w:rsid w:val="000C0F22"/>
    <w:rPr>
      <w:i/>
      <w:iCs/>
      <w:color w:val="404040" w:themeColor="text1" w:themeTint="BF"/>
    </w:rPr>
  </w:style>
  <w:style w:type="paragraph" w:styleId="ListParagraph">
    <w:name w:val="List Paragraph"/>
    <w:basedOn w:val="Normal"/>
    <w:uiPriority w:val="34"/>
    <w:qFormat/>
    <w:rsid w:val="000C0F22"/>
    <w:pPr>
      <w:ind w:left="720"/>
      <w:contextualSpacing/>
    </w:pPr>
  </w:style>
  <w:style w:type="character" w:styleId="IntenseEmphasis">
    <w:name w:val="Intense Emphasis"/>
    <w:basedOn w:val="DefaultParagraphFont"/>
    <w:uiPriority w:val="21"/>
    <w:qFormat/>
    <w:rsid w:val="000C0F22"/>
    <w:rPr>
      <w:i/>
      <w:iCs/>
      <w:color w:val="2F5496" w:themeColor="accent1" w:themeShade="BF"/>
    </w:rPr>
  </w:style>
  <w:style w:type="paragraph" w:styleId="IntenseQuote">
    <w:name w:val="Intense Quote"/>
    <w:basedOn w:val="Normal"/>
    <w:next w:val="Normal"/>
    <w:link w:val="IntenseQuoteChar"/>
    <w:uiPriority w:val="30"/>
    <w:qFormat/>
    <w:rsid w:val="000C0F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F22"/>
    <w:rPr>
      <w:i/>
      <w:iCs/>
      <w:color w:val="2F5496" w:themeColor="accent1" w:themeShade="BF"/>
    </w:rPr>
  </w:style>
  <w:style w:type="character" w:styleId="IntenseReference">
    <w:name w:val="Intense Reference"/>
    <w:basedOn w:val="DefaultParagraphFont"/>
    <w:uiPriority w:val="32"/>
    <w:qFormat/>
    <w:rsid w:val="000C0F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LADHANI - 70322100155</dc:creator>
  <cp:keywords/>
  <dc:description/>
  <cp:lastModifiedBy>JASH LADHANI - 70322100155</cp:lastModifiedBy>
  <cp:revision>1</cp:revision>
  <dcterms:created xsi:type="dcterms:W3CDTF">2025-09-21T16:09:00Z</dcterms:created>
  <dcterms:modified xsi:type="dcterms:W3CDTF">2025-09-21T16:10:00Z</dcterms:modified>
</cp:coreProperties>
</file>